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15,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9"/>
        </w:trPr>
        <w:tc>
          <w:tcPr>
            <w:tcW w:w="530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2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2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August 2025 Investor Relations Activity (the “Record”). The SSE posted the Record to the SSE’s website on August 15, 2025. A copy of the Record is attached as Exhibit 99.1 hereto.</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ACM Research, Inc. under the Securities Act of 1933, as amended.</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24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Record of August 2025 Investor Relations Activity filed by ACM Research (Shanghai), Inc. with the Shanghai Stock Exchange on August</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15, 2025</w:t>
      </w:r>
    </w:p>
    <w:p>
      <w:pPr>
        <w:spacing w:after="0" w:line="9" w:lineRule="exact"/>
        <w:rPr>
          <w:sz w:val="20"/>
          <w:szCs w:val="20"/>
          <w:color w:val="auto"/>
        </w:rPr>
      </w:pPr>
    </w:p>
    <w:p>
      <w:pPr>
        <w:ind w:right="4860" w:firstLine="298"/>
        <w:spacing w:after="0" w:line="555" w:lineRule="auto"/>
        <w:tabs>
          <w:tab w:leader="none" w:pos="1066"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XBRL document) * Unofficial English translation of original document prepared in Mandarin Chinese.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21, 2025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Stock Code: 688082</w:t>
            </w:r>
          </w:p>
        </w:tc>
        <w:tc>
          <w:tcPr>
            <w:tcW w:w="3900" w:type="dxa"/>
            <w:vAlign w:val="bottom"/>
          </w:tcPr>
          <w:p>
            <w:pPr>
              <w:spacing w:after="0"/>
              <w:rPr>
                <w:sz w:val="20"/>
                <w:szCs w:val="20"/>
                <w:color w:val="auto"/>
              </w:rPr>
            </w:pPr>
          </w:p>
        </w:tc>
        <w:tc>
          <w:tcPr>
            <w:tcW w:w="404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Short Name: ACMSH</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39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ACM Research (Shanghai), Inc.</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39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Records of Investor Relation Activities</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39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No.: 2025-04</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0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Type of investor</w:t>
            </w:r>
          </w:p>
        </w:tc>
        <w:tc>
          <w:tcPr>
            <w:tcW w:w="3900" w:type="dxa"/>
            <w:vAlign w:val="bottom"/>
          </w:tcPr>
          <w:p>
            <w:pPr>
              <w:ind w:left="100"/>
              <w:spacing w:after="0" w:line="16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Targeted investor research</w:t>
            </w:r>
          </w:p>
        </w:tc>
        <w:tc>
          <w:tcPr>
            <w:tcW w:w="4040" w:type="dxa"/>
            <w:vAlign w:val="bottom"/>
            <w:tcBorders>
              <w:right w:val="single" w:sz="8" w:color="auto"/>
            </w:tcBorders>
          </w:tcPr>
          <w:p>
            <w:pPr>
              <w:ind w:left="120"/>
              <w:spacing w:after="0" w:line="16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Analyst meeting</w:t>
            </w: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relation activities</w:t>
            </w:r>
          </w:p>
        </w:tc>
        <w:tc>
          <w:tcPr>
            <w:tcW w:w="39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Media interview</w:t>
            </w:r>
          </w:p>
        </w:tc>
        <w:tc>
          <w:tcPr>
            <w:tcW w:w="404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Earnings Call</w:t>
            </w: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39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Press conference</w:t>
            </w:r>
          </w:p>
        </w:tc>
        <w:tc>
          <w:tcPr>
            <w:tcW w:w="404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Roadshow</w:t>
            </w:r>
          </w:p>
        </w:tc>
        <w:tc>
          <w:tcPr>
            <w:tcW w:w="0" w:type="dxa"/>
            <w:vAlign w:val="bottom"/>
          </w:tcPr>
          <w:p>
            <w:pPr>
              <w:spacing w:after="0"/>
              <w:rPr>
                <w:sz w:val="1"/>
                <w:szCs w:val="1"/>
                <w:color w:val="auto"/>
              </w:rPr>
            </w:pPr>
          </w:p>
        </w:tc>
      </w:tr>
      <w:tr>
        <w:trPr>
          <w:trHeight w:val="277"/>
        </w:trPr>
        <w:tc>
          <w:tcPr>
            <w:tcW w:w="3300" w:type="dxa"/>
            <w:vAlign w:val="bottom"/>
            <w:tcBorders>
              <w:left w:val="single" w:sz="8" w:color="auto"/>
              <w:bottom w:val="single" w:sz="8" w:color="auto"/>
              <w:right w:val="single" w:sz="8" w:color="auto"/>
            </w:tcBorders>
          </w:tcPr>
          <w:p>
            <w:pPr>
              <w:spacing w:after="0"/>
              <w:rPr>
                <w:sz w:val="24"/>
                <w:szCs w:val="24"/>
                <w:color w:val="auto"/>
              </w:rPr>
            </w:pPr>
          </w:p>
        </w:tc>
        <w:tc>
          <w:tcPr>
            <w:tcW w:w="3900" w:type="dxa"/>
            <w:vAlign w:val="bottom"/>
            <w:tcBorders>
              <w:bottom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On-site visit</w:t>
            </w:r>
          </w:p>
        </w:tc>
        <w:tc>
          <w:tcPr>
            <w:tcW w:w="4040" w:type="dxa"/>
            <w:vAlign w:val="bottom"/>
            <w:tcBorders>
              <w:bottom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Others</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August 12, 2025</w:t>
            </w:r>
          </w:p>
        </w:tc>
        <w:tc>
          <w:tcPr>
            <w:tcW w:w="4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Venue</w:t>
            </w:r>
          </w:p>
        </w:tc>
        <w:tc>
          <w:tcPr>
            <w:tcW w:w="3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Conference call</w:t>
            </w:r>
          </w:p>
        </w:tc>
        <w:tc>
          <w:tcPr>
            <w:tcW w:w="4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300" w:type="dxa"/>
            <w:vAlign w:val="bottom"/>
            <w:tcBorders>
              <w:left w:val="single" w:sz="8" w:color="auto"/>
              <w:right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Representatives of the</w:t>
            </w:r>
          </w:p>
        </w:tc>
        <w:tc>
          <w:tcPr>
            <w:tcW w:w="390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Chairman: HUI WANG</w:t>
            </w:r>
          </w:p>
        </w:tc>
        <w:tc>
          <w:tcPr>
            <w:tcW w:w="4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listed company</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Manager: JIAN WANG</w:t>
            </w:r>
          </w:p>
        </w:tc>
        <w:tc>
          <w:tcPr>
            <w:tcW w:w="4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LISA YI LU FENG</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Board Secretary: MINGZHU LUO</w:t>
            </w:r>
          </w:p>
        </w:tc>
        <w:tc>
          <w:tcPr>
            <w:tcW w:w="4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00" w:type="dxa"/>
            <w:vAlign w:val="bottom"/>
            <w:tcBorders>
              <w:left w:val="single" w:sz="8" w:color="auto"/>
              <w:right w:val="single" w:sz="8" w:color="auto"/>
            </w:tcBorders>
          </w:tcPr>
          <w:p>
            <w:pPr>
              <w:spacing w:after="0"/>
              <w:rPr>
                <w:sz w:val="17"/>
                <w:szCs w:val="17"/>
                <w:color w:val="auto"/>
              </w:rPr>
            </w:pPr>
          </w:p>
        </w:tc>
        <w:tc>
          <w:tcPr>
            <w:tcW w:w="7940" w:type="dxa"/>
            <w:vAlign w:val="bottom"/>
            <w:tcBorders>
              <w:right w:val="single" w:sz="8" w:color="auto"/>
            </w:tcBorders>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I. Company Introduction: </w:t>
            </w:r>
            <w:r>
              <w:rPr>
                <w:rFonts w:ascii="Times New Roman" w:cs="Times New Roman" w:eastAsia="Times New Roman" w:hAnsi="Times New Roman"/>
                <w:sz w:val="18"/>
                <w:szCs w:val="18"/>
                <w:color w:val="auto"/>
              </w:rPr>
              <w:t>Leaders of the ACM Research (Shanghai), Inc. (the “Company”) briefly</w:t>
            </w: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described the performance and financial conditions of the Company for the first half of 2025 and answered</w:t>
            </w:r>
          </w:p>
        </w:tc>
        <w:tc>
          <w:tcPr>
            <w:tcW w:w="0" w:type="dxa"/>
            <w:vAlign w:val="bottom"/>
          </w:tcPr>
          <w:p>
            <w:pPr>
              <w:spacing w:after="0"/>
              <w:rPr>
                <w:sz w:val="1"/>
                <w:szCs w:val="1"/>
                <w:color w:val="auto"/>
              </w:rPr>
            </w:pPr>
          </w:p>
        </w:tc>
      </w:tr>
      <w:tr>
        <w:trPr>
          <w:trHeight w:val="234"/>
        </w:trPr>
        <w:tc>
          <w:tcPr>
            <w:tcW w:w="3300" w:type="dxa"/>
            <w:vAlign w:val="bottom"/>
            <w:tcBorders>
              <w:left w:val="single" w:sz="8" w:color="auto"/>
              <w:right w:val="single" w:sz="8" w:color="auto"/>
            </w:tcBorders>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questions of concern by investors.</w:t>
            </w:r>
          </w:p>
        </w:tc>
        <w:tc>
          <w:tcPr>
            <w:tcW w:w="4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00" w:type="dxa"/>
            <w:vAlign w:val="bottom"/>
            <w:tcBorders>
              <w:left w:val="single" w:sz="8" w:color="auto"/>
              <w:right w:val="single" w:sz="8" w:color="auto"/>
            </w:tcBorders>
          </w:tcPr>
          <w:p>
            <w:pPr>
              <w:spacing w:after="0"/>
              <w:rPr>
                <w:sz w:val="24"/>
                <w:szCs w:val="24"/>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II. Q&amp;A</w:t>
            </w:r>
          </w:p>
        </w:tc>
        <w:tc>
          <w:tcPr>
            <w:tcW w:w="4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Summary of investor</w:t>
            </w:r>
          </w:p>
        </w:tc>
        <w:tc>
          <w:tcPr>
            <w:tcW w:w="7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 The Company has set a long-term target of USD 1.5 billion in overseas revenue. How long will it</w:t>
            </w:r>
          </w:p>
        </w:tc>
        <w:tc>
          <w:tcPr>
            <w:tcW w:w="0" w:type="dxa"/>
            <w:vAlign w:val="bottom"/>
          </w:tcPr>
          <w:p>
            <w:pPr>
              <w:spacing w:after="0"/>
              <w:rPr>
                <w:sz w:val="1"/>
                <w:szCs w:val="1"/>
                <w:color w:val="auto"/>
              </w:rPr>
            </w:pPr>
          </w:p>
        </w:tc>
      </w:tr>
      <w:tr>
        <w:trPr>
          <w:trHeight w:val="108"/>
        </w:trPr>
        <w:tc>
          <w:tcPr>
            <w:tcW w:w="3300" w:type="dxa"/>
            <w:vAlign w:val="bottom"/>
            <w:tcBorders>
              <w:left w:val="single" w:sz="8" w:color="auto"/>
              <w:right w:val="single" w:sz="8" w:color="auto"/>
            </w:tcBorders>
            <w:vMerge w:val="continue"/>
          </w:tcPr>
          <w:p>
            <w:pPr>
              <w:spacing w:after="0"/>
              <w:rPr>
                <w:sz w:val="9"/>
                <w:szCs w:val="9"/>
                <w:color w:val="auto"/>
              </w:rPr>
            </w:pPr>
          </w:p>
        </w:tc>
        <w:tc>
          <w:tcPr>
            <w:tcW w:w="3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take to achieve this goal?</w:t>
            </w:r>
          </w:p>
        </w:tc>
        <w:tc>
          <w:tcPr>
            <w:tcW w:w="4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30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relation activities</w:t>
            </w:r>
          </w:p>
        </w:tc>
        <w:tc>
          <w:tcPr>
            <w:tcW w:w="3900" w:type="dxa"/>
            <w:vAlign w:val="bottom"/>
            <w:vMerge w:val="continue"/>
          </w:tcPr>
          <w:p>
            <w:pPr>
              <w:spacing w:after="0"/>
              <w:rPr>
                <w:sz w:val="9"/>
                <w:szCs w:val="9"/>
                <w:color w:val="auto"/>
              </w:rPr>
            </w:pPr>
          </w:p>
        </w:tc>
        <w:tc>
          <w:tcPr>
            <w:tcW w:w="4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00" w:type="dxa"/>
            <w:vAlign w:val="bottom"/>
            <w:tcBorders>
              <w:left w:val="single" w:sz="8" w:color="auto"/>
              <w:right w:val="single" w:sz="8" w:color="auto"/>
            </w:tcBorders>
            <w:vMerge w:val="continue"/>
          </w:tcPr>
          <w:p>
            <w:pPr>
              <w:spacing w:after="0"/>
              <w:rPr>
                <w:sz w:val="10"/>
                <w:szCs w:val="10"/>
                <w:color w:val="auto"/>
              </w:rPr>
            </w:pPr>
          </w:p>
        </w:tc>
        <w:tc>
          <w:tcPr>
            <w:tcW w:w="7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 This overseas revenue target is positioned as a medium- to long-term goal. We place great importance</w:t>
            </w:r>
          </w:p>
        </w:tc>
        <w:tc>
          <w:tcPr>
            <w:tcW w:w="0" w:type="dxa"/>
            <w:vAlign w:val="bottom"/>
          </w:tcPr>
          <w:p>
            <w:pPr>
              <w:spacing w:after="0"/>
              <w:rPr>
                <w:sz w:val="1"/>
                <w:szCs w:val="1"/>
                <w:color w:val="auto"/>
              </w:rPr>
            </w:pPr>
          </w:p>
        </w:tc>
      </w:tr>
      <w:tr>
        <w:trPr>
          <w:trHeight w:val="90"/>
        </w:trPr>
        <w:tc>
          <w:tcPr>
            <w:tcW w:w="3300" w:type="dxa"/>
            <w:vAlign w:val="bottom"/>
            <w:tcBorders>
              <w:left w:val="single" w:sz="8" w:color="auto"/>
              <w:right w:val="single" w:sz="8" w:color="auto"/>
            </w:tcBorders>
          </w:tcPr>
          <w:p>
            <w:pPr>
              <w:spacing w:after="0"/>
              <w:rPr>
                <w:sz w:val="7"/>
                <w:szCs w:val="7"/>
                <w:color w:val="auto"/>
              </w:rPr>
            </w:pPr>
          </w:p>
        </w:tc>
        <w:tc>
          <w:tcPr>
            <w:tcW w:w="79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on developing overseas markets and remain committed to our strategy of differentiated technologies and</w:t>
            </w: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serving worldwide customers. We are confident in our ability to bring independently developed products to</w:t>
            </w: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markets across mainland China, Taiwan region, South Korea, the United States, and Europe, and to</w:t>
            </w: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steadily increase our share of overseas sales, because we believe customers everywhere seek the best</w:t>
            </w:r>
          </w:p>
        </w:tc>
        <w:tc>
          <w:tcPr>
            <w:tcW w:w="0" w:type="dxa"/>
            <w:vAlign w:val="bottom"/>
          </w:tcPr>
          <w:p>
            <w:pPr>
              <w:spacing w:after="0"/>
              <w:rPr>
                <w:sz w:val="1"/>
                <w:szCs w:val="1"/>
                <w:color w:val="auto"/>
              </w:rPr>
            </w:pPr>
          </w:p>
        </w:tc>
      </w:tr>
      <w:tr>
        <w:trPr>
          <w:trHeight w:val="241"/>
        </w:trPr>
        <w:tc>
          <w:tcPr>
            <w:tcW w:w="33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technologies.</w:t>
            </w:r>
          </w:p>
        </w:tc>
        <w:tc>
          <w:tcPr>
            <w:tcW w:w="4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3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4" w:name="page5"/>
    <w:bookmarkEnd w:id="4"/>
    <w:p>
      <w:pPr>
        <w:ind w:left="2280" w:hanging="4"/>
        <w:spacing w:after="0" w:line="254" w:lineRule="auto"/>
        <w:tabs>
          <w:tab w:leader="none" w:pos="249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49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49220"/>
                    </a:xfrm>
                    <a:prstGeom prst="rect">
                      <a:avLst/>
                    </a:prstGeom>
                    <a:noFill/>
                  </pic:spPr>
                </pic:pic>
              </a:graphicData>
            </a:graphic>
          </wp:anchor>
        </w:drawing>
        <w:t xml:space="preserve">The Company has significantly increased its long-term sales target, raising its estimate of the SAM in China from USD 5.0 billion to USD 7.0 billion. What are the reasons behind this increase? </w:t>
      </w:r>
      <w:r>
        <w:rPr>
          <w:rFonts w:ascii="Times New Roman" w:cs="Times New Roman" w:eastAsia="Times New Roman" w:hAnsi="Times New Roman"/>
          <w:sz w:val="18"/>
          <w:szCs w:val="18"/>
          <w:color w:val="auto"/>
        </w:rPr>
        <w:t>A: We raised our SAM estimate in China to USD 7.0 billion primarily due to updated projections from a third-party market research firm, combined with our own assessment of China’s semiconductor industry trends. In particular, we increased our estimate of the long-term size of China’s semiconductor equipment market by 2030 from USD 30.0 billion to USD 40.0 billion. Based on this benchmark, we set our sales target in line with our estimated anticipated market share across multiple equipment categories, including cleaning, copper plating, vertical furnace, plasma-enhanced chemical vapor deposition (PECVD), coating and Track systems.</w:t>
      </w:r>
    </w:p>
    <w:p>
      <w:pPr>
        <w:spacing w:after="0" w:line="188" w:lineRule="exact"/>
        <w:rPr>
          <w:rFonts w:ascii="Times New Roman" w:cs="Times New Roman" w:eastAsia="Times New Roman" w:hAnsi="Times New Roman"/>
          <w:sz w:val="18"/>
          <w:szCs w:val="18"/>
          <w:b w:val="1"/>
          <w:bCs w:val="1"/>
          <w:color w:val="auto"/>
        </w:rPr>
      </w:pPr>
    </w:p>
    <w:p>
      <w:pPr>
        <w:ind w:left="2280" w:hanging="4"/>
        <w:spacing w:after="0" w:line="263" w:lineRule="auto"/>
        <w:tabs>
          <w:tab w:leader="none" w:pos="246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achieved nearly 40% sequential revenue growth in Q2. What were the reasons for revenue performance exceeding expectations?</w:t>
      </w:r>
    </w:p>
    <w:p>
      <w:pPr>
        <w:jc w:val="both"/>
        <w:ind w:left="22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Our strong Q2 revenue performance was primarily driven by two factors. First, equipment sales continued to increase, led by cleaning equipment, with electroplating equipment also showing significant year-over-year growth. Second, customer demand was robust across both logic and memory segments, which together supported stable and stronger-than-expected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806" w:right="459" w:bottom="1440" w:gutter="0" w:footer="0" w:header="0"/>
        </w:sectPr>
      </w:pPr>
    </w:p>
    <w:bookmarkStart w:id="5" w:name="page6"/>
    <w:bookmarkEnd w:id="5"/>
    <w:p>
      <w:pPr>
        <w:ind w:left="2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72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72180"/>
                    </a:xfrm>
                    <a:prstGeom prst="rect">
                      <a:avLst/>
                    </a:prstGeom>
                    <a:noFill/>
                  </pic:spPr>
                </pic:pic>
              </a:graphicData>
            </a:graphic>
          </wp:anchor>
        </w:drawing>
        <w:t>4. Will the Company revise its full year revenue guidance?</w:t>
      </w:r>
    </w:p>
    <w:p>
      <w:pPr>
        <w:spacing w:after="0" w:line="31" w:lineRule="exact"/>
        <w:rPr>
          <w:sz w:val="20"/>
          <w:szCs w:val="20"/>
          <w:color w:val="auto"/>
        </w:rPr>
      </w:pPr>
    </w:p>
    <w:p>
      <w:pPr>
        <w:jc w:val="both"/>
        <w:ind w:left="2280" w:right="20" w:hanging="4"/>
        <w:spacing w:after="0" w:line="253" w:lineRule="auto"/>
        <w:tabs>
          <w:tab w:leader="none" w:pos="25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present, we are maintaining our full year revenue guidance. Any revisions, if necessary, will be based on our overall business performance and order trends in the second half of the year. We remain committed to fulfilling our disclosure obligations in a timely and transparent manner, and any updates will be provided through official disclosure announcements.</w:t>
      </w:r>
    </w:p>
    <w:p>
      <w:pPr>
        <w:spacing w:after="0" w:line="185" w:lineRule="exact"/>
        <w:rPr>
          <w:sz w:val="20"/>
          <w:szCs w:val="20"/>
          <w:color w:val="auto"/>
        </w:rPr>
      </w:pPr>
    </w:p>
    <w:p>
      <w:pPr>
        <w:ind w:left="2280" w:right="20" w:hanging="4"/>
        <w:spacing w:after="0" w:line="263" w:lineRule="auto"/>
        <w:tabs>
          <w:tab w:leader="none" w:pos="248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Company’s basis for accounting for contract liabilities? Are products classified as contract liabilities after shipment?</w:t>
      </w:r>
    </w:p>
    <w:p>
      <w:pPr>
        <w:jc w:val="both"/>
        <w:ind w:left="22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Company generally recognizes revenue only after a product has been commissioned, inspected, and accepted. If a product has been shipped but revenue has not yet been recognized, it is recorded as delivered goods. Contract liabilities primarily reflect customer prepayments, including those made after shipment, with amounts varying depending on the specific prepayment terms agreed upon with both new and existing customers.</w:t>
      </w:r>
    </w:p>
    <w:p>
      <w:pPr>
        <w:spacing w:after="0" w:line="182" w:lineRule="exact"/>
        <w:rPr>
          <w:rFonts w:ascii="Times New Roman" w:cs="Times New Roman" w:eastAsia="Times New Roman" w:hAnsi="Times New Roman"/>
          <w:sz w:val="18"/>
          <w:szCs w:val="18"/>
          <w:b w:val="1"/>
          <w:bCs w:val="1"/>
          <w:color w:val="auto"/>
        </w:rPr>
      </w:pPr>
    </w:p>
    <w:p>
      <w:pPr>
        <w:jc w:val="both"/>
        <w:ind w:left="2280" w:hanging="4"/>
        <w:spacing w:after="0" w:line="259" w:lineRule="auto"/>
        <w:tabs>
          <w:tab w:leader="none" w:pos="246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there great differences in the quarterly financial reports between ACM Shanghai and its controlling shareholder ACMR for two consecutive quarters, a situation not typically seen in past years?</w:t>
      </w:r>
    </w:p>
    <w:p>
      <w:pPr>
        <w:jc w:val="both"/>
        <w:ind w:left="22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differences primarily reflect the use of different accounting standards. ACM Shanghai recognizes revenue upon customer testing and acceptance — generally after equipment has been delivered, commissioned, inspected, and formally accepted. ACMR, which reports under U.S. GAAP, recognizes revenue from initial equipment orders only after testing, inspection, and acceptance, but recognizes revenue from repeat equipment orders upon shipment.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806" w:right="459" w:bottom="1440" w:gutter="0" w:footer="0" w:header="0"/>
        </w:sectPr>
      </w:pPr>
    </w:p>
    <w:bookmarkStart w:id="6" w:name="page7"/>
    <w:bookmarkEnd w:id="6"/>
    <w:p>
      <w:pPr>
        <w:ind w:left="2280" w:hanging="4"/>
        <w:spacing w:after="0" w:line="263" w:lineRule="auto"/>
        <w:tabs>
          <w:tab w:leader="none" w:pos="247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414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14145"/>
                    </a:xfrm>
                    <a:prstGeom prst="rect">
                      <a:avLst/>
                    </a:prstGeom>
                    <a:noFill/>
                  </pic:spPr>
                </pic:pic>
              </a:graphicData>
            </a:graphic>
          </wp:anchor>
        </w:drawing>
        <w:t>The Company is fully booked with orders for Q3 and expects to be fully booked for Q4 as well. What is the current production capacity at the Lingang facility, and do you plan to increase it?</w:t>
      </w:r>
    </w:p>
    <w:p>
      <w:pPr>
        <w:jc w:val="both"/>
        <w:ind w:left="22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We currently operate two factory buildings at Lingang. Factory A is already in production, with a full capacity of RMB 10.0 billion, which is sufficient to support our full-year revenue guidance range of RMB 6.5 billion to RMB 7.1 billion. Factory B is scheduled to begin fit-out next year and is expected to commence production in the second half of the year once construction is completed. When fully operational, Factory B will provide an additional annual capacity of RMB 20.0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80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Enclosure: List of participants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APC International Co.,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Atebin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Dymon Asia Capital (HK)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IGWT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JK Capital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Baoying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Longyuezhiyuan Assets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Shennong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Sunshine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Court Capital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Bosera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Caitong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Fuzhou Development Zone Sanxin Assets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Fuanda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Templeton Investments (Asia)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Gengji (Shanghai)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Gongqingcheng Dingrui Assets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Granford (Beijing)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Guangdong Hengqin Financial Investment Venture Fund Management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Times Media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Zhengyuan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Ruimin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 Shining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Guolian Minsheng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Gowin AMC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Haitong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Guosen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Harvest Forever Capital Management (Beijing)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Manulife Investment Management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Harmony Capital Financial Holdings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Hongyun Private Fund Management (Hainan)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Huafu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Financial Holdings (HK)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Huaxi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Fortune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Jintrust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Qianhai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CCB Financial Asset Investment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Jiangxi Bidemingqi Private Fund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Junyi Zhenhua (Beijing) Management Consulting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KGI Asia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Kunlun Health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Nuode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Panhou Dynamic (Shanghai)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Qiming Weichuang Venture Capital Management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Qingli Investment Management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AI-Squared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Shandong Shanfa Green Private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BYSZ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Bodu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Chenyan Asset Management Center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Desheng Baichuan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Duoshi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Genxi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Guxin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Everbright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International Trust Corp.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Hedao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Jiashi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Jin En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Jingxi Investment Management Partnership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Kandao Assets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Lianshi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Minghong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Ningquan Assets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Pudong Innotek Capital Co., Ltd.</w:t>
      </w:r>
    </w:p>
    <w:p>
      <w:pPr>
        <w:spacing w:after="0" w:line="9" w:lineRule="exact"/>
        <w:rPr>
          <w:sz w:val="20"/>
          <w:szCs w:val="20"/>
          <w:color w:val="auto"/>
        </w:rPr>
      </w:pPr>
    </w:p>
    <w:p>
      <w:pPr>
        <w:ind w:right="5019"/>
        <w:spacing w:after="0" w:line="250" w:lineRule="auto"/>
        <w:rPr>
          <w:sz w:val="20"/>
          <w:szCs w:val="20"/>
          <w:color w:val="auto"/>
        </w:rPr>
      </w:pPr>
      <w:r>
        <w:rPr>
          <w:rFonts w:ascii="Times New Roman" w:cs="Times New Roman" w:eastAsia="Times New Roman" w:hAnsi="Times New Roman"/>
          <w:sz w:val="18"/>
          <w:szCs w:val="18"/>
          <w:color w:val="auto"/>
        </w:rPr>
        <w:t>Shanghai Qinmu Asset Management Partnership (Limited Partnership) Shanghai Qingfund Asset Management Center (General Partnership) Shanghai Pansheng Private Fund Management Co., Ltd.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Shangqi Investment Management Partnership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Shenyin Wanguo Research and Consulting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Shicheng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Tianni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Xianhe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Xiaoxi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Xingzhi Venture Capital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Shanghai Soullink Asset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Yiheyuan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Yili Assets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Zhongyu Asset Management Center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Chengyi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Hongding Wealth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Wisdom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Century Zhiyuan Private Securities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Guohui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Kunhou Private Placement Securities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Shangcheng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Taishi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Sega Holdings Group (Hangzhou)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High-tech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Tianfeng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Nature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Xi’an Pubu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Knight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Xiangcai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International Development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China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Symbol Investment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Nomura Orient International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Yingzhou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Gladwealth Investment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Wall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Zhejiang Moju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Zhejiang Free Trade Zone Fengyan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Zheshang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Electronics Technology Group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International Capital Corporation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Galaxy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BOB-Cardif Life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CHINALCO Capital Holdings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 International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China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Post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Zhuhai Deruo Private Fund Management Co., Ltd.</w:t>
      </w:r>
    </w:p>
    <w:p>
      <w:pPr>
        <w:spacing w:after="0" w:line="207" w:lineRule="exact"/>
        <w:rPr>
          <w:sz w:val="20"/>
          <w:szCs w:val="20"/>
          <w:color w:val="auto"/>
        </w:rPr>
      </w:pPr>
    </w:p>
    <w:p>
      <w:pPr>
        <w:jc w:val="both"/>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10" w:name="page11"/>
    <w:bookmarkEnd w:id="10"/>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The following information is provided in connection with the furnishing of the above Record of August 2025 Investor Relation Activity of ACM Research (Shanghai), Inc. (“ACMSH”) (the “Record”) pursuant to the Current Report on Form 8-K reporting requirements of ACM Research,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104"/>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2025-08-21T15:16:01Z</dcterms:created>
  <dcterms:modified xsi:type="dcterms:W3CDTF">2025-08-21T15:16:01Z</dcterms:modified>
</cp:coreProperties>
</file>