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5021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50215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Hu Chenming</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20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11/02/2017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ACM Research,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ACMR</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1"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ACM RESEARCH,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42307 OSGOOD ROAD, SUITE I</w:t>
      </w:r>
    </w:p>
    <w:p>
      <w:pPr>
        <w:spacing w:after="0" w:line="32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00" w:type="dxa"/>
            <w:vAlign w:val="bottom"/>
          </w:tcPr>
          <w:p>
            <w:pPr>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4"/>
                <w:szCs w:val="14"/>
                <w:color w:val="auto"/>
              </w:rPr>
            </w:pPr>
          </w:p>
        </w:tc>
      </w:tr>
      <w:tr>
        <w:trPr>
          <w:trHeight w:val="242"/>
        </w:trPr>
        <w:tc>
          <w:tcPr>
            <w:tcW w:w="1800" w:type="dxa"/>
            <w:vAlign w:val="bottom"/>
          </w:tcPr>
          <w:p>
            <w:pPr>
              <w:ind w:left="40"/>
              <w:spacing w:after="0"/>
              <w:rPr>
                <w:sz w:val="20"/>
                <w:szCs w:val="20"/>
                <w:color w:val="auto"/>
              </w:rPr>
            </w:pPr>
            <w:r>
              <w:rPr>
                <w:rFonts w:ascii="Arial" w:cs="Arial" w:eastAsia="Arial" w:hAnsi="Arial"/>
                <w:sz w:val="18"/>
                <w:szCs w:val="18"/>
                <w:color w:val="0000FF"/>
              </w:rPr>
              <w:t>FREMONT   CA</w:t>
            </w:r>
          </w:p>
        </w:tc>
        <w:tc>
          <w:tcPr>
            <w:tcW w:w="840" w:type="dxa"/>
            <w:vAlign w:val="bottom"/>
          </w:tcPr>
          <w:p>
            <w:pPr>
              <w:jc w:val="right"/>
              <w:spacing w:after="0"/>
              <w:rPr>
                <w:sz w:val="20"/>
                <w:szCs w:val="20"/>
                <w:color w:val="auto"/>
              </w:rPr>
            </w:pPr>
            <w:r>
              <w:rPr>
                <w:rFonts w:ascii="Arial" w:cs="Arial" w:eastAsia="Arial" w:hAnsi="Arial"/>
                <w:sz w:val="18"/>
                <w:szCs w:val="18"/>
                <w:color w:val="0000FF"/>
              </w:rPr>
              <w:t>94539</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20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5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0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20" w:type="dxa"/>
            <w:vAlign w:val="bottom"/>
          </w:tcPr>
          <w:p>
            <w:pPr>
              <w:spacing w:after="0"/>
              <w:rPr>
                <w:sz w:val="4"/>
                <w:szCs w:val="4"/>
                <w:color w:val="auto"/>
              </w:rPr>
            </w:pPr>
          </w:p>
        </w:tc>
        <w:tc>
          <w:tcPr>
            <w:tcW w:w="74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74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740" w:type="dxa"/>
            <w:vAlign w:val="bottom"/>
          </w:tcPr>
          <w:p>
            <w:pPr>
              <w:ind w:left="12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2020" w:type="dxa"/>
            <w:vAlign w:val="bottom"/>
          </w:tcPr>
          <w:p>
            <w:pPr>
              <w:spacing w:after="0"/>
              <w:rPr>
                <w:sz w:val="12"/>
                <w:szCs w:val="12"/>
                <w:color w:val="auto"/>
              </w:rPr>
            </w:pPr>
          </w:p>
        </w:tc>
        <w:tc>
          <w:tcPr>
            <w:tcW w:w="74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202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740" w:type="dxa"/>
            <w:vAlign w:val="bottom"/>
          </w:tcPr>
          <w:p>
            <w:pPr>
              <w:ind w:left="12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5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Stock Option</w:t>
            </w:r>
          </w:p>
        </w:tc>
        <w:tc>
          <w:tcPr>
            <w:tcW w:w="880" w:type="dxa"/>
            <w:vAlign w:val="bottom"/>
          </w:tcPr>
          <w:p>
            <w:pPr>
              <w:ind w:left="380"/>
              <w:spacing w:after="0"/>
              <w:rPr>
                <w:sz w:val="20"/>
                <w:szCs w:val="20"/>
                <w:color w:val="auto"/>
              </w:rPr>
            </w:pPr>
            <w:r>
              <w:rPr>
                <w:rFonts w:ascii="Arial" w:cs="Arial" w:eastAsia="Arial" w:hAnsi="Arial"/>
                <w:sz w:val="11"/>
                <w:szCs w:val="11"/>
                <w:color w:val="008000"/>
              </w:rPr>
              <w:t>(1)</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12/27/2026</w:t>
            </w:r>
          </w:p>
        </w:tc>
        <w:tc>
          <w:tcPr>
            <w:tcW w:w="2020" w:type="dxa"/>
            <w:vAlign w:val="bottom"/>
          </w:tcPr>
          <w:p>
            <w:pPr>
              <w:ind w:left="200"/>
              <w:spacing w:after="0"/>
              <w:rPr>
                <w:sz w:val="20"/>
                <w:szCs w:val="20"/>
                <w:color w:val="auto"/>
              </w:rPr>
            </w:pPr>
            <w:r>
              <w:rPr>
                <w:rFonts w:ascii="Arial" w:cs="Arial" w:eastAsia="Arial" w:hAnsi="Arial"/>
                <w:sz w:val="18"/>
                <w:szCs w:val="18"/>
                <w:color w:val="0000FF"/>
                <w:w w:val="94"/>
              </w:rPr>
              <w:t>Class A Common Stock</w:t>
            </w:r>
          </w:p>
        </w:tc>
        <w:tc>
          <w:tcPr>
            <w:tcW w:w="740" w:type="dxa"/>
            <w:vAlign w:val="bottom"/>
          </w:tcPr>
          <w:p>
            <w:pPr>
              <w:ind w:left="160"/>
              <w:spacing w:after="0"/>
              <w:rPr>
                <w:sz w:val="20"/>
                <w:szCs w:val="20"/>
                <w:color w:val="auto"/>
              </w:rPr>
            </w:pPr>
            <w:r>
              <w:rPr>
                <w:rFonts w:ascii="Arial" w:cs="Arial" w:eastAsia="Arial" w:hAnsi="Arial"/>
                <w:sz w:val="18"/>
                <w:szCs w:val="18"/>
                <w:color w:val="0000FF"/>
              </w:rPr>
              <w:t>83,334</w:t>
            </w:r>
          </w:p>
        </w:tc>
        <w:tc>
          <w:tcPr>
            <w:tcW w:w="880" w:type="dxa"/>
            <w:vAlign w:val="bottom"/>
          </w:tcPr>
          <w:p>
            <w:pPr>
              <w:jc w:val="center"/>
              <w:spacing w:after="0"/>
              <w:rPr>
                <w:sz w:val="20"/>
                <w:szCs w:val="20"/>
                <w:color w:val="auto"/>
              </w:rPr>
            </w:pPr>
            <w:r>
              <w:rPr>
                <w:rFonts w:ascii="Arial" w:cs="Arial" w:eastAsia="Arial" w:hAnsi="Arial"/>
                <w:sz w:val="18"/>
                <w:szCs w:val="18"/>
                <w:color w:val="0000FF"/>
                <w:w w:val="79"/>
              </w:rPr>
              <w:t>3</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Stock Option</w:t>
            </w:r>
          </w:p>
        </w:tc>
        <w:tc>
          <w:tcPr>
            <w:tcW w:w="880" w:type="dxa"/>
            <w:vAlign w:val="bottom"/>
          </w:tcPr>
          <w:p>
            <w:pPr>
              <w:ind w:left="380"/>
              <w:spacing w:after="0"/>
              <w:rPr>
                <w:sz w:val="20"/>
                <w:szCs w:val="20"/>
                <w:color w:val="auto"/>
              </w:rPr>
            </w:pPr>
            <w:r>
              <w:rPr>
                <w:rFonts w:ascii="Arial" w:cs="Arial" w:eastAsia="Arial" w:hAnsi="Arial"/>
                <w:sz w:val="11"/>
                <w:szCs w:val="11"/>
                <w:color w:val="008000"/>
              </w:rPr>
              <w:t>(2)</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12/27/2026</w:t>
            </w:r>
          </w:p>
        </w:tc>
        <w:tc>
          <w:tcPr>
            <w:tcW w:w="2020" w:type="dxa"/>
            <w:vAlign w:val="bottom"/>
          </w:tcPr>
          <w:p>
            <w:pPr>
              <w:ind w:left="200"/>
              <w:spacing w:after="0"/>
              <w:rPr>
                <w:sz w:val="20"/>
                <w:szCs w:val="20"/>
                <w:color w:val="auto"/>
              </w:rPr>
            </w:pPr>
            <w:r>
              <w:rPr>
                <w:rFonts w:ascii="Arial" w:cs="Arial" w:eastAsia="Arial" w:hAnsi="Arial"/>
                <w:sz w:val="18"/>
                <w:szCs w:val="18"/>
                <w:color w:val="0000FF"/>
                <w:w w:val="94"/>
              </w:rPr>
              <w:t>Class A Common Stock</w:t>
            </w:r>
          </w:p>
        </w:tc>
        <w:tc>
          <w:tcPr>
            <w:tcW w:w="740" w:type="dxa"/>
            <w:vAlign w:val="bottom"/>
          </w:tcPr>
          <w:p>
            <w:pPr>
              <w:ind w:left="160"/>
              <w:spacing w:after="0"/>
              <w:rPr>
                <w:sz w:val="20"/>
                <w:szCs w:val="20"/>
                <w:color w:val="auto"/>
              </w:rPr>
            </w:pPr>
            <w:r>
              <w:rPr>
                <w:rFonts w:ascii="Arial" w:cs="Arial" w:eastAsia="Arial" w:hAnsi="Arial"/>
                <w:sz w:val="18"/>
                <w:szCs w:val="18"/>
                <w:color w:val="0000FF"/>
              </w:rPr>
              <w:t>33,334</w:t>
            </w:r>
          </w:p>
        </w:tc>
        <w:tc>
          <w:tcPr>
            <w:tcW w:w="880" w:type="dxa"/>
            <w:vAlign w:val="bottom"/>
          </w:tcPr>
          <w:p>
            <w:pPr>
              <w:jc w:val="center"/>
              <w:spacing w:after="0"/>
              <w:rPr>
                <w:sz w:val="20"/>
                <w:szCs w:val="20"/>
                <w:color w:val="auto"/>
              </w:rPr>
            </w:pPr>
            <w:r>
              <w:rPr>
                <w:rFonts w:ascii="Arial" w:cs="Arial" w:eastAsia="Arial" w:hAnsi="Arial"/>
                <w:sz w:val="18"/>
                <w:szCs w:val="18"/>
                <w:color w:val="0000FF"/>
                <w:w w:val="79"/>
              </w:rPr>
              <w:t>3</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Stock Option</w:t>
            </w:r>
          </w:p>
        </w:tc>
        <w:tc>
          <w:tcPr>
            <w:tcW w:w="880" w:type="dxa"/>
            <w:vAlign w:val="bottom"/>
          </w:tcPr>
          <w:p>
            <w:pPr>
              <w:ind w:left="380"/>
              <w:spacing w:after="0"/>
              <w:rPr>
                <w:sz w:val="20"/>
                <w:szCs w:val="20"/>
                <w:color w:val="auto"/>
              </w:rPr>
            </w:pPr>
            <w:r>
              <w:rPr>
                <w:rFonts w:ascii="Arial" w:cs="Arial" w:eastAsia="Arial" w:hAnsi="Arial"/>
                <w:sz w:val="11"/>
                <w:szCs w:val="11"/>
                <w:color w:val="008000"/>
              </w:rPr>
              <w:t>(3)</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03/08/2027</w:t>
            </w:r>
          </w:p>
        </w:tc>
        <w:tc>
          <w:tcPr>
            <w:tcW w:w="2020" w:type="dxa"/>
            <w:vAlign w:val="bottom"/>
          </w:tcPr>
          <w:p>
            <w:pPr>
              <w:ind w:left="200"/>
              <w:spacing w:after="0"/>
              <w:rPr>
                <w:sz w:val="20"/>
                <w:szCs w:val="20"/>
                <w:color w:val="auto"/>
              </w:rPr>
            </w:pPr>
            <w:r>
              <w:rPr>
                <w:rFonts w:ascii="Arial" w:cs="Arial" w:eastAsia="Arial" w:hAnsi="Arial"/>
                <w:sz w:val="18"/>
                <w:szCs w:val="18"/>
                <w:color w:val="0000FF"/>
                <w:w w:val="94"/>
              </w:rPr>
              <w:t>Class A Common Stock</w:t>
            </w:r>
          </w:p>
        </w:tc>
        <w:tc>
          <w:tcPr>
            <w:tcW w:w="740" w:type="dxa"/>
            <w:vAlign w:val="bottom"/>
          </w:tcPr>
          <w:p>
            <w:pPr>
              <w:ind w:left="160"/>
              <w:spacing w:after="0"/>
              <w:rPr>
                <w:sz w:val="20"/>
                <w:szCs w:val="20"/>
                <w:color w:val="auto"/>
              </w:rPr>
            </w:pPr>
            <w:r>
              <w:rPr>
                <w:rFonts w:ascii="Arial" w:cs="Arial" w:eastAsia="Arial" w:hAnsi="Arial"/>
                <w:sz w:val="18"/>
                <w:szCs w:val="18"/>
                <w:color w:val="0000FF"/>
              </w:rPr>
              <w:t>33,334</w:t>
            </w:r>
          </w:p>
        </w:tc>
        <w:tc>
          <w:tcPr>
            <w:tcW w:w="880" w:type="dxa"/>
            <w:vAlign w:val="bottom"/>
          </w:tcPr>
          <w:p>
            <w:pPr>
              <w:jc w:val="center"/>
              <w:spacing w:after="0"/>
              <w:rPr>
                <w:sz w:val="20"/>
                <w:szCs w:val="20"/>
                <w:color w:val="auto"/>
              </w:rPr>
            </w:pPr>
            <w:r>
              <w:rPr>
                <w:rFonts w:ascii="Arial" w:cs="Arial" w:eastAsia="Arial" w:hAnsi="Arial"/>
                <w:sz w:val="18"/>
                <w:szCs w:val="18"/>
                <w:color w:val="0000FF"/>
                <w:w w:val="87"/>
              </w:rPr>
              <w:t>7.5</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6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34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option vested and became exercisable as to 20,833 shares on May 1, 2017 and the remaining 62,501 shares vest and become exercisable in equal monthly installments over the following 36 months, subject to continued service through each vesting date.</w:t>
      </w:r>
    </w:p>
    <w:p>
      <w:pPr>
        <w:spacing w:after="0" w:line="30" w:lineRule="exact"/>
        <w:rPr>
          <w:rFonts w:ascii="Arial" w:cs="Arial" w:eastAsia="Arial" w:hAnsi="Arial"/>
          <w:sz w:val="14"/>
          <w:szCs w:val="14"/>
          <w:color w:val="008000"/>
        </w:rPr>
      </w:pPr>
    </w:p>
    <w:p>
      <w:pPr>
        <w:ind w:left="40" w:right="46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option vested and became exercisable as to 8,334 shares, and the remaining shares will vest, in part or in full, solely upon the achievement of certain performance milestones, as determined by the Compensation Committee of the Board of Directors of the Issuer.</w:t>
      </w:r>
    </w:p>
    <w:p>
      <w:pPr>
        <w:spacing w:after="0" w:line="30" w:lineRule="exact"/>
        <w:rPr>
          <w:rFonts w:ascii="Arial" w:cs="Arial" w:eastAsia="Arial" w:hAnsi="Arial"/>
          <w:sz w:val="14"/>
          <w:szCs w:val="14"/>
          <w:color w:val="008000"/>
        </w:rPr>
      </w:pPr>
    </w:p>
    <w:p>
      <w:pPr>
        <w:ind w:left="40" w:right="34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option will vest and become exercisable as to 8,333 shares on January 1, 2018 and the remaining 25,001 shares will vest and become exercisable in equal monthly installments over the following 36 months, subject to continued service through each vesting date.</w:t>
      </w:r>
    </w:p>
    <w:p>
      <w:pPr>
        <w:sectPr>
          <w:pgSz w:w="11900" w:h="16838" w:orient="portrait"/>
          <w:cols w:equalWidth="0" w:num="1">
            <w:col w:w="11420"/>
          </w:cols>
          <w:pgMar w:left="240" w:top="226" w:right="239" w:bottom="1440" w:gutter="0" w:footer="0" w:header="0"/>
          <w:type w:val="continuous"/>
        </w:sectPr>
      </w:pP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/s/ Mark L. Johnson,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3811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381125" cy="8890"/>
                    </a:xfrm>
                    <a:prstGeom prst="rect">
                      <a:avLst/>
                    </a:prstGeom>
                    <a:noFill/>
                  </pic:spPr>
                </pic:pic>
              </a:graphicData>
            </a:graphic>
          </wp:anchor>
        </w:drawing>
      </w:r>
    </w:p>
    <w:p>
      <w:pPr>
        <w:spacing w:after="0" w:line="18"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in-Fact for Chenming Hu</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1303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30300" cy="8890"/>
                    </a:xfrm>
                    <a:prstGeom prst="rect">
                      <a:avLst/>
                    </a:prstGeom>
                    <a:noFill/>
                  </pic:spPr>
                </pic:pic>
              </a:graphicData>
            </a:graphic>
          </wp:anchor>
        </w:drawing>
      </w:r>
    </w:p>
    <w:p>
      <w:pPr>
        <w:spacing w:after="0" w:line="44" w:lineRule="exact"/>
        <w:rPr>
          <w:sz w:val="24"/>
          <w:szCs w:val="24"/>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120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9" w:lineRule="exact"/>
        <w:rPr>
          <w:sz w:val="24"/>
          <w:szCs w:val="24"/>
          <w:color w:val="auto"/>
        </w:rPr>
      </w:pPr>
    </w:p>
    <w:p>
      <w:pPr>
        <w:spacing w:after="0"/>
        <w:rPr>
          <w:sz w:val="20"/>
          <w:szCs w:val="20"/>
          <w:color w:val="auto"/>
        </w:rPr>
      </w:pPr>
      <w:r>
        <w:rPr>
          <w:rFonts w:ascii="Arial" w:cs="Arial" w:eastAsia="Arial" w:hAnsi="Arial"/>
          <w:sz w:val="15"/>
          <w:szCs w:val="15"/>
          <w:color w:val="0000FF"/>
        </w:rPr>
        <w:t>11/02/2017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35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193"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4"/>
          <w:szCs w:val="24"/>
          <w:color w:val="auto"/>
        </w:rPr>
      </w:pPr>
    </w:p>
    <w:p>
      <w:pPr>
        <w:sectPr>
          <w:pgSz w:w="11900" w:h="16838" w:orient="portrait"/>
          <w:cols w:equalWidth="0" w:num="2">
            <w:col w:w="9040" w:space="12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316320" TargetMode="External"/><Relationship Id="rId12" Type="http://schemas.openxmlformats.org/officeDocument/2006/relationships/hyperlink" Target="http://www.sec.gov/cgi-bin/browse-edgar?action=getcompany&amp;CIK=00016800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2019-12-23T15:53:57Z</dcterms:created>
  <dcterms:modified xsi:type="dcterms:W3CDTF">2019-12-23T15:53:57Z</dcterms:modified>
</cp:coreProperties>
</file>