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w:t>
      </w:r>
      <w:r>
        <w:rPr>
          <w:rFonts w:ascii="Times New Roman" w:cs="Times New Roman" w:eastAsia="Times New Roman" w:hAnsi="Times New Roman"/>
          <w:sz w:val="22"/>
          <w:szCs w:val="22"/>
          <w:b w:val="1"/>
          <w:bCs w:val="1"/>
          <w:u w:val="single" w:color="auto"/>
          <w:color w:val="auto"/>
        </w:rPr>
        <w:t>SHINGTON, D.C. 20</w:t>
      </w:r>
      <w:r>
        <w:rPr>
          <w:rFonts w:ascii="Times New Roman" w:cs="Times New Roman" w:eastAsia="Times New Roman" w:hAnsi="Times New Roman"/>
          <w:sz w:val="22"/>
          <w:szCs w:val="22"/>
          <w:b w:val="1"/>
          <w:bCs w:val="1"/>
          <w:color w:val="auto"/>
        </w:rPr>
        <w:t>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w:t>
      </w:r>
      <w:r>
        <w:rPr>
          <w:rFonts w:ascii="Times New Roman" w:cs="Times New Roman" w:eastAsia="Times New Roman" w:hAnsi="Times New Roman"/>
          <w:sz w:val="18"/>
          <w:szCs w:val="18"/>
          <w:b w:val="1"/>
          <w:bCs w:val="1"/>
          <w:i w:val="1"/>
          <w:iCs w:val="1"/>
          <w:u w:val="single" w:color="auto"/>
          <w:color w:val="auto"/>
        </w:rPr>
        <w:t>SECURITIES ACT OF</w:t>
      </w:r>
      <w:r>
        <w:rPr>
          <w:rFonts w:ascii="Times New Roman" w:cs="Times New Roman" w:eastAsia="Times New Roman" w:hAnsi="Times New Roman"/>
          <w:sz w:val="18"/>
          <w:szCs w:val="18"/>
          <w:b w:val="1"/>
          <w:bCs w:val="1"/>
          <w:i w:val="1"/>
          <w:iCs w:val="1"/>
          <w:color w:val="auto"/>
        </w:rPr>
        <w:t xml:space="preserve"> 1933</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43"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662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2640" w:type="dxa"/>
            <w:vAlign w:val="bottom"/>
          </w:tcPr>
          <w:p>
            <w:pPr>
              <w:spacing w:after="0"/>
              <w:rPr>
                <w:sz w:val="17"/>
                <w:szCs w:val="17"/>
                <w:color w:val="auto"/>
              </w:rPr>
            </w:pPr>
          </w:p>
        </w:tc>
      </w:tr>
      <w:tr>
        <w:trPr>
          <w:trHeight w:val="218"/>
        </w:trPr>
        <w:tc>
          <w:tcPr>
            <w:tcW w:w="662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16"/>
        </w:trPr>
        <w:tc>
          <w:tcPr>
            <w:tcW w:w="662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662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2640" w:type="dxa"/>
            <w:vAlign w:val="bottom"/>
          </w:tcPr>
          <w:p>
            <w:pPr>
              <w:spacing w:after="0"/>
              <w:rPr>
                <w:sz w:val="20"/>
                <w:szCs w:val="20"/>
                <w:color w:val="auto"/>
              </w:rPr>
            </w:pPr>
          </w:p>
        </w:tc>
      </w:tr>
      <w:tr>
        <w:trPr>
          <w:trHeight w:val="410"/>
        </w:trPr>
        <w:tc>
          <w:tcPr>
            <w:tcW w:w="662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640" w:type="dxa"/>
            <w:vAlign w:val="bottom"/>
          </w:tcPr>
          <w:p>
            <w:pPr>
              <w:spacing w:after="0"/>
              <w:rPr>
                <w:sz w:val="24"/>
                <w:szCs w:val="24"/>
                <w:color w:val="auto"/>
              </w:rPr>
            </w:pPr>
          </w:p>
        </w:tc>
      </w:tr>
      <w:tr>
        <w:trPr>
          <w:trHeight w:val="218"/>
        </w:trPr>
        <w:tc>
          <w:tcPr>
            <w:tcW w:w="662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64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36"/>
        </w:trPr>
        <w:tc>
          <w:tcPr>
            <w:tcW w:w="6620" w:type="dxa"/>
            <w:vAlign w:val="bottom"/>
            <w:gridSpan w:val="3"/>
          </w:tcPr>
          <w:p>
            <w:pPr>
              <w:jc w:val="center"/>
              <w:ind w:right="38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23"/>
        </w:trPr>
        <w:tc>
          <w:tcPr>
            <w:tcW w:w="374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2"/>
        </w:trPr>
        <w:tc>
          <w:tcPr>
            <w:tcW w:w="662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2016 Omnibus Incentive Plan</w:t>
            </w:r>
          </w:p>
        </w:tc>
        <w:tc>
          <w:tcPr>
            <w:tcW w:w="2640" w:type="dxa"/>
            <w:vAlign w:val="bottom"/>
          </w:tcPr>
          <w:p>
            <w:pPr>
              <w:spacing w:after="0"/>
              <w:rPr>
                <w:sz w:val="24"/>
                <w:szCs w:val="24"/>
                <w:color w:val="auto"/>
              </w:rPr>
            </w:pPr>
          </w:p>
        </w:tc>
      </w:tr>
      <w:tr>
        <w:trPr>
          <w:trHeight w:val="236"/>
        </w:trPr>
        <w:tc>
          <w:tcPr>
            <w:tcW w:w="3740" w:type="dxa"/>
            <w:vAlign w:val="bottom"/>
          </w:tcPr>
          <w:p>
            <w:pPr>
              <w:spacing w:after="0"/>
              <w:rPr>
                <w:sz w:val="20"/>
                <w:szCs w:val="20"/>
                <w:color w:val="auto"/>
              </w:rPr>
            </w:pP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i w:val="1"/>
                <w:iCs w:val="1"/>
                <w:color w:val="auto"/>
                <w:w w:val="99"/>
              </w:rPr>
              <w:t>(Full title of the plan)</w:t>
            </w:r>
          </w:p>
        </w:tc>
        <w:tc>
          <w:tcPr>
            <w:tcW w:w="26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137160</wp:posOffset>
            </wp:positionV>
            <wp:extent cx="12090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H. Wang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California 94539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445-3700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A. Hedge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Jason C. Dreibelbis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Park Plaza, Twelfth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Irvine, California 92614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253-0900</w:t>
      </w:r>
    </w:p>
    <w:p>
      <w:pPr>
        <w:spacing w:after="0" w:line="207" w:lineRule="exact"/>
        <w:rPr>
          <w:sz w:val="24"/>
          <w:szCs w:val="24"/>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120"/>
              <w:spacing w:after="0" w:line="168" w:lineRule="exact"/>
              <w:rPr>
                <w:sz w:val="20"/>
                <w:szCs w:val="20"/>
                <w:color w:val="auto"/>
              </w:rPr>
            </w:pPr>
            <w:r>
              <w:rPr>
                <w:rFonts w:ascii="MS PGothic" w:cs="MS PGothic" w:eastAsia="MS PGothic" w:hAnsi="MS PGothic"/>
                <w:sz w:val="18"/>
                <w:szCs w:val="18"/>
                <w:color w:val="auto"/>
              </w:rPr>
              <w:t>☒</w:t>
            </w:r>
          </w:p>
        </w:tc>
        <w:tc>
          <w:tcPr>
            <w:tcW w:w="5520" w:type="dxa"/>
            <w:vAlign w:val="bottom"/>
          </w:tcPr>
          <w:p>
            <w:pPr>
              <w:ind w:left="3100"/>
              <w:spacing w:after="0" w:line="169" w:lineRule="exact"/>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68"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5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8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INCORPORATION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relating to the 2016 Omnibus Incentive Plan of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Registration Statement on Form S-8, File No. 333-222702, filed by the registrant with the Securities and Exchange Commission on January 25,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40" w:type="dxa"/>
            <w:vAlign w:val="bottom"/>
          </w:tcPr>
          <w:p>
            <w:pPr>
              <w:spacing w:after="0"/>
              <w:rPr>
                <w:sz w:val="17"/>
                <w:szCs w:val="17"/>
                <w:color w:val="auto"/>
              </w:rPr>
            </w:pPr>
          </w:p>
        </w:tc>
      </w:tr>
      <w:tr>
        <w:trPr>
          <w:trHeight w:val="245"/>
        </w:trPr>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4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Restated Certificate of Incorporation of ACM Research, Inc. (incorporated herein by reference to Exhibit 3.01 to the Current Report on</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November 14, 2017)</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Restated Certificate of Incorporation of ACM Research, Inc., dated July 13, 2021 (incorporated herein by</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3.01 to the Current Report filed on July 13, 2021)</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Restated Bylaws of ACM Research, Inc. (incorporated herein by reference to Exhibit 3.02 to the Current Report on Form 8-K filed on</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2017)</w:t>
            </w: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Opinion of K&amp;L Gates LLP</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Ernst &amp; Young Hua Ming LLP</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Armanino LLP</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BDO China Shu Lun Pan Certified Public Accountants LLP</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4</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K&amp;L Gates LLP (included in Exhibit 5.1)</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Power of Attorney (included on the signature page of this registration statement)</w:t>
            </w:r>
          </w:p>
        </w:tc>
      </w:tr>
      <w:tr>
        <w:trPr>
          <w:trHeight w:val="196"/>
        </w:trPr>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7">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ACM Research, Inc. 2016 Omnibus Incentive Plan (incorporated herein by reference to Exhibit 10.01 to the Quarterly Report on Form 10-</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Q filed on December 8, 2017)</w:t>
            </w:r>
          </w:p>
        </w:tc>
      </w:tr>
    </w:tbl>
    <w:p>
      <w:pPr>
        <w:ind w:left="1200" w:hanging="1192"/>
        <w:spacing w:after="0"/>
        <w:tabs>
          <w:tab w:leader="none" w:pos="1200"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March 18, 2024.</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A. McKechnie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Executive Vice President and Treasurer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60" w:type="dxa"/>
            <w:vAlign w:val="bottom"/>
          </w:tcPr>
          <w:p>
            <w:pPr>
              <w:spacing w:after="0"/>
              <w:rPr>
                <w:sz w:val="21"/>
                <w:szCs w:val="21"/>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39"/>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Wang</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18, 2024</w:t>
            </w:r>
          </w:p>
        </w:tc>
        <w:tc>
          <w:tcPr>
            <w:tcW w:w="0" w:type="dxa"/>
            <w:vAlign w:val="bottom"/>
          </w:tcPr>
          <w:p>
            <w:pPr>
              <w:spacing w:after="0"/>
              <w:rPr>
                <w:sz w:val="1"/>
                <w:szCs w:val="1"/>
                <w:color w:val="auto"/>
              </w:rPr>
            </w:pPr>
          </w:p>
        </w:tc>
      </w:tr>
      <w:tr>
        <w:trPr>
          <w:trHeight w:val="196"/>
        </w:trPr>
        <w:tc>
          <w:tcPr>
            <w:tcW w:w="4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David H. Wang</w:t>
            </w:r>
          </w:p>
        </w:tc>
        <w:tc>
          <w:tcPr>
            <w:tcW w:w="4740" w:type="dxa"/>
            <w:vAlign w:val="bottom"/>
            <w:gridSpan w:val="2"/>
          </w:tcPr>
          <w:p>
            <w:pPr>
              <w:ind w:left="260"/>
              <w:spacing w:after="0" w:line="195" w:lineRule="exact"/>
              <w:rPr>
                <w:sz w:val="20"/>
                <w:szCs w:val="20"/>
                <w:color w:val="auto"/>
              </w:rPr>
            </w:pPr>
            <w:r>
              <w:rPr>
                <w:rFonts w:ascii="Times New Roman" w:cs="Times New Roman" w:eastAsia="Times New Roman" w:hAnsi="Times New Roman"/>
                <w:sz w:val="18"/>
                <w:szCs w:val="18"/>
                <w:color w:val="auto"/>
              </w:rPr>
              <w:t>and Chair of the Board of Directors</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80" w:type="dxa"/>
            <w:vAlign w:val="bottom"/>
          </w:tcPr>
          <w:p>
            <w:pPr>
              <w:spacing w:after="0"/>
              <w:rPr>
                <w:sz w:val="20"/>
                <w:szCs w:val="20"/>
                <w:color w:val="auto"/>
              </w:rPr>
            </w:pP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Mark A. McKechnie</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Financial Officer, Executive Vice President and</w:t>
            </w:r>
          </w:p>
        </w:tc>
        <w:tc>
          <w:tcPr>
            <w:tcW w:w="2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March 18, 2024</w:t>
            </w:r>
          </w:p>
        </w:tc>
        <w:tc>
          <w:tcPr>
            <w:tcW w:w="0" w:type="dxa"/>
            <w:vAlign w:val="bottom"/>
          </w:tcPr>
          <w:p>
            <w:pPr>
              <w:spacing w:after="0"/>
              <w:rPr>
                <w:sz w:val="1"/>
                <w:szCs w:val="1"/>
                <w:color w:val="auto"/>
              </w:rPr>
            </w:pPr>
          </w:p>
        </w:tc>
      </w:tr>
      <w:tr>
        <w:trPr>
          <w:trHeight w:val="126"/>
        </w:trPr>
        <w:tc>
          <w:tcPr>
            <w:tcW w:w="4480" w:type="dxa"/>
            <w:vAlign w:val="bottom"/>
            <w:vMerge w:val="continue"/>
          </w:tcPr>
          <w:p>
            <w:pPr>
              <w:spacing w:after="0"/>
              <w:rPr>
                <w:sz w:val="10"/>
                <w:szCs w:val="10"/>
                <w:color w:val="auto"/>
              </w:rPr>
            </w:pPr>
          </w:p>
        </w:tc>
        <w:tc>
          <w:tcPr>
            <w:tcW w:w="4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Treasurer</w:t>
            </w:r>
          </w:p>
        </w:tc>
        <w:tc>
          <w:tcPr>
            <w:tcW w:w="2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4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Mark A. McKechnie</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Haiping Dun</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18, 2024</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Haiping Dun</w:t>
            </w:r>
          </w:p>
        </w:tc>
        <w:tc>
          <w:tcPr>
            <w:tcW w:w="2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Chenming Hu</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18, 2024</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Chenming Hu</w:t>
            </w:r>
          </w:p>
        </w:tc>
        <w:tc>
          <w:tcPr>
            <w:tcW w:w="2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Liu</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18, 2024</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Tracy Liu</w:t>
            </w:r>
          </w:p>
        </w:tc>
        <w:tc>
          <w:tcPr>
            <w:tcW w:w="2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Xing</w:t>
            </w: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18, 2024</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Xiao Xing</w:t>
            </w:r>
          </w:p>
        </w:tc>
        <w:tc>
          <w:tcPr>
            <w:tcW w:w="2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Park Plaza, Twelfth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Irvine, California 92614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California 94539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acted as counsel to ACM Research,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preparation of the Registration Statement on Form S-8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to be filed by the Company with the Securities and Exchange Commission for the registration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of 2,442,319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the Company’s Class A common stock, $0.0001 par value per share, which are to be issued from time to time in connection with the Company’s 2016 Omnibus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opinion is being delivered in accordance with the requirements of Item 601(b)(5) of Regulation S-K under the Securities Act.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have requested our opinion as to the matters set forth below in connection with the Registration Statement. For purposes of rendering that opinion, we have examined copies of the Plan, the Registration Statement, the Company’s Restated Certificate of Incorporation (as amended to date)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 will be validly issued, fully paid and nonassessable.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opinion expressed in this opinion letter is limited to the laws of the State of Delaware. The foregoing opinion is rendered as of the date of this letter. We assume no obligation to update or supplement such opinion in order to reflect any changes of law or fact that may occur.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5.1 to the Registration Statement. In giving our consent we do not thereby admit that we are in the category of persons whose consent is required under Section 7 of the Securities Act or the rules and regulations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K&amp;L Gates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2016 Omnibus Incentive Plan of ACM Research, Inc. of our reports dated February 28, 2024, with respect to the consolidated financial statements of ACM Research, Inc. and the effectiveness of internal control over financial reporting of ACM Research,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our report dated March 1, 2023, relating to the consolidated financial statements of ACM Research, Inc. and subsidiaries (the “Company”) appearing in the Annual Report on Form 10-K of the Company for the year ended December 31, 2023.</w:t>
      </w:r>
    </w:p>
    <w:p>
      <w:pPr>
        <w:spacing w:after="0" w:line="2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/s/Armanino</w:t>
      </w:r>
      <w:r>
        <w:rPr>
          <w:rFonts w:ascii="Times New Roman" w:cs="Times New Roman" w:eastAsia="Times New Roman" w:hAnsi="Times New Roman"/>
          <w:sz w:val="29"/>
          <w:szCs w:val="29"/>
          <w:color w:val="auto"/>
          <w:vertAlign w:val="superscript"/>
        </w:rPr>
        <w:t>LLP</w:t>
      </w:r>
    </w:p>
    <w:p>
      <w:pPr>
        <w:ind w:left="4540"/>
        <w:spacing w:after="0"/>
        <w:rPr>
          <w:sz w:val="20"/>
          <w:szCs w:val="20"/>
          <w:color w:val="auto"/>
        </w:rPr>
      </w:pPr>
      <w:r>
        <w:rPr>
          <w:rFonts w:ascii="Times New Roman" w:cs="Times New Roman" w:eastAsia="Times New Roman" w:hAnsi="Times New Roman"/>
          <w:sz w:val="18"/>
          <w:szCs w:val="18"/>
          <w:color w:val="auto"/>
        </w:rPr>
        <w:t>San Ramon,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19685</wp:posOffset>
            </wp:positionV>
            <wp:extent cx="501459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45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ACM Research, Inc. (the “Company”) of our report dated March 1, 2022 except for the effects of the common stock split discussed in Notes 1 and 2 to the consolidated financial statements of the Company, as to which the date is March 1, 2023, relating to the consolidated financial statements of the Company, which appear in the Company’s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China Shu Lun Pan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2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45"/>
        </w:trPr>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 (2)</w:t>
            </w:r>
          </w:p>
        </w:tc>
        <w:tc>
          <w:tcPr>
            <w:tcW w:w="22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Price (2)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198"/>
        </w:trPr>
        <w:tc>
          <w:tcPr>
            <w:tcW w:w="10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w:t>
            </w: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$0.0001 par</w:t>
            </w:r>
          </w:p>
        </w:tc>
        <w:tc>
          <w:tcPr>
            <w:tcW w:w="12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Rules 457(c)</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71,095,906.10</w:t>
            </w:r>
          </w:p>
        </w:tc>
        <w:tc>
          <w:tcPr>
            <w:tcW w:w="100" w:type="dxa"/>
            <w:vAlign w:val="bottom"/>
            <w:vMerge w:val="restart"/>
            <w:shd w:val="clear" w:color="auto" w:fill="CCEEFF"/>
          </w:tcPr>
          <w:p>
            <w:pPr>
              <w:spacing w:after="0"/>
              <w:rPr>
                <w:sz w:val="18"/>
                <w:szCs w:val="18"/>
                <w:color w:val="auto"/>
              </w:rPr>
            </w:pPr>
          </w:p>
        </w:tc>
        <w:tc>
          <w:tcPr>
            <w:tcW w:w="174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10,493.76</w:t>
            </w:r>
          </w:p>
        </w:tc>
        <w:tc>
          <w:tcPr>
            <w:tcW w:w="0" w:type="dxa"/>
            <w:vAlign w:val="bottom"/>
          </w:tcPr>
          <w:p>
            <w:pPr>
              <w:spacing w:after="0"/>
              <w:rPr>
                <w:sz w:val="1"/>
                <w:szCs w:val="1"/>
                <w:color w:val="auto"/>
              </w:rPr>
            </w:pPr>
          </w:p>
        </w:tc>
      </w:tr>
      <w:tr>
        <w:trPr>
          <w:trHeight w:val="221"/>
        </w:trPr>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12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and 457(h)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2,442,319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29.11</w:t>
            </w: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740" w:type="dxa"/>
            <w:vAlign w:val="bottom"/>
            <w:tcBorders>
              <w:right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0.00014760</w:t>
            </w:r>
          </w:p>
        </w:tc>
        <w:tc>
          <w:tcPr>
            <w:tcW w:w="120" w:type="dxa"/>
            <w:vAlign w:val="bottom"/>
            <w:vMerge w:val="continue"/>
            <w:shd w:val="clear" w:color="auto" w:fill="CCEEFF"/>
          </w:tcPr>
          <w:p>
            <w:pPr>
              <w:spacing w:after="0"/>
              <w:rPr>
                <w:sz w:val="19"/>
                <w:szCs w:val="19"/>
                <w:color w:val="auto"/>
              </w:rPr>
            </w:pPr>
          </w:p>
        </w:tc>
        <w:tc>
          <w:tcPr>
            <w:tcW w:w="118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71,095,906.10</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10,493.76</w:t>
            </w:r>
          </w:p>
        </w:tc>
        <w:tc>
          <w:tcPr>
            <w:tcW w:w="40" w:type="dxa"/>
            <w:vAlign w:val="bottom"/>
          </w:tcPr>
          <w:p>
            <w:pPr>
              <w:spacing w:after="0"/>
              <w:rPr>
                <w:sz w:val="19"/>
                <w:szCs w:val="19"/>
                <w:color w:val="auto"/>
              </w:rPr>
            </w:pPr>
          </w:p>
        </w:tc>
      </w:tr>
      <w:tr>
        <w:trPr>
          <w:trHeight w:val="236"/>
        </w:trPr>
        <w:tc>
          <w:tcPr>
            <w:tcW w:w="6620" w:type="dxa"/>
            <w:vAlign w:val="bottom"/>
            <w:tcBorders>
              <w:top w:val="single" w:sz="8" w:color="CCEEFF"/>
              <w:bottom w:val="single" w:sz="8" w:color="CCEEFF"/>
            </w:tcBorders>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6620" w:type="dxa"/>
            <w:vAlign w:val="bottom"/>
          </w:tcPr>
          <w:p>
            <w:pPr>
              <w:jc w:val="center"/>
              <w:ind w:right="1190"/>
              <w:spacing w:after="0" w:line="203" w:lineRule="exact"/>
              <w:rPr>
                <w:sz w:val="20"/>
                <w:szCs w:val="20"/>
                <w:color w:val="auto"/>
              </w:rPr>
            </w:pPr>
            <w:r>
              <w:rPr>
                <w:rFonts w:ascii="Times New Roman" w:cs="Times New Roman" w:eastAsia="Times New Roman" w:hAnsi="Times New Roman"/>
                <w:sz w:val="18"/>
                <w:szCs w:val="18"/>
                <w:b w:val="1"/>
                <w:bCs w:val="1"/>
                <w:color w:val="auto"/>
                <w:w w:val="99"/>
              </w:rPr>
              <w:t>Net Fee Due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10,493.76</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jc w:val="both"/>
        <w:ind w:left="460" w:hanging="452"/>
        <w:spacing w:after="0" w:line="25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additional shares available for issuance under the registrant’s 2016 Omnibus Incentive Plan as the result of an annual increase effective as of January 1, 2024. In accordance with Rule 416 under the Securities Act of 1933,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460" w:right="120" w:hanging="452"/>
        <w:spacing w:after="0" w:line="290" w:lineRule="auto"/>
        <w:tabs>
          <w:tab w:leader="none" w:pos="4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Rules 457(c) and (h) under the Securities Act of 1933 and based upon the average of the high and low prices of the registrant’s Class A common stock as reported on The NASDAQ Global Market on 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-702310</wp:posOffset>
            </wp:positionV>
            <wp:extent cx="796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7"/>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4" Type="http://schemas.openxmlformats.org/officeDocument/2006/relationships/hyperlink" Target="https://www.sec.gov/Archives/edgar/data/1680062/000119312517342650/d407541dex301.htm" TargetMode="External"/><Relationship Id="rId15" Type="http://schemas.openxmlformats.org/officeDocument/2006/relationships/hyperlink" Target="https://www.sec.gov/Archives/edgar/data/1680062/000114036121024240/brhc10026736_ex3-01.htm" TargetMode="External"/><Relationship Id="rId16" Type="http://schemas.openxmlformats.org/officeDocument/2006/relationships/hyperlink" Target="https://www.sec.gov/Archives/edgar/data/1680062/000119312517342650/d407541dex302.htm" TargetMode="External"/><Relationship Id="rId17" Type="http://schemas.openxmlformats.org/officeDocument/2006/relationships/hyperlink" Target="https://www.sec.gov/Archives/edgar/data/1680062/000119312517364926/d481028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2024-03-18T15:41:01Z</dcterms:created>
  <dcterms:modified xsi:type="dcterms:W3CDTF">2024-03-18T15:41:01Z</dcterms:modified>
</cp:coreProperties>
</file>