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6993890" cy="5642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64261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Cheav Sotheara</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740"/>
        <w:spacing w:after="0" w:line="327" w:lineRule="auto"/>
        <w:rPr>
          <w:sz w:val="20"/>
          <w:szCs w:val="20"/>
          <w:color w:val="auto"/>
        </w:rPr>
      </w:pPr>
      <w:r>
        <w:rPr>
          <w:rFonts w:ascii="Times New Roman" w:cs="Times New Roman" w:eastAsia="Times New Roman" w:hAnsi="Times New Roman"/>
          <w:sz w:val="16"/>
          <w:szCs w:val="16"/>
          <w:color w:val="0000FF"/>
        </w:rPr>
        <w:t>C/O ACM RESEARCH, INC. 42307 OSGOOD ROAD, SUITE 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ACM Research,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ACMR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02/06/2025</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7"/>
          <w:szCs w:val="17"/>
          <w:color w:val="0000FF"/>
        </w:rPr>
        <w:t>See remarks</w:t>
      </w:r>
    </w:p>
    <w:p>
      <w:pPr>
        <w:spacing w:after="0" w:line="43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80" w:type="dxa"/>
            <w:vAlign w:val="bottom"/>
            <w:gridSpan w:val="7"/>
          </w:tcPr>
          <w:p>
            <w:pPr>
              <w:jc w:val="center"/>
              <w:ind w:right="35"/>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640" w:type="dxa"/>
            <w:vAlign w:val="bottom"/>
            <w:gridSpan w:val="10"/>
          </w:tcPr>
          <w:p>
            <w:pPr>
              <w:ind w:left="30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FREMONT</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94539</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3"/>
          </w:tcPr>
          <w:p>
            <w:pPr>
              <w:spacing w:after="0"/>
              <w:rPr>
                <w:sz w:val="10"/>
                <w:szCs w:val="10"/>
                <w:color w:val="auto"/>
              </w:rPr>
            </w:pPr>
          </w:p>
        </w:tc>
        <w:tc>
          <w:tcPr>
            <w:tcW w:w="2580" w:type="dxa"/>
            <w:vAlign w:val="bottom"/>
            <w:tcBorders>
              <w:bottom w:val="single" w:sz="8" w:color="2C2C2C"/>
            </w:tcBorders>
            <w:gridSpan w:val="5"/>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jc w:val="center"/>
              <w:ind w:left="59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9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tcBorders>
              <w:bottom w:val="single" w:sz="8" w:color="2C2C2C"/>
            </w:tcBorders>
            <w:gridSpan w:val="3"/>
          </w:tcPr>
          <w:p>
            <w:pPr>
              <w:jc w:val="center"/>
              <w:ind w:left="590"/>
              <w:spacing w:after="0"/>
              <w:rPr>
                <w:sz w:val="20"/>
                <w:szCs w:val="20"/>
                <w:color w:val="auto"/>
              </w:rPr>
            </w:pPr>
            <w:r>
              <w:rPr>
                <w:rFonts w:ascii="Times New Roman" w:cs="Times New Roman" w:eastAsia="Times New Roman" w:hAnsi="Times New Roman"/>
                <w:sz w:val="17"/>
                <w:szCs w:val="17"/>
                <w:color w:val="0000FF"/>
                <w:w w:val="98"/>
              </w:rPr>
              <w:t>02/06/2025</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4"/>
              </w:rPr>
              <w:t>10,000</w:t>
            </w:r>
          </w:p>
        </w:tc>
        <w:tc>
          <w:tcPr>
            <w:tcW w:w="6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13.89</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110,002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tcBorders>
              <w:bottom w:val="single" w:sz="8" w:color="2C2C2C"/>
            </w:tcBorders>
            <w:gridSpan w:val="3"/>
          </w:tcPr>
          <w:p>
            <w:pPr>
              <w:jc w:val="center"/>
              <w:ind w:left="590"/>
              <w:spacing w:after="0"/>
              <w:rPr>
                <w:sz w:val="20"/>
                <w:szCs w:val="20"/>
                <w:color w:val="auto"/>
              </w:rPr>
            </w:pPr>
            <w:r>
              <w:rPr>
                <w:rFonts w:ascii="Times New Roman" w:cs="Times New Roman" w:eastAsia="Times New Roman" w:hAnsi="Times New Roman"/>
                <w:sz w:val="17"/>
                <w:szCs w:val="17"/>
                <w:color w:val="0000FF"/>
                <w:w w:val="98"/>
              </w:rPr>
              <w:t>02/06/2025</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(2)</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4"/>
              </w:rPr>
              <w:t>12,598</w:t>
            </w:r>
          </w:p>
        </w:tc>
        <w:tc>
          <w:tcPr>
            <w:tcW w:w="6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13.89</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122,600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tcBorders>
              <w:bottom w:val="single" w:sz="8" w:color="2C2C2C"/>
            </w:tcBorders>
            <w:gridSpan w:val="3"/>
          </w:tcPr>
          <w:p>
            <w:pPr>
              <w:jc w:val="center"/>
              <w:ind w:left="590"/>
              <w:spacing w:after="0"/>
              <w:rPr>
                <w:sz w:val="20"/>
                <w:szCs w:val="20"/>
                <w:color w:val="auto"/>
              </w:rPr>
            </w:pPr>
            <w:r>
              <w:rPr>
                <w:rFonts w:ascii="Times New Roman" w:cs="Times New Roman" w:eastAsia="Times New Roman" w:hAnsi="Times New Roman"/>
                <w:sz w:val="17"/>
                <w:szCs w:val="17"/>
                <w:color w:val="0000FF"/>
                <w:w w:val="98"/>
              </w:rPr>
              <w:t>02/06/2025</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(3)</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4"/>
              </w:rPr>
              <w:t>22,598</w:t>
            </w:r>
          </w:p>
        </w:tc>
        <w:tc>
          <w:tcPr>
            <w:tcW w:w="6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jc w:val="center"/>
              <w:ind w:left="131"/>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23</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100,002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6"/>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jc w:val="center"/>
              <w:ind w:left="47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4"/>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jc w:val="center"/>
              <w:ind w:right="441"/>
              <w:spacing w:after="0"/>
              <w:rPr>
                <w:sz w:val="20"/>
                <w:szCs w:val="20"/>
                <w:color w:val="auto"/>
              </w:rPr>
            </w:pPr>
            <w:r>
              <w:rPr>
                <w:rFonts w:ascii="Arial" w:cs="Arial" w:eastAsia="Arial" w:hAnsi="Arial"/>
                <w:sz w:val="12"/>
                <w:szCs w:val="12"/>
                <w:b w:val="1"/>
                <w:bCs w:val="1"/>
                <w:color w:val="auto"/>
                <w:w w:val="99"/>
              </w:rPr>
              <w:t>4.</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7"/>
              </w:rPr>
              <w:t>Expiration Date</w:t>
            </w:r>
          </w:p>
        </w:tc>
        <w:tc>
          <w:tcPr>
            <w:tcW w:w="620" w:type="dxa"/>
            <w:vAlign w:val="bottom"/>
          </w:tcPr>
          <w:p>
            <w:pPr>
              <w:spacing w:after="0"/>
              <w:rPr>
                <w:sz w:val="11"/>
                <w:szCs w:val="11"/>
                <w:color w:val="auto"/>
              </w:rPr>
            </w:pPr>
          </w:p>
        </w:tc>
        <w:tc>
          <w:tcPr>
            <w:tcW w:w="12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jc w:val="center"/>
              <w:ind w:right="441"/>
              <w:spacing w:after="0" w:line="129" w:lineRule="exact"/>
              <w:rPr>
                <w:sz w:val="20"/>
                <w:szCs w:val="20"/>
                <w:color w:val="auto"/>
              </w:rPr>
            </w:pPr>
            <w:r>
              <w:rPr>
                <w:rFonts w:ascii="Arial" w:cs="Arial" w:eastAsia="Arial" w:hAnsi="Arial"/>
                <w:sz w:val="12"/>
                <w:szCs w:val="12"/>
                <w:b w:val="1"/>
                <w:bCs w:val="1"/>
                <w:color w:val="auto"/>
                <w:w w:val="93"/>
              </w:rPr>
              <w:t>8)</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gridSpan w:val="2"/>
            <w:vMerge w:val="restart"/>
          </w:tcPr>
          <w:p>
            <w:pPr>
              <w:ind w:left="8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90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jc w:val="center"/>
              <w:ind w:right="55"/>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10,000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13.89</w:t>
            </w:r>
          </w:p>
        </w:tc>
        <w:tc>
          <w:tcPr>
            <w:tcW w:w="140" w:type="dxa"/>
            <w:vAlign w:val="bottom"/>
          </w:tcPr>
          <w:p>
            <w:pPr>
              <w:spacing w:after="0"/>
              <w:rPr>
                <w:sz w:val="5"/>
                <w:szCs w:val="5"/>
                <w:color w:val="auto"/>
              </w:rPr>
            </w:pPr>
          </w:p>
        </w:tc>
        <w:tc>
          <w:tcPr>
            <w:tcW w:w="1040" w:type="dxa"/>
            <w:vAlign w:val="bottom"/>
            <w:vMerge w:val="restart"/>
          </w:tcPr>
          <w:p>
            <w:pPr>
              <w:jc w:val="right"/>
              <w:ind w:right="136"/>
              <w:spacing w:after="0" w:line="142" w:lineRule="exact"/>
              <w:rPr>
                <w:sz w:val="20"/>
                <w:szCs w:val="20"/>
                <w:color w:val="auto"/>
              </w:rPr>
            </w:pPr>
            <w:r>
              <w:rPr>
                <w:rFonts w:ascii="Times New Roman" w:cs="Times New Roman" w:eastAsia="Times New Roman" w:hAnsi="Times New Roman"/>
                <w:sz w:val="13"/>
                <w:szCs w:val="13"/>
                <w:color w:val="0000FF"/>
              </w:rPr>
              <w:t>02/06/2025</w:t>
            </w:r>
          </w:p>
        </w:tc>
        <w:tc>
          <w:tcPr>
            <w:tcW w:w="11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900" w:type="dxa"/>
            <w:vAlign w:val="bottom"/>
            <w:vMerge w:val="restart"/>
          </w:tcPr>
          <w:p>
            <w:pPr>
              <w:ind w:left="440"/>
              <w:spacing w:after="0" w:line="142" w:lineRule="exact"/>
              <w:rPr>
                <w:sz w:val="20"/>
                <w:szCs w:val="20"/>
                <w:color w:val="auto"/>
              </w:rPr>
            </w:pPr>
            <w:r>
              <w:rPr>
                <w:rFonts w:ascii="Times New Roman" w:cs="Times New Roman" w:eastAsia="Times New Roman" w:hAnsi="Times New Roman"/>
                <w:sz w:val="13"/>
                <w:szCs w:val="13"/>
                <w:color w:val="0000FF"/>
              </w:rPr>
              <w:t>10,000</w:t>
            </w:r>
          </w:p>
        </w:tc>
        <w:tc>
          <w:tcPr>
            <w:tcW w:w="760" w:type="dxa"/>
            <w:vAlign w:val="bottom"/>
            <w:gridSpan w:val="2"/>
            <w:vMerge w:val="continue"/>
          </w:tcPr>
          <w:p>
            <w:pPr>
              <w:spacing w:after="0"/>
              <w:rPr>
                <w:sz w:val="5"/>
                <w:szCs w:val="5"/>
                <w:color w:val="auto"/>
              </w:rPr>
            </w:pPr>
          </w:p>
        </w:tc>
        <w:tc>
          <w:tcPr>
            <w:tcW w:w="7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08/09/2033</w:t>
            </w:r>
          </w:p>
        </w:tc>
        <w:tc>
          <w:tcPr>
            <w:tcW w:w="620" w:type="dxa"/>
            <w:vAlign w:val="bottom"/>
            <w:vMerge w:val="restart"/>
          </w:tcPr>
          <w:p>
            <w:pPr>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40"/>
              <w:spacing w:after="0" w:line="142" w:lineRule="exact"/>
              <w:rPr>
                <w:sz w:val="20"/>
                <w:szCs w:val="20"/>
                <w:color w:val="auto"/>
              </w:rPr>
            </w:pPr>
            <w:r>
              <w:rPr>
                <w:rFonts w:ascii="Times New Roman" w:cs="Times New Roman" w:eastAsia="Times New Roman" w:hAnsi="Times New Roman"/>
                <w:sz w:val="13"/>
                <w:szCs w:val="13"/>
                <w:color w:val="0000FF"/>
                <w:w w:val="94"/>
              </w:rPr>
              <w:t>90,000</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vMerge w:val="restart"/>
          </w:tcPr>
          <w:p>
            <w:pPr>
              <w:jc w:val="center"/>
              <w:ind w:right="55"/>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gridSpan w:val="2"/>
            <w:vMerge w:val="restart"/>
          </w:tcPr>
          <w:p>
            <w:pPr>
              <w:ind w:left="8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(2)</w:t>
            </w:r>
          </w:p>
        </w:tc>
        <w:tc>
          <w:tcPr>
            <w:tcW w:w="90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jc w:val="center"/>
              <w:ind w:right="55"/>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12,598</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13.89</w:t>
            </w:r>
          </w:p>
        </w:tc>
        <w:tc>
          <w:tcPr>
            <w:tcW w:w="140" w:type="dxa"/>
            <w:vAlign w:val="bottom"/>
          </w:tcPr>
          <w:p>
            <w:pPr>
              <w:spacing w:after="0"/>
              <w:rPr>
                <w:sz w:val="5"/>
                <w:szCs w:val="5"/>
                <w:color w:val="auto"/>
              </w:rPr>
            </w:pPr>
          </w:p>
        </w:tc>
        <w:tc>
          <w:tcPr>
            <w:tcW w:w="1040" w:type="dxa"/>
            <w:vAlign w:val="bottom"/>
            <w:vMerge w:val="restart"/>
          </w:tcPr>
          <w:p>
            <w:pPr>
              <w:jc w:val="right"/>
              <w:ind w:right="136"/>
              <w:spacing w:after="0" w:line="142" w:lineRule="exact"/>
              <w:rPr>
                <w:sz w:val="20"/>
                <w:szCs w:val="20"/>
                <w:color w:val="auto"/>
              </w:rPr>
            </w:pPr>
            <w:r>
              <w:rPr>
                <w:rFonts w:ascii="Times New Roman" w:cs="Times New Roman" w:eastAsia="Times New Roman" w:hAnsi="Times New Roman"/>
                <w:sz w:val="13"/>
                <w:szCs w:val="13"/>
                <w:color w:val="0000FF"/>
              </w:rPr>
              <w:t>02/06/2025</w:t>
            </w:r>
          </w:p>
        </w:tc>
        <w:tc>
          <w:tcPr>
            <w:tcW w:w="11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900" w:type="dxa"/>
            <w:vAlign w:val="bottom"/>
            <w:vMerge w:val="restart"/>
          </w:tcPr>
          <w:p>
            <w:pPr>
              <w:ind w:left="440"/>
              <w:spacing w:after="0" w:line="142" w:lineRule="exact"/>
              <w:rPr>
                <w:sz w:val="20"/>
                <w:szCs w:val="20"/>
                <w:color w:val="auto"/>
              </w:rPr>
            </w:pPr>
            <w:r>
              <w:rPr>
                <w:rFonts w:ascii="Times New Roman" w:cs="Times New Roman" w:eastAsia="Times New Roman" w:hAnsi="Times New Roman"/>
                <w:sz w:val="13"/>
                <w:szCs w:val="13"/>
                <w:color w:val="0000FF"/>
              </w:rPr>
              <w:t>12,598</w:t>
            </w:r>
          </w:p>
        </w:tc>
        <w:tc>
          <w:tcPr>
            <w:tcW w:w="760" w:type="dxa"/>
            <w:vAlign w:val="bottom"/>
            <w:gridSpan w:val="2"/>
            <w:vMerge w:val="continue"/>
          </w:tcPr>
          <w:p>
            <w:pPr>
              <w:spacing w:after="0"/>
              <w:rPr>
                <w:sz w:val="5"/>
                <w:szCs w:val="5"/>
                <w:color w:val="auto"/>
              </w:rPr>
            </w:pPr>
          </w:p>
        </w:tc>
        <w:tc>
          <w:tcPr>
            <w:tcW w:w="7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08/09/2033</w:t>
            </w:r>
          </w:p>
        </w:tc>
        <w:tc>
          <w:tcPr>
            <w:tcW w:w="620" w:type="dxa"/>
            <w:vAlign w:val="bottom"/>
            <w:vMerge w:val="restart"/>
          </w:tcPr>
          <w:p>
            <w:pPr>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40"/>
              <w:spacing w:after="0" w:line="142" w:lineRule="exact"/>
              <w:rPr>
                <w:sz w:val="20"/>
                <w:szCs w:val="20"/>
                <w:color w:val="auto"/>
              </w:rPr>
            </w:pPr>
            <w:r>
              <w:rPr>
                <w:rFonts w:ascii="Times New Roman" w:cs="Times New Roman" w:eastAsia="Times New Roman" w:hAnsi="Times New Roman"/>
                <w:sz w:val="13"/>
                <w:szCs w:val="13"/>
                <w:color w:val="0000FF"/>
                <w:w w:val="94"/>
              </w:rPr>
              <w:t>77,402</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vMerge w:val="restart"/>
          </w:tcPr>
          <w:p>
            <w:pPr>
              <w:jc w:val="center"/>
              <w:ind w:right="55"/>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-2362200</wp:posOffset>
            </wp:positionV>
            <wp:extent cx="29210" cy="23672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36728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6, 2025, the reporting person exercised a previously issued stock option to purchase 10,000 shares of Class A Common Stock of the Issuer.</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6, 2025, the reporting person exercised a previously issued stock option to purchase 12,598 shares of Class A Common Stock of the Issuer.</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a Rule 10b5-1 trading plan adopted by the reporting person on August 13, 2024.</w:t>
      </w:r>
    </w:p>
    <w:p>
      <w:pPr>
        <w:spacing w:after="0" w:line="43" w:lineRule="exact"/>
        <w:rPr>
          <w:rFonts w:ascii="Times New Roman" w:cs="Times New Roman" w:eastAsia="Times New Roman" w:hAnsi="Times New Roman"/>
          <w:sz w:val="13"/>
          <w:szCs w:val="13"/>
          <w:color w:val="008000"/>
        </w:rPr>
      </w:pPr>
    </w:p>
    <w:p>
      <w:pPr>
        <w:ind w:left="40" w:right="40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will vest and become exercisable as to 25,000 shares on August 09, 2024 and the remaining 75,000 shares will vest and become exercisable in equal monthly installments over the following 36 months, subject to continued service through each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Senior Vice President, Manufacturing of ACM Research (Shanghai), Inc., a subsidiary of the Issuer.</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Mark McKechnie, Attorney- </w:t>
      </w:r>
      <w:r>
        <w:rPr>
          <w:rFonts w:ascii="Times New Roman" w:cs="Times New Roman" w:eastAsia="Times New Roman" w:hAnsi="Times New Roman"/>
          <w:sz w:val="33"/>
          <w:szCs w:val="33"/>
          <w:color w:val="0000FF"/>
          <w:vertAlign w:val="subscript"/>
        </w:rPr>
        <w:t>02/10/2025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481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81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Sotheara Cheav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1499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4998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21279" TargetMode="External"/><Relationship Id="rId14"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2025-02-10T15:41:17Z</dcterms:created>
  <dcterms:modified xsi:type="dcterms:W3CDTF">2025-02-10T15:41:17Z</dcterms:modified>
</cp:coreProperties>
</file>