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70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040" w:type="dxa"/>
            <w:vAlign w:val="bottom"/>
            <w:vMerge w:val="restart"/>
          </w:tcPr>
          <w:p>
            <w:pPr>
              <w:ind w:left="1760"/>
              <w:spacing w:after="0"/>
              <w:rPr>
                <w:sz w:val="20"/>
                <w:szCs w:val="20"/>
                <w:color w:val="auto"/>
              </w:rPr>
            </w:pPr>
            <w:r>
              <w:rPr>
                <w:rFonts w:ascii="Arial" w:cs="Arial" w:eastAsia="Arial" w:hAnsi="Arial"/>
                <w:sz w:val="18"/>
                <w:szCs w:val="18"/>
                <w:color w:val="auto"/>
                <w:w w:val="85"/>
              </w:rPr>
              <w:t>Page 1 of 5 Pages</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vMerge w:val="continue"/>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20"/>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ACM Research,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00108J109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12,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 :</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8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70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040" w:type="dxa"/>
            <w:vAlign w:val="bottom"/>
            <w:vMerge w:val="restart"/>
          </w:tcPr>
          <w:p>
            <w:pPr>
              <w:ind w:left="1760"/>
              <w:spacing w:after="0"/>
              <w:rPr>
                <w:sz w:val="20"/>
                <w:szCs w:val="20"/>
                <w:color w:val="auto"/>
              </w:rPr>
            </w:pPr>
            <w:r>
              <w:rPr>
                <w:rFonts w:ascii="Arial" w:cs="Arial" w:eastAsia="Arial" w:hAnsi="Arial"/>
                <w:sz w:val="18"/>
                <w:szCs w:val="18"/>
                <w:color w:val="auto"/>
                <w:w w:val="85"/>
              </w:rPr>
              <w:t>Page 2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7003415" cy="5220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5220970"/>
                    </a:xfrm>
                    <a:prstGeom prst="rect">
                      <a:avLst/>
                    </a:prstGeom>
                    <a:noFill/>
                  </pic:spPr>
                </pic:pic>
              </a:graphicData>
            </a:graphic>
          </wp:anchor>
        </w:drawing>
      </w:r>
    </w:p>
    <w:p>
      <w:pPr>
        <w:ind w:left="704" w:hanging="457"/>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1" w:lineRule="exact"/>
        <w:rPr>
          <w:sz w:val="20"/>
          <w:szCs w:val="20"/>
          <w:color w:val="auto"/>
        </w:rPr>
      </w:pPr>
    </w:p>
    <w:p>
      <w:pPr>
        <w:ind w:left="704"/>
        <w:spacing w:after="0"/>
        <w:rPr>
          <w:sz w:val="20"/>
          <w:szCs w:val="20"/>
          <w:color w:val="auto"/>
        </w:rPr>
      </w:pPr>
      <w:r>
        <w:rPr>
          <w:rFonts w:ascii="Arial" w:cs="Arial" w:eastAsia="Arial" w:hAnsi="Arial"/>
          <w:sz w:val="18"/>
          <w:szCs w:val="18"/>
          <w:color w:val="auto"/>
        </w:rPr>
        <w:t>GIC Private Limited</w:t>
      </w:r>
    </w:p>
    <w:p>
      <w:pPr>
        <w:spacing w:after="0" w:line="36" w:lineRule="exact"/>
        <w:rPr>
          <w:sz w:val="20"/>
          <w:szCs w:val="20"/>
          <w:color w:val="auto"/>
        </w:rPr>
      </w:pPr>
    </w:p>
    <w:p>
      <w:pPr>
        <w:ind w:left="704" w:hanging="457"/>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04" w:hanging="457"/>
        <w:spacing w:after="0"/>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04"/>
        <w:spacing w:after="0"/>
        <w:rPr>
          <w:rFonts w:ascii="Arial" w:cs="Arial" w:eastAsia="Arial" w:hAnsi="Arial"/>
          <w:sz w:val="18"/>
          <w:szCs w:val="18"/>
          <w:color w:val="auto"/>
        </w:rPr>
      </w:pPr>
      <w:r>
        <w:rPr>
          <w:rFonts w:ascii="Arial" w:cs="Arial" w:eastAsia="Arial" w:hAnsi="Arial"/>
          <w:sz w:val="18"/>
          <w:szCs w:val="18"/>
          <w:color w:val="auto"/>
        </w:rPr>
        <w:t>Republic of Singapore</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687,847</w:t>
            </w:r>
          </w:p>
        </w:tc>
        <w:tc>
          <w:tcPr>
            <w:tcW w:w="0" w:type="dxa"/>
            <w:vAlign w:val="bottom"/>
          </w:tcPr>
          <w:p>
            <w:pPr>
              <w:spacing w:after="0"/>
              <w:rPr>
                <w:sz w:val="1"/>
                <w:szCs w:val="1"/>
                <w:color w:val="auto"/>
              </w:rPr>
            </w:pPr>
          </w:p>
        </w:tc>
      </w:tr>
      <w:tr>
        <w:trPr>
          <w:trHeight w:val="23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92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152,968</w:t>
            </w: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20"/>
                <w:szCs w:val="20"/>
                <w:color w:val="auto"/>
              </w:rPr>
            </w:pPr>
          </w:p>
        </w:tc>
        <w:tc>
          <w:tcPr>
            <w:tcW w:w="9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20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687,847</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64"/>
        <w:spacing w:after="0"/>
        <w:rPr>
          <w:sz w:val="20"/>
          <w:szCs w:val="20"/>
          <w:color w:val="auto"/>
        </w:rPr>
      </w:pPr>
      <w:r>
        <w:rPr>
          <w:rFonts w:ascii="Arial" w:cs="Arial" w:eastAsia="Arial" w:hAnsi="Arial"/>
          <w:sz w:val="18"/>
          <w:szCs w:val="18"/>
          <w:color w:val="auto"/>
        </w:rPr>
        <w:t>152,968</w:t>
      </w:r>
    </w:p>
    <w:p>
      <w:pPr>
        <w:spacing w:after="0" w:line="36" w:lineRule="exact"/>
        <w:rPr>
          <w:sz w:val="20"/>
          <w:szCs w:val="20"/>
          <w:color w:val="auto"/>
        </w:rPr>
      </w:pPr>
    </w:p>
    <w:p>
      <w:pPr>
        <w:ind w:left="704" w:hanging="457"/>
        <w:spacing w:after="0"/>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04"/>
        <w:spacing w:after="0"/>
        <w:rPr>
          <w:sz w:val="20"/>
          <w:szCs w:val="20"/>
          <w:color w:val="auto"/>
        </w:rPr>
      </w:pPr>
      <w:r>
        <w:rPr>
          <w:rFonts w:ascii="Arial" w:cs="Arial" w:eastAsia="Arial" w:hAnsi="Arial"/>
          <w:sz w:val="18"/>
          <w:szCs w:val="18"/>
          <w:color w:val="auto"/>
        </w:rPr>
        <w:t>840,815</w:t>
      </w:r>
    </w:p>
    <w:p>
      <w:pPr>
        <w:spacing w:after="0" w:line="36" w:lineRule="exact"/>
        <w:rPr>
          <w:sz w:val="20"/>
          <w:szCs w:val="20"/>
          <w:color w:val="auto"/>
        </w:rPr>
      </w:pPr>
    </w:p>
    <w:p>
      <w:pPr>
        <w:ind w:left="704" w:hanging="547"/>
        <w:spacing w:after="0"/>
        <w:tabs>
          <w:tab w:leader="none" w:pos="70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7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04" w:hanging="547"/>
        <w:spacing w:after="0"/>
        <w:tabs>
          <w:tab w:leader="none" w:pos="70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04"/>
        <w:spacing w:after="0"/>
        <w:rPr>
          <w:rFonts w:ascii="Arial" w:cs="Arial" w:eastAsia="Arial" w:hAnsi="Arial"/>
          <w:sz w:val="18"/>
          <w:szCs w:val="18"/>
          <w:color w:val="auto"/>
        </w:rPr>
      </w:pPr>
      <w:r>
        <w:rPr>
          <w:rFonts w:ascii="Arial" w:cs="Arial" w:eastAsia="Arial" w:hAnsi="Arial"/>
          <w:sz w:val="18"/>
          <w:szCs w:val="18"/>
          <w:color w:val="auto"/>
        </w:rPr>
        <w:t>5.15%</w:t>
      </w:r>
      <w:r>
        <w:rPr>
          <w:rFonts w:ascii="Arial" w:cs="Arial" w:eastAsia="Arial" w:hAnsi="Arial"/>
          <w:sz w:val="15"/>
          <w:szCs w:val="15"/>
          <w:color w:val="auto"/>
        </w:rPr>
        <w:t>(1)</w:t>
      </w:r>
    </w:p>
    <w:p>
      <w:pPr>
        <w:spacing w:after="0" w:line="36" w:lineRule="exact"/>
        <w:rPr>
          <w:rFonts w:ascii="Arial" w:cs="Arial" w:eastAsia="Arial" w:hAnsi="Arial"/>
          <w:sz w:val="18"/>
          <w:szCs w:val="18"/>
          <w:color w:val="auto"/>
        </w:rPr>
      </w:pPr>
    </w:p>
    <w:p>
      <w:pPr>
        <w:ind w:left="704" w:hanging="547"/>
        <w:spacing w:after="0"/>
        <w:tabs>
          <w:tab w:leader="none" w:pos="7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0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24" w:right="40" w:hanging="224"/>
        <w:spacing w:after="0" w:line="277" w:lineRule="auto"/>
        <w:tabs>
          <w:tab w:leader="none" w:pos="2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Based on 16,327,346 Class A Common Stock outstanding as of May 04, 2020, according to the Form 10-Q filed by the Issuer with the Securities and Exchange Commission on May 08,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70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040" w:type="dxa"/>
            <w:vAlign w:val="bottom"/>
            <w:vMerge w:val="restart"/>
          </w:tcPr>
          <w:p>
            <w:pPr>
              <w:ind w:left="1760"/>
              <w:spacing w:after="0"/>
              <w:rPr>
                <w:sz w:val="20"/>
                <w:szCs w:val="20"/>
                <w:color w:val="auto"/>
              </w:rPr>
            </w:pPr>
            <w:r>
              <w:rPr>
                <w:rFonts w:ascii="Arial" w:cs="Arial" w:eastAsia="Arial" w:hAnsi="Arial"/>
                <w:sz w:val="18"/>
                <w:szCs w:val="18"/>
                <w:color w:val="auto"/>
                <w:w w:val="85"/>
              </w:rPr>
              <w:t>Page 3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ACM Research, Inc.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42307 Osgood Road, Suite 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Fremont, California 94539</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GIC Private Limited (“GIC”)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Class A Common Stock, $0.0001 par value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00108J109</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3 If this statement in filed pursuant to §§240.13d-1(b), or 13d-2(b) or (c), check whether the person filing is 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(a - c) 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2740" w:type="dxa"/>
            <w:vAlign w:val="bottom"/>
            <w:vMerge w:val="restart"/>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of Securities</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4"/>
          </w:tcPr>
          <w:p>
            <w:pPr>
              <w:ind w:left="540"/>
              <w:spacing w:after="0"/>
              <w:rPr>
                <w:sz w:val="20"/>
                <w:szCs w:val="20"/>
                <w:color w:val="auto"/>
              </w:rPr>
            </w:pPr>
            <w:r>
              <w:rPr>
                <w:rFonts w:ascii="Arial" w:cs="Arial" w:eastAsia="Arial" w:hAnsi="Arial"/>
                <w:sz w:val="14"/>
                <w:szCs w:val="14"/>
                <w:b w:val="1"/>
                <w:bCs w:val="1"/>
                <w:color w:val="auto"/>
              </w:rPr>
              <w:t>Voting Power</w:t>
            </w:r>
          </w:p>
        </w:tc>
        <w:tc>
          <w:tcPr>
            <w:tcW w:w="1960" w:type="dxa"/>
            <w:vAlign w:val="bottom"/>
            <w:gridSpan w:val="4"/>
          </w:tcPr>
          <w:p>
            <w:pPr>
              <w:ind w:left="400"/>
              <w:spacing w:after="0"/>
              <w:rPr>
                <w:sz w:val="20"/>
                <w:szCs w:val="20"/>
                <w:color w:val="auto"/>
              </w:rPr>
            </w:pPr>
            <w:r>
              <w:rPr>
                <w:rFonts w:ascii="Arial" w:cs="Arial" w:eastAsia="Arial" w:hAnsi="Arial"/>
                <w:sz w:val="14"/>
                <w:szCs w:val="14"/>
                <w:b w:val="1"/>
                <w:bCs w:val="1"/>
                <w:color w:val="auto"/>
              </w:rPr>
              <w:t>Dispositive Power</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5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Beneficially Owned</w:t>
            </w:r>
          </w:p>
        </w:tc>
        <w:tc>
          <w:tcPr>
            <w:tcW w:w="15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Percent of Class (3)</w:t>
            </w:r>
          </w:p>
        </w:tc>
        <w:tc>
          <w:tcPr>
            <w:tcW w:w="10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Sole (1), (2)</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Shared (1), (2)</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Sole (1), (2)</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Shared (1),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GIC Private Limited</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840,815</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5.15</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687,847</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152,968</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687,847</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152,968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0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GIC is a fund manager and only has 2 clients – the Government of Singapore (“GoS”) and the Monetary Authority of Singapore (“MAS”). Under the investment management agreement with GoS, GIC has been</w:t>
      </w:r>
    </w:p>
    <w:p>
      <w:pPr>
        <w:sectPr>
          <w:pgSz w:w="11900" w:h="16838" w:orient="portrait"/>
          <w:cols w:equalWidth="0" w:num="1">
            <w:col w:w="11024"/>
          </w:cols>
          <w:pgMar w:left="436" w:top="422"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70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040" w:type="dxa"/>
            <w:vAlign w:val="bottom"/>
            <w:vMerge w:val="restart"/>
          </w:tcPr>
          <w:p>
            <w:pPr>
              <w:ind w:left="1760"/>
              <w:spacing w:after="0"/>
              <w:rPr>
                <w:sz w:val="20"/>
                <w:szCs w:val="20"/>
                <w:color w:val="auto"/>
              </w:rPr>
            </w:pPr>
            <w:r>
              <w:rPr>
                <w:rFonts w:ascii="Arial" w:cs="Arial" w:eastAsia="Arial" w:hAnsi="Arial"/>
                <w:sz w:val="18"/>
                <w:szCs w:val="18"/>
                <w:color w:val="auto"/>
                <w:w w:val="85"/>
              </w:rPr>
              <w:t>Page 4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both"/>
        <w:ind w:left="424" w:right="160"/>
        <w:spacing w:after="0" w:line="255" w:lineRule="auto"/>
        <w:rPr>
          <w:sz w:val="20"/>
          <w:szCs w:val="20"/>
          <w:color w:val="auto"/>
        </w:rPr>
      </w:pPr>
      <w:r>
        <w:rPr>
          <w:rFonts w:ascii="Arial" w:cs="Arial" w:eastAsia="Arial" w:hAnsi="Arial"/>
          <w:sz w:val="18"/>
          <w:szCs w:val="18"/>
          <w:color w:val="auto"/>
        </w:rPr>
        <w:t>given the sole discretion to exercise the voting rights attached to, and the disposition of, any shares managed on behalf of GoS. As such, GIC has the sole power to vote and power to dispose of the 687,847 securities beneficially owned by it. GIC shares power to vote and dispose of 152,968 securities beneficially owned by it with MAS.</w:t>
      </w:r>
    </w:p>
    <w:p>
      <w:pPr>
        <w:spacing w:after="0" w:line="3"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9" w:lineRule="exact"/>
        <w:rPr>
          <w:rFonts w:ascii="Arial" w:cs="Arial" w:eastAsia="Arial" w:hAnsi="Arial"/>
          <w:sz w:val="18"/>
          <w:szCs w:val="18"/>
          <w:color w:val="auto"/>
        </w:rPr>
      </w:pPr>
    </w:p>
    <w:p>
      <w:pPr>
        <w:ind w:left="424" w:right="16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16,327,346 Class A Common Stock outstanding as of May 04, 2020, according to the Form 10-Q filed by the Issuer with the Securities and Exchange Commission on May 08,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left="4" w:right="36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42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CUSIP No. 00108J109</w:t>
            </w:r>
          </w:p>
        </w:tc>
        <w:tc>
          <w:tcPr>
            <w:tcW w:w="4700" w:type="dxa"/>
            <w:vAlign w:val="bottom"/>
          </w:tcPr>
          <w:p>
            <w:pPr>
              <w:ind w:left="1640"/>
              <w:spacing w:after="0"/>
              <w:rPr>
                <w:sz w:val="20"/>
                <w:szCs w:val="20"/>
                <w:color w:val="auto"/>
              </w:rPr>
            </w:pPr>
            <w:r>
              <w:rPr>
                <w:rFonts w:ascii="Arial" w:cs="Arial" w:eastAsia="Arial" w:hAnsi="Arial"/>
                <w:sz w:val="18"/>
                <w:szCs w:val="18"/>
                <w:color w:val="auto"/>
              </w:rPr>
              <w:t>SCHEDULE 13G</w:t>
            </w:r>
          </w:p>
        </w:tc>
        <w:tc>
          <w:tcPr>
            <w:tcW w:w="3040" w:type="dxa"/>
            <w:vAlign w:val="bottom"/>
            <w:vMerge w:val="restart"/>
          </w:tcPr>
          <w:p>
            <w:pPr>
              <w:ind w:left="1760"/>
              <w:spacing w:after="0"/>
              <w:rPr>
                <w:sz w:val="20"/>
                <w:szCs w:val="20"/>
                <w:color w:val="auto"/>
              </w:rPr>
            </w:pPr>
            <w:r>
              <w:rPr>
                <w:rFonts w:ascii="Arial" w:cs="Arial" w:eastAsia="Arial" w:hAnsi="Arial"/>
                <w:sz w:val="18"/>
                <w:szCs w:val="18"/>
                <w:color w:val="auto"/>
                <w:w w:val="85"/>
              </w:rPr>
              <w:t>Page 5 of 5 Pages</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dated.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Celine Loh Sze Ling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Celine Loh Sze Ling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Toh Tze Meng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Toh Tze Ming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020"/>
      </w:cols>
      <w:pgMar w:left="440" w:top="4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lvl w:ilvl="1">
      <w:lvlJc w:val="left"/>
      <w:lvlText w:val="%2"/>
      <w:numFmt w:val="decimal"/>
      <w:start w:val="10"/>
    </w:lvl>
  </w:abstractNum>
  <w:abstractNum w:abstractNumId="9">
    <w:nsid w:val="1F16E9E8"/>
    <w:multiLevelType w:val="hybridMultilevel"/>
    <w:lvl w:ilvl="0">
      <w:lvlJc w:val="left"/>
      <w:lvlText w:val="(%1)"/>
      <w:numFmt w:val="decimal"/>
      <w:start w:val="1"/>
    </w:lvl>
    <w:lvl w:ilvl="1">
      <w:lvlJc w:val="left"/>
      <w:lvlText w:val="%2"/>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2020-05-22T15:12:51Z</dcterms:created>
  <dcterms:modified xsi:type="dcterms:W3CDTF">2020-05-22T15:12:51Z</dcterms:modified>
</cp:coreProperties>
</file>