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02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Dun Haiping</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20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11/02/2017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ACM RESEARCH,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42307 OSGOOD ROAD, SUITE I</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FREMONT   CA</w:t>
            </w:r>
          </w:p>
        </w:tc>
        <w:tc>
          <w:tcPr>
            <w:tcW w:w="840" w:type="dxa"/>
            <w:vAlign w:val="bottom"/>
          </w:tcPr>
          <w:p>
            <w:pPr>
              <w:jc w:val="right"/>
              <w:spacing w:after="0"/>
              <w:rPr>
                <w:sz w:val="20"/>
                <w:szCs w:val="20"/>
                <w:color w:val="auto"/>
              </w:rPr>
            </w:pPr>
            <w:r>
              <w:rPr>
                <w:rFonts w:ascii="Arial" w:cs="Arial" w:eastAsia="Arial" w:hAnsi="Arial"/>
                <w:sz w:val="18"/>
                <w:szCs w:val="18"/>
                <w:color w:val="0000FF"/>
              </w:rPr>
              <w:t>94539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0" w:type="dxa"/>
            <w:vAlign w:val="bottom"/>
          </w:tcPr>
          <w:p>
            <w:pPr>
              <w:jc w:val="right"/>
              <w:ind w:right="762"/>
              <w:spacing w:after="0"/>
              <w:rPr>
                <w:sz w:val="20"/>
                <w:szCs w:val="20"/>
                <w:color w:val="auto"/>
              </w:rPr>
            </w:pPr>
            <w:r>
              <w:rPr>
                <w:rFonts w:ascii="Arial" w:cs="Arial" w:eastAsia="Arial" w:hAnsi="Arial"/>
                <w:sz w:val="18"/>
                <w:szCs w:val="18"/>
                <w:color w:val="0000FF"/>
              </w:rPr>
              <w:t>313,691</w:t>
            </w:r>
          </w:p>
        </w:tc>
        <w:tc>
          <w:tcPr>
            <w:tcW w:w="780" w:type="dxa"/>
            <w:vAlign w:val="bottom"/>
          </w:tcPr>
          <w:p>
            <w:pPr>
              <w:ind w:left="52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B Common Stock</w:t>
            </w: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0" w:type="dxa"/>
            <w:vAlign w:val="bottom"/>
          </w:tcPr>
          <w:p>
            <w:pPr>
              <w:jc w:val="right"/>
              <w:ind w:right="762"/>
              <w:spacing w:after="0"/>
              <w:rPr>
                <w:sz w:val="20"/>
                <w:szCs w:val="20"/>
                <w:color w:val="auto"/>
              </w:rPr>
            </w:pPr>
            <w:r>
              <w:rPr>
                <w:rFonts w:ascii="Arial" w:cs="Arial" w:eastAsia="Arial" w:hAnsi="Arial"/>
                <w:sz w:val="18"/>
                <w:szCs w:val="18"/>
                <w:color w:val="0000FF"/>
              </w:rPr>
              <w:t>100,000</w:t>
            </w:r>
          </w:p>
        </w:tc>
        <w:tc>
          <w:tcPr>
            <w:tcW w:w="780" w:type="dxa"/>
            <w:vAlign w:val="bottom"/>
          </w:tcPr>
          <w:p>
            <w:pPr>
              <w:ind w:left="52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2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7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2000" w:type="dxa"/>
            <w:vAlign w:val="bottom"/>
          </w:tcPr>
          <w:p>
            <w:pPr>
              <w:spacing w:after="0"/>
              <w:rPr>
                <w:sz w:val="12"/>
                <w:szCs w:val="12"/>
                <w:color w:val="auto"/>
              </w:rPr>
            </w:pPr>
          </w:p>
        </w:tc>
        <w:tc>
          <w:tcPr>
            <w:tcW w:w="7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200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8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32"/>
              <w:spacing w:after="0"/>
              <w:rPr>
                <w:sz w:val="20"/>
                <w:szCs w:val="20"/>
                <w:color w:val="auto"/>
              </w:rPr>
            </w:pPr>
            <w:r>
              <w:rPr>
                <w:rFonts w:ascii="Arial" w:cs="Arial" w:eastAsia="Arial" w:hAnsi="Arial"/>
                <w:sz w:val="14"/>
                <w:szCs w:val="14"/>
                <w:color w:val="0000FF"/>
                <w:w w:val="96"/>
              </w:rPr>
              <w:t>05/01/2025</w:t>
            </w:r>
          </w:p>
        </w:tc>
        <w:tc>
          <w:tcPr>
            <w:tcW w:w="2000" w:type="dxa"/>
            <w:vAlign w:val="bottom"/>
          </w:tcPr>
          <w:p>
            <w:pPr>
              <w:ind w:left="180"/>
              <w:spacing w:after="0"/>
              <w:rPr>
                <w:sz w:val="20"/>
                <w:szCs w:val="20"/>
                <w:color w:val="auto"/>
              </w:rPr>
            </w:pPr>
            <w:r>
              <w:rPr>
                <w:rFonts w:ascii="Arial" w:cs="Arial" w:eastAsia="Arial" w:hAnsi="Arial"/>
                <w:sz w:val="18"/>
                <w:szCs w:val="18"/>
                <w:color w:val="0000FF"/>
                <w:w w:val="94"/>
              </w:rPr>
              <w:t>Class A Common Stock</w:t>
            </w:r>
          </w:p>
        </w:tc>
        <w:tc>
          <w:tcPr>
            <w:tcW w:w="780" w:type="dxa"/>
            <w:vAlign w:val="bottom"/>
          </w:tcPr>
          <w:p>
            <w:pPr>
              <w:ind w:left="140"/>
              <w:spacing w:after="0"/>
              <w:rPr>
                <w:sz w:val="20"/>
                <w:szCs w:val="20"/>
                <w:color w:val="auto"/>
              </w:rPr>
            </w:pPr>
            <w:r>
              <w:rPr>
                <w:rFonts w:ascii="Arial" w:cs="Arial" w:eastAsia="Arial" w:hAnsi="Arial"/>
                <w:sz w:val="18"/>
                <w:szCs w:val="18"/>
                <w:color w:val="0000FF"/>
                <w:w w:val="95"/>
              </w:rPr>
              <w:t>166,667</w:t>
            </w:r>
          </w:p>
        </w:tc>
        <w:tc>
          <w:tcPr>
            <w:tcW w:w="880" w:type="dxa"/>
            <w:vAlign w:val="bottom"/>
          </w:tcPr>
          <w:p>
            <w:pPr>
              <w:ind w:left="340"/>
              <w:spacing w:after="0"/>
              <w:rPr>
                <w:sz w:val="20"/>
                <w:szCs w:val="20"/>
                <w:color w:val="auto"/>
              </w:rPr>
            </w:pPr>
            <w:r>
              <w:rPr>
                <w:rFonts w:ascii="Arial" w:cs="Arial" w:eastAsia="Arial" w:hAnsi="Arial"/>
                <w:sz w:val="18"/>
                <w:szCs w:val="18"/>
                <w:color w:val="0000FF"/>
              </w:rPr>
              <w:t>1.5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2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vested and became exercisable as to 41,666 shares on May 1, 2016 and the remaining 125,001 shares vest and become exercisable in equal monthly installments over the following 36 months, subject to continued service through each vesting date.</w:t>
      </w:r>
    </w:p>
    <w:p>
      <w:pPr>
        <w:sectPr>
          <w:pgSz w:w="11900" w:h="16838" w:orient="portrait"/>
          <w:cols w:equalWidth="0" w:num="1">
            <w:col w:w="11420"/>
          </w:cols>
          <w:pgMar w:left="240" w:top="226" w:right="239" w:bottom="1440" w:gutter="0" w:footer="0" w:header="0"/>
          <w:type w:val="continuous"/>
        </w:sectPr>
      </w:pP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Mark L. Johnson,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81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in-Fact for Haiping Dun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080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15"/>
          <w:szCs w:val="15"/>
          <w:color w:val="0000FF"/>
        </w:rPr>
        <w:t>11/02/2017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21581" TargetMode="External"/><Relationship Id="rId12"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2019-12-04T02:39:14Z</dcterms:created>
  <dcterms:modified xsi:type="dcterms:W3CDTF">2019-12-04T02:39:14Z</dcterms:modified>
</cp:coreProperties>
</file>