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5, 2020</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520" w:space="720"/>
            <w:col w:w="3000" w:space="720"/>
            <w:col w:w="2280"/>
          </w:cols>
          <w:pgMar w:left="320" w:top="535" w:right="339" w:bottom="1440" w:gutter="0" w:footer="0" w:header="0"/>
          <w:type w:val="continuous"/>
        </w:sectPr>
      </w:pPr>
    </w:p>
    <w:p>
      <w:pPr>
        <w:ind w:lef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00" w:space="720"/>
            <w:col w:w="306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38"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Nasdaq Global Market</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w:t>
      </w:r>
    </w:p>
    <w:p>
      <w:pPr>
        <w:spacing w:after="0" w:line="48" w:lineRule="exact"/>
        <w:rPr>
          <w:sz w:val="24"/>
          <w:szCs w:val="24"/>
          <w:color w:val="auto"/>
        </w:rPr>
      </w:pPr>
    </w:p>
    <w:p>
      <w:pPr>
        <w:spacing w:after="0" w:line="253" w:lineRule="exact"/>
        <w:tabs>
          <w:tab w:leader="none" w:pos="5840" w:val="left"/>
        </w:tabs>
        <w:rPr>
          <w:sz w:val="20"/>
          <w:szCs w:val="20"/>
          <w:color w:val="auto"/>
        </w:rPr>
      </w:pPr>
      <w:r>
        <w:rPr>
          <w:rFonts w:ascii="Arial" w:cs="Arial" w:eastAsia="Arial" w:hAnsi="Arial"/>
          <w:sz w:val="22"/>
          <w:szCs w:val="22"/>
          <w:color w:val="auto"/>
        </w:rPr>
        <w:t>1933 or Rule 12b-2 of the Securities Exchange Act of 1934:</w:t>
      </w:r>
      <w:r>
        <w:rPr>
          <w:sz w:val="20"/>
          <w:szCs w:val="20"/>
          <w:color w:val="auto"/>
        </w:rPr>
        <w:tab/>
      </w: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2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On November 5, 2020, we issued a press release announcing financial results for the third quarter of 2020. The full text of the press release is furnished as Exhibit 99.01 hereto and is incorporated herein by reference.</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180"/>
        <w:spacing w:after="0"/>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500"/>
        <w:spacing w:after="0"/>
        <w:tabs>
          <w:tab w:leader="none" w:pos="112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6"/>
          <w:szCs w:val="16"/>
          <w:color w:val="0000EE"/>
        </w:rPr>
        <w:t>Press release of ACM Research, Inc. dated November 5, 2020</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165100</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Reports Third Quarter 2020 Results</w:t>
      </w:r>
    </w:p>
    <w:p>
      <w:pPr>
        <w:spacing w:after="0" w:line="239" w:lineRule="exact"/>
        <w:rPr>
          <w:sz w:val="20"/>
          <w:szCs w:val="20"/>
          <w:color w:val="auto"/>
        </w:rPr>
      </w:pPr>
    </w:p>
    <w:p>
      <w:pPr>
        <w:ind w:right="580"/>
        <w:spacing w:after="0"/>
        <w:rPr>
          <w:sz w:val="20"/>
          <w:szCs w:val="20"/>
          <w:color w:val="auto"/>
        </w:rPr>
      </w:pPr>
      <w:r>
        <w:rPr>
          <w:rFonts w:ascii="Arial" w:cs="Arial" w:eastAsia="Arial" w:hAnsi="Arial"/>
          <w:sz w:val="22"/>
          <w:szCs w:val="22"/>
          <w:color w:val="auto"/>
        </w:rPr>
        <w:t>FREMONT, California, November 5, 2020 (Globe Newswire) – ACM Research, Inc. (“ACM” or the “Company”) (NASDAQ:ACMR), a leading supplier of wafer cleaning technologies for advanced semiconductor devices, today reported financial results for its third fiscal quarter ended September 30, 2020.</w:t>
      </w:r>
    </w:p>
    <w:p>
      <w:pPr>
        <w:spacing w:after="0" w:line="21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ACM’s President and Chief Executive Officer Dr. David Wang commented, “We delivered strong third quarter results with 43% growth in revenue and 37% growth in shipments from the third quarter of 2019. Both revenue and shipments in are new quarterly records for ACM. We built momentum for Tahoe with another repeat shipment, and for ECP with two repeat shipments and one first tool delivery in the third quarter. We have good visibility for the remainder of 2020 and have raised our outlook accordingly.”</w:t>
      </w:r>
    </w:p>
    <w:p>
      <w:pPr>
        <w:spacing w:after="0" w:line="214"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Dr. Wang continued, “The U.S Patent Office's decision to approve our TEBO patent is a testament to our leadership position in advanced damage-free megasonic cleaning for advanced 3D structures. We delivered a second-generation TEBO tool to our lead customer in September, with revenue recognition upon qualification and acceptance. Our plan remains on track to price the China IPO of our subsidiary ACM Research (Shanghai), Inc. (“ACM Shanghai”) by year-end, subject to timely registration by the China Securities Regulatory Commission. We remain committed to the Nasdaq listing for our Class A common stock, and are excited to move forward with ACM Shanghai’s STAR Market share listing as we continue on our mission to become a major global player in the semiconductor equipment industry.”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11"/>
          </w:tcPr>
          <w:p>
            <w:pPr>
              <w:jc w:val="center"/>
              <w:ind w:left="530"/>
              <w:spacing w:after="0"/>
              <w:rPr>
                <w:sz w:val="20"/>
                <w:szCs w:val="20"/>
                <w:color w:val="auto"/>
              </w:rPr>
            </w:pPr>
            <w:r>
              <w:rPr>
                <w:rFonts w:ascii="Arial" w:cs="Arial" w:eastAsia="Arial" w:hAnsi="Arial"/>
                <w:sz w:val="18"/>
                <w:szCs w:val="18"/>
                <w:b w:val="1"/>
                <w:bCs w:val="1"/>
                <w:i w:val="1"/>
                <w:iCs w:val="1"/>
                <w:color w:val="auto"/>
                <w:w w:val="86"/>
              </w:rPr>
              <w:t>(dollars in thousands, except per share data)</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47,665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33,427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47,665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33,427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income (loss) attributable to ACM Research, Inc.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8,627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8,782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8,969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10,339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0.61</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0.40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r>
      <w:tr>
        <w:trPr>
          <w:trHeight w:val="452"/>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8"/>
                <w:szCs w:val="18"/>
                <w:b w:val="1"/>
                <w:bCs w:val="1"/>
                <w:color w:val="auto"/>
                <w:w w:val="90"/>
              </w:rPr>
              <w:t>Nine Months Ended September 30,</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11"/>
          </w:tcPr>
          <w:p>
            <w:pPr>
              <w:jc w:val="center"/>
              <w:ind w:left="530"/>
              <w:spacing w:after="0"/>
              <w:rPr>
                <w:sz w:val="20"/>
                <w:szCs w:val="20"/>
                <w:color w:val="auto"/>
              </w:rPr>
            </w:pPr>
            <w:r>
              <w:rPr>
                <w:rFonts w:ascii="Arial" w:cs="Arial" w:eastAsia="Arial" w:hAnsi="Arial"/>
                <w:sz w:val="18"/>
                <w:szCs w:val="18"/>
                <w:b w:val="1"/>
                <w:bCs w:val="1"/>
                <w:i w:val="1"/>
                <w:iCs w:val="1"/>
                <w:color w:val="auto"/>
                <w:w w:val="86"/>
              </w:rPr>
              <w:t>(dollars in thousands, except per share data)</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111,062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111,062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82,916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16,060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20,383</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16,861</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10,251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14,950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17,568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17,869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0.48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0.83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0.96</w:t>
            </w:r>
          </w:p>
        </w:tc>
      </w:tr>
    </w:tbl>
    <w:p>
      <w:pPr>
        <w:spacing w:after="0" w:line="214" w:lineRule="exact"/>
        <w:rPr>
          <w:sz w:val="20"/>
          <w:szCs w:val="20"/>
          <w:color w:val="auto"/>
        </w:rPr>
      </w:pPr>
    </w:p>
    <w:p>
      <w:pPr>
        <w:ind w:left="340" w:right="20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with respect to net income (loss) attributable to ACM Research, Inc. and basic and diluted EPS, also exclude non-cash changes in fair value of financial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Outlook</w:t>
      </w:r>
    </w:p>
    <w:p>
      <w:pPr>
        <w:spacing w:after="0" w:line="240"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For fiscal year 2020, the Company now expects revenue to be in the range of $145 million to $155 million, versus the previous guidance range of $140 million to $155 million. This view assumes, among other factors, the COVID-19 situation remains stable in China and does not worsen on a global basis in the coming months.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Operating Highlights and Recent Announcements</w:t>
      </w:r>
    </w:p>
    <w:p>
      <w:pPr>
        <w:spacing w:after="0" w:line="242" w:lineRule="exact"/>
        <w:rPr>
          <w:sz w:val="20"/>
          <w:szCs w:val="20"/>
          <w:color w:val="auto"/>
        </w:rPr>
      </w:pPr>
    </w:p>
    <w:p>
      <w:pPr>
        <w:ind w:left="34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Shipments. </w:t>
      </w:r>
      <w:r>
        <w:rPr>
          <w:rFonts w:ascii="Arial" w:cs="Arial" w:eastAsia="Arial" w:hAnsi="Arial"/>
          <w:sz w:val="18"/>
          <w:szCs w:val="18"/>
          <w:color w:val="auto"/>
        </w:rPr>
        <w:t>Total shipments in the third quarter of 2020 were $59 million, versus $43 million in the third quarter of 2019 and $45 million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Total shipments include deliveries for revenue in the quarter and deliveries of systems awaiting customer acceptance for potential revenue in future quarters.</w:t>
      </w:r>
    </w:p>
    <w:p>
      <w:pPr>
        <w:spacing w:after="0" w:line="202" w:lineRule="exact"/>
        <w:rPr>
          <w:rFonts w:ascii="Arial" w:cs="Arial" w:eastAsia="Arial" w:hAnsi="Arial"/>
          <w:sz w:val="18"/>
          <w:szCs w:val="18"/>
          <w:color w:val="auto"/>
        </w:rPr>
      </w:pPr>
    </w:p>
    <w:p>
      <w:pPr>
        <w:jc w:val="both"/>
        <w:ind w:left="340" w:right="180" w:hanging="332"/>
        <w:spacing w:after="0" w:line="28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Continued Traction with Tahoe</w:t>
      </w:r>
      <w:r>
        <w:rPr>
          <w:rFonts w:ascii="Arial" w:cs="Arial" w:eastAsia="Arial" w:hAnsi="Arial"/>
          <w:sz w:val="17"/>
          <w:szCs w:val="17"/>
          <w:color w:val="auto"/>
        </w:rPr>
        <w:t>. In the third quarter of 2020, ACM delivered another Tahoe tool to its lead customer and recognized revenue upon</w:t>
      </w:r>
      <w:r>
        <w:rPr>
          <w:rFonts w:ascii="Arial" w:cs="Arial" w:eastAsia="Arial" w:hAnsi="Arial"/>
          <w:sz w:val="17"/>
          <w:szCs w:val="17"/>
          <w:b w:val="1"/>
          <w:bCs w:val="1"/>
          <w:color w:val="auto"/>
        </w:rPr>
        <w:t xml:space="preserve"> </w:t>
      </w:r>
      <w:r>
        <w:rPr>
          <w:rFonts w:ascii="Arial" w:cs="Arial" w:eastAsia="Arial" w:hAnsi="Arial"/>
          <w:sz w:val="17"/>
          <w:szCs w:val="17"/>
          <w:color w:val="auto"/>
        </w:rPr>
        <w:t>shipment in the quarter. The Ultra-C Tahoe tool incorporates innovative and patented technology to deliver high cleaning performance, but uses 80% less sulfuric acid typically consumed by conventional high temperature single wafer cleaning tools.</w:t>
      </w:r>
    </w:p>
    <w:p>
      <w:pPr>
        <w:spacing w:after="0" w:line="184"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Ultra ECP Gaining Momentum. </w:t>
      </w:r>
      <w:r>
        <w:rPr>
          <w:rFonts w:ascii="Arial" w:cs="Arial" w:eastAsia="Arial" w:hAnsi="Arial"/>
          <w:sz w:val="18"/>
          <w:szCs w:val="18"/>
          <w:color w:val="auto"/>
        </w:rPr>
        <w:t>ACM delivered two ECP ap back-end tool repeat shipments and one ECP 3d front-end first tool in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2020. The Ultra ECP ap delivers better plating performance in the form of a more uniform metal layer at the notch area. The Ultra ECP 3d is ACM’s newest tool in the ECP family that offers enhanced gap filling for high aspect ratio TSV applications, which is critical for high-density stacking of 3D chips.</w:t>
      </w:r>
    </w:p>
    <w:p>
      <w:pPr>
        <w:spacing w:after="0" w:line="206" w:lineRule="exact"/>
        <w:rPr>
          <w:rFonts w:ascii="Arial" w:cs="Arial" w:eastAsia="Arial" w:hAnsi="Arial"/>
          <w:sz w:val="18"/>
          <w:szCs w:val="18"/>
          <w:color w:val="auto"/>
        </w:rPr>
      </w:pPr>
    </w:p>
    <w:p>
      <w:pPr>
        <w:jc w:val="both"/>
        <w:ind w:left="340" w:right="220" w:hanging="332"/>
        <w:spacing w:after="0" w:line="28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TEBO Patent Approved</w:t>
      </w:r>
      <w:r>
        <w:rPr>
          <w:rFonts w:ascii="Arial" w:cs="Arial" w:eastAsia="Arial" w:hAnsi="Arial"/>
          <w:sz w:val="17"/>
          <w:szCs w:val="17"/>
          <w:color w:val="auto"/>
        </w:rPr>
        <w:t>. ACM Research announced last week that the U.S. Patent &amp; Trademark Office recently approved U.S. Patent Application</w:t>
      </w:r>
      <w:r>
        <w:rPr>
          <w:rFonts w:ascii="Arial" w:cs="Arial" w:eastAsia="Arial" w:hAnsi="Arial"/>
          <w:sz w:val="17"/>
          <w:szCs w:val="17"/>
          <w:b w:val="1"/>
          <w:bCs w:val="1"/>
          <w:color w:val="auto"/>
        </w:rPr>
        <w:t xml:space="preserve"> </w:t>
      </w:r>
      <w:r>
        <w:rPr>
          <w:rFonts w:ascii="Arial" w:cs="Arial" w:eastAsia="Arial" w:hAnsi="Arial"/>
          <w:sz w:val="17"/>
          <w:szCs w:val="17"/>
          <w:color w:val="auto"/>
        </w:rPr>
        <w:t>No.15/575,793 for ACM's proprietary TEBO (timely energized bubble oscillation) technology. In addition, ACM delivered a 2nd -generation TEBO tool to its existing lead customer in September 2020, with revenue recognition upon qualification and acceptance.</w:t>
      </w:r>
    </w:p>
    <w:p>
      <w:pPr>
        <w:spacing w:after="0" w:line="184" w:lineRule="exact"/>
        <w:rPr>
          <w:rFonts w:ascii="Arial" w:cs="Arial" w:eastAsia="Arial" w:hAnsi="Arial"/>
          <w:sz w:val="17"/>
          <w:szCs w:val="17"/>
          <w:color w:val="auto"/>
        </w:rPr>
      </w:pPr>
    </w:p>
    <w:p>
      <w:pPr>
        <w:ind w:left="340" w:right="60" w:hanging="332"/>
        <w:spacing w:after="0" w:line="281"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Update on ACM Shanghai Pre-IPO activities. </w:t>
      </w:r>
      <w:r>
        <w:rPr>
          <w:rFonts w:ascii="Arial" w:cs="Arial" w:eastAsia="Arial" w:hAnsi="Arial"/>
          <w:sz w:val="17"/>
          <w:szCs w:val="17"/>
          <w:color w:val="auto"/>
        </w:rPr>
        <w:t>On September 30, 2020, ACM Shanghai's application for an initial public offering of its shares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STAR Market was approved by the Listing Committee of the Shanghai Stock Exchange Commission. The STAR Market listing of ACM Shanghai’s shares remains subject to submission of formal registration and to review and approval by the China Securities Regulatory Commission. The Company’s plan remains on track to price the transaction by year-end, pending timely approvals.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Summary</w:t>
      </w:r>
    </w:p>
    <w:p>
      <w:pPr>
        <w:spacing w:after="0" w:line="239"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i w:val="1"/>
          <w:iCs w:val="1"/>
          <w:color w:val="auto"/>
        </w:rPr>
        <w:t>Unless otherwise noted, the following figures refer to the third quarter of 2020 and comparisons are with the third quarter of 2019.</w:t>
      </w:r>
    </w:p>
    <w:p>
      <w:pPr>
        <w:spacing w:after="0" w:line="205" w:lineRule="exact"/>
        <w:rPr>
          <w:sz w:val="20"/>
          <w:szCs w:val="20"/>
          <w:color w:val="auto"/>
        </w:rPr>
      </w:pPr>
    </w:p>
    <w:p>
      <w:pPr>
        <w:ind w:left="340" w:right="6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$47.7 million, up 42.6%, reflecting an increase in revenue from single wafer wet cleaning and other front-end processing equipment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revenue from back-end wafer assembly and packaging equipment.</w:t>
      </w:r>
    </w:p>
    <w:p>
      <w:pPr>
        <w:spacing w:after="0" w:line="188" w:lineRule="exact"/>
        <w:rPr>
          <w:rFonts w:ascii="Arial" w:cs="Arial" w:eastAsia="Arial" w:hAnsi="Arial"/>
          <w:sz w:val="18"/>
          <w:szCs w:val="18"/>
          <w:color w:val="auto"/>
        </w:rPr>
      </w:pPr>
    </w:p>
    <w:p>
      <w:pPr>
        <w:ind w:left="340" w:right="60" w:hanging="332"/>
        <w:spacing w:after="0" w:line="31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Gross margin </w:t>
      </w:r>
      <w:r>
        <w:rPr>
          <w:rFonts w:ascii="Arial" w:cs="Arial" w:eastAsia="Arial" w:hAnsi="Arial"/>
          <w:sz w:val="17"/>
          <w:szCs w:val="17"/>
          <w:color w:val="auto"/>
        </w:rPr>
        <w:t>was 42.7%, versus 48.6%. Gross margin was within the range of 40.0% to 45.0% set forth in the Company’s long-term business model.</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expects gross margin to vary from period to period due to a variety of factors, such as sales volume and product mix.</w:t>
      </w:r>
    </w:p>
    <w:p>
      <w:pPr>
        <w:spacing w:after="0" w:line="166" w:lineRule="exact"/>
        <w:rPr>
          <w:rFonts w:ascii="Arial" w:cs="Arial" w:eastAsia="Arial" w:hAnsi="Arial"/>
          <w:sz w:val="17"/>
          <w:szCs w:val="17"/>
          <w:color w:val="auto"/>
        </w:rPr>
      </w:pPr>
    </w:p>
    <w:p>
      <w:pPr>
        <w:jc w:val="both"/>
        <w:ind w:left="340" w:right="160" w:hanging="332"/>
        <w:spacing w:after="0" w:line="314"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were $12.8 million, an increase of 39%. Non-GAAP operating expenses, which exclude stock-based compensation, were $10.1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up 29%. Non-GAAP operating expenses as a percent of revenue decreased to 21% from 23%. Higher research and development spending on new products, increase sales activities in North America, and China IPO-related costs contributed to the increase from the prior-year period.</w:t>
      </w:r>
    </w:p>
    <w:p>
      <w:pPr>
        <w:spacing w:after="0" w:line="343" w:lineRule="exact"/>
        <w:rPr>
          <w:rFonts w:ascii="Arial" w:cs="Arial" w:eastAsia="Arial" w:hAnsi="Arial"/>
          <w:sz w:val="16"/>
          <w:szCs w:val="16"/>
          <w:color w:val="auto"/>
        </w:rPr>
      </w:pPr>
    </w:p>
    <w:p>
      <w:pPr>
        <w:ind w:left="5580" w:hanging="76"/>
        <w:spacing w:after="0"/>
        <w:tabs>
          <w:tab w:leader="none" w:pos="5580" w:val="left"/>
        </w:tabs>
        <w:numPr>
          <w:ilvl w:val="1"/>
          <w:numId w:val="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340" w:right="2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of $7.5 million increased 6.8%. Operating income as a percent of revenue was 15.7% versus 21.0%. Non-GAAP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effect of stock-based compensation, was $10.3 million, up 19.8%. Non-GAAP operating income as a percent of revenue was 21.6% versus 25.7%.</w:t>
      </w:r>
    </w:p>
    <w:p>
      <w:pPr>
        <w:spacing w:after="0" w:line="202"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Change in fair value of financial liability </w:t>
      </w:r>
      <w:r>
        <w:rPr>
          <w:rFonts w:ascii="Arial" w:cs="Arial" w:eastAsia="Arial" w:hAnsi="Arial"/>
          <w:sz w:val="18"/>
          <w:szCs w:val="18"/>
          <w:color w:val="auto"/>
        </w:rPr>
        <w:t>was a loss of $6.5 million. The non-cash, non-operating expense reflects a change in book value of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indexed to the market price of ACM’s Class A common stock, and is excluded from non-GAAP results. The obligation, which resulted from agreements required for ACM Shanghai’s STAR Market IPO preparation, was terminated in July 2020 upon ACM’s issuance of a Class A common stock warrant.</w:t>
      </w:r>
    </w:p>
    <w:p>
      <w:pPr>
        <w:spacing w:after="0" w:line="206" w:lineRule="exact"/>
        <w:rPr>
          <w:rFonts w:ascii="Arial" w:cs="Arial" w:eastAsia="Arial" w:hAnsi="Arial"/>
          <w:sz w:val="18"/>
          <w:szCs w:val="18"/>
          <w:color w:val="auto"/>
        </w:rPr>
      </w:pPr>
    </w:p>
    <w:p>
      <w:pPr>
        <w:ind w:left="340" w:right="16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Unrealized gain on trading securities </w:t>
      </w:r>
      <w:r>
        <w:rPr>
          <w:rFonts w:ascii="Arial" w:cs="Arial" w:eastAsia="Arial" w:hAnsi="Arial"/>
          <w:sz w:val="18"/>
          <w:szCs w:val="18"/>
          <w:color w:val="auto"/>
        </w:rPr>
        <w:t>was $9.0 million. The gain reflects the change in market value of ACM Shanghai’s indirect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STAR Market IPO shares of Semiconductor Manufacturing International Corporation (SMIC), which began trading in mid-July 2020. The value was marked-to-market at quarter-end, and is excluded from non-GAAP results.</w:t>
      </w:r>
    </w:p>
    <w:p>
      <w:pPr>
        <w:spacing w:after="0" w:line="202" w:lineRule="exact"/>
        <w:rPr>
          <w:rFonts w:ascii="Arial" w:cs="Arial" w:eastAsia="Arial" w:hAnsi="Arial"/>
          <w:sz w:val="18"/>
          <w:szCs w:val="18"/>
          <w:color w:val="auto"/>
        </w:rPr>
      </w:pPr>
    </w:p>
    <w:p>
      <w:pPr>
        <w:ind w:left="340" w:right="40" w:hanging="332"/>
        <w:spacing w:after="0" w:line="30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Net income attributable to ACM Research, Inc. </w:t>
      </w:r>
      <w:r>
        <w:rPr>
          <w:rFonts w:ascii="Arial" w:cs="Arial" w:eastAsia="Arial" w:hAnsi="Arial"/>
          <w:sz w:val="16"/>
          <w:szCs w:val="16"/>
          <w:color w:val="auto"/>
        </w:rPr>
        <w:t>was $8.6 million, compared to $8.8 million. Non-GAAP net income attributable to ACM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Inc., excluding the effect of stock-based compensation, non-cash changes in fair value of financial liabilities, and unrealized gains in trading securities was $9.0 million, compared to $10.4 million. Tax-related items (compared to a normalized 12% tax rate) and the effects of foreign-exchange fluctuations on operating results resulted in a net benefit of $0.3 million, compared to a net benefit of $3.4 million in the third quarter of 2019.</w:t>
      </w:r>
    </w:p>
    <w:p>
      <w:pPr>
        <w:spacing w:after="0" w:line="177" w:lineRule="exact"/>
        <w:rPr>
          <w:rFonts w:ascii="Arial" w:cs="Arial" w:eastAsia="Arial" w:hAnsi="Arial"/>
          <w:sz w:val="16"/>
          <w:szCs w:val="16"/>
          <w:color w:val="auto"/>
        </w:rPr>
      </w:pPr>
    </w:p>
    <w:p>
      <w:pPr>
        <w:ind w:left="34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was $0.40, compared to $0.45. Non-GAAP net income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ACM Research, Inc., excluding the effect of stock-based compensation, non-cash changes in fair value of financial liabilities, and unrealized gains in trading securities was $0.42, compared to $0.53. Tax-related items (compared to a normalized 12% tax rate) and the effects of foreign-exchange fluctuations on operating results resulted in a net benefit of $0.02 per share, compared to a net benefit of $0.18 in the third quarter of 2019.</w:t>
      </w:r>
    </w:p>
    <w:p>
      <w:pPr>
        <w:spacing w:after="0" w:line="210" w:lineRule="exact"/>
        <w:rPr>
          <w:rFonts w:ascii="Arial" w:cs="Arial" w:eastAsia="Arial" w:hAnsi="Arial"/>
          <w:sz w:val="18"/>
          <w:szCs w:val="18"/>
          <w:color w:val="auto"/>
        </w:rPr>
      </w:pPr>
    </w:p>
    <w:p>
      <w:pPr>
        <w:ind w:left="340" w:right="6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at quarter-end were $92.2 million, versus $86.4 million at the end of the second quarter of 2020 and $47.3 million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2019.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 conference call to discuss results will be held on Friday, November 6, 2020, at 8:00 a.m. Eastern Time (9:00 p.m. China Time).</w:t>
      </w:r>
    </w:p>
    <w:p>
      <w:pPr>
        <w:spacing w:after="0" w:line="268"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Please register in advance to join the conference call using the link provided below and dial in 10 minutes before the call is scheduled to begin. Conference call access information will be provided upon registration.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Participant Online Registration: </w:t>
      </w:r>
      <w:r>
        <w:rPr>
          <w:rFonts w:ascii="Arial" w:cs="Arial" w:eastAsia="Arial" w:hAnsi="Arial"/>
          <w:sz w:val="22"/>
          <w:szCs w:val="22"/>
          <w:u w:val="single" w:color="auto"/>
          <w:color w:val="auto"/>
        </w:rPr>
        <w:t>http://apac.directeventreg.com/registration/event/6771328</w:t>
      </w:r>
    </w:p>
    <w:p>
      <w:pPr>
        <w:spacing w:after="0" w:line="239"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 xml:space="preserve">A recording of the webcast will be available on the investor page of the ACM website at </w:t>
      </w:r>
      <w:r>
        <w:rPr>
          <w:rFonts w:ascii="Arial" w:cs="Arial" w:eastAsia="Arial" w:hAnsi="Arial"/>
          <w:sz w:val="22"/>
          <w:szCs w:val="22"/>
          <w:u w:val="single" w:color="auto"/>
          <w:color w:val="auto"/>
        </w:rPr>
        <w:t>www.acmrcsh.com</w:t>
      </w:r>
      <w:r>
        <w:rPr>
          <w:rFonts w:ascii="Arial" w:cs="Arial" w:eastAsia="Arial" w:hAnsi="Arial"/>
          <w:sz w:val="22"/>
          <w:szCs w:val="22"/>
          <w:color w:val="auto"/>
        </w:rPr>
        <w:t xml:space="preserve"> for one week following the call.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Use of Non-GAAP Financial Measures</w:t>
      </w:r>
    </w:p>
    <w:p>
      <w:pPr>
        <w:spacing w:after="0" w:line="240"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(loss) attributable to ACM Research, Inc. and basic and diluted EPS exclude non-cash changes in fair value of financial assets and liabilities, which ACM also believes is not indicative of its core operating results. A reconciliation of each non-GAAP financial measure to the most directly comparable GAAP financial measure is provided below under “Reconciliation of Non-GAAP to GAAP Financial Measures.”</w:t>
      </w:r>
    </w:p>
    <w:p>
      <w:pPr>
        <w:spacing w:after="0" w:line="179"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70"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Certain statements contained in the second and third paragraphs of this press release, under the heading “Outlook” above, and in the fifth bullet under “Third Quarter Operating Highlights and Recent Announcements” above are not historical facts and may be forward-looking statements within the meaning of the Private Securities Litigation Reform Act of 1995. Forward-looking statements include statements regarding the intent, belief and current expectations with respect to: the demand for ACM’s tools, including specifically in the fourth quarter of 2020; and ACM’s plans for completion of the STAR Market listing of shares of ACM Shanghai by the end of 2020. Such statements,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and ACM Shanghai’s ability to obtain remaining regulatory approval for the STAR Market IPO and listing of its shares.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About ACM Research, Inc.</w:t>
      </w:r>
    </w:p>
    <w:p>
      <w:pPr>
        <w:spacing w:after="0" w:line="24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170" w:lineRule="exact"/>
        <w:rPr>
          <w:sz w:val="20"/>
          <w:szCs w:val="20"/>
          <w:color w:val="auto"/>
        </w:rPr>
      </w:pPr>
    </w:p>
    <w:p>
      <w:pPr>
        <w:ind w:right="400" w:firstLine="8"/>
        <w:spacing w:after="0"/>
        <w:tabs>
          <w:tab w:leader="none" w:pos="218" w:val="left"/>
        </w:tabs>
        <w:numPr>
          <w:ilvl w:val="0"/>
          <w:numId w:val="6"/>
        </w:numPr>
        <w:rPr>
          <w:rFonts w:ascii="Arial" w:cs="Arial" w:eastAsia="Arial" w:hAnsi="Arial"/>
          <w:sz w:val="22"/>
          <w:szCs w:val="22"/>
          <w:color w:val="auto"/>
        </w:rPr>
      </w:pPr>
      <w:r>
        <w:rPr>
          <w:rFonts w:ascii="Arial" w:cs="Arial" w:eastAsia="Arial" w:hAnsi="Arial"/>
          <w:sz w:val="22"/>
          <w:szCs w:val="22"/>
          <w:color w:val="auto"/>
        </w:rPr>
        <w:t>ACM Research, Inc. TEBO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 and media inquiries, please contact:</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0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196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Ralph Fong</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r>
      <w:tr>
        <w:trPr>
          <w:trHeight w:val="190"/>
        </w:trPr>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i w:val="1"/>
                <w:iCs w:val="1"/>
                <w:color w:val="auto"/>
                <w:w w:val="91"/>
              </w:rPr>
              <w:t>ralph@blueshirtgroup.com</w:t>
            </w:r>
          </w:p>
        </w:tc>
      </w:tr>
      <w:tr>
        <w:trPr>
          <w:trHeight w:val="439"/>
        </w:trPr>
        <w:tc>
          <w:tcPr>
            <w:tcW w:w="20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1960" w:type="dxa"/>
            <w:vAlign w:val="bottom"/>
            <w:gridSpan w:val="2"/>
          </w:tcPr>
          <w:p>
            <w:pPr>
              <w:spacing w:after="0"/>
              <w:rPr>
                <w:sz w:val="20"/>
                <w:szCs w:val="20"/>
                <w:color w:val="auto"/>
              </w:rPr>
            </w:pPr>
            <w:r>
              <w:rPr>
                <w:rFonts w:ascii="Arial" w:cs="Arial" w:eastAsia="Arial" w:hAnsi="Arial"/>
                <w:sz w:val="18"/>
                <w:szCs w:val="18"/>
                <w:color w:val="auto"/>
                <w:w w:val="96"/>
              </w:rPr>
              <w:t>The Blueshirt Group Asia</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Gary Dvorchak, CFA</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r>
      <w:tr>
        <w:trPr>
          <w:trHeight w:val="190"/>
        </w:trPr>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6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3"/>
              </w:rPr>
              <w:t>gary@blueshirtgroup.com</w:t>
            </w:r>
          </w:p>
        </w:tc>
      </w:tr>
      <w:tr>
        <w:trPr>
          <w:trHeight w:val="20"/>
        </w:trPr>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1"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gridSpan w:val="4"/>
          </w:tcPr>
          <w:p>
            <w:pPr>
              <w:jc w:val="center"/>
              <w:ind w:right="70"/>
              <w:spacing w:after="0" w:line="201" w:lineRule="exact"/>
              <w:rPr>
                <w:sz w:val="20"/>
                <w:szCs w:val="20"/>
                <w:color w:val="auto"/>
              </w:rPr>
            </w:pPr>
            <w:r>
              <w:rPr>
                <w:rFonts w:ascii="Arial" w:cs="Arial" w:eastAsia="Arial" w:hAnsi="Arial"/>
                <w:sz w:val="18"/>
                <w:szCs w:val="18"/>
                <w:i w:val="1"/>
                <w:iCs w:val="1"/>
                <w:color w:val="auto"/>
                <w:w w:val="93"/>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40" w:type="dxa"/>
            <w:vAlign w:val="bottom"/>
            <w:gridSpan w:val="6"/>
          </w:tcPr>
          <w:p>
            <w:pPr>
              <w:jc w:val="center"/>
              <w:ind w:right="100"/>
              <w:spacing w:after="0"/>
              <w:rPr>
                <w:sz w:val="20"/>
                <w:szCs w:val="20"/>
                <w:color w:val="auto"/>
              </w:rPr>
            </w:pPr>
            <w:r>
              <w:rPr>
                <w:rFonts w:ascii="Arial" w:cs="Arial" w:eastAsia="Arial" w:hAnsi="Arial"/>
                <w:sz w:val="18"/>
                <w:szCs w:val="18"/>
                <w:i w:val="1"/>
                <w:iCs w:val="1"/>
                <w:color w:val="auto"/>
                <w:w w:val="89"/>
              </w:rPr>
              <w:t>(In thousands, except share and per share</w:t>
            </w:r>
          </w:p>
        </w:tc>
        <w:tc>
          <w:tcPr>
            <w:tcW w:w="0" w:type="dxa"/>
            <w:vAlign w:val="bottom"/>
          </w:tcPr>
          <w:p>
            <w:pPr>
              <w:spacing w:after="0"/>
              <w:rPr>
                <w:sz w:val="1"/>
                <w:szCs w:val="1"/>
                <w:color w:val="auto"/>
              </w:rPr>
            </w:pPr>
          </w:p>
        </w:tc>
      </w:tr>
      <w:tr>
        <w:trPr>
          <w:trHeight w:val="230"/>
        </w:trPr>
        <w:tc>
          <w:tcPr>
            <w:tcW w:w="8000" w:type="dxa"/>
            <w:vAlign w:val="bottom"/>
            <w:vMerge w:val="restart"/>
          </w:tcPr>
          <w:p>
            <w:pPr>
              <w:ind w:left="370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700" w:type="dxa"/>
            <w:vAlign w:val="bottom"/>
            <w:gridSpan w:val="3"/>
          </w:tcPr>
          <w:p>
            <w:pPr>
              <w:jc w:val="center"/>
              <w:ind w:left="1070"/>
              <w:spacing w:after="0"/>
              <w:rPr>
                <w:sz w:val="20"/>
                <w:szCs w:val="20"/>
                <w:color w:val="auto"/>
              </w:rPr>
            </w:pPr>
            <w:r>
              <w:rPr>
                <w:rFonts w:ascii="Arial" w:cs="Arial" w:eastAsia="Arial" w:hAnsi="Arial"/>
                <w:sz w:val="18"/>
                <w:szCs w:val="18"/>
                <w:i w:val="1"/>
                <w:iCs w:val="1"/>
                <w:color w:val="auto"/>
                <w:w w:val="92"/>
              </w:rPr>
              <w:t>data)</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59,598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1"/>
              </w:rPr>
              <w:t>Accounts receivable, less allowance for doubtful accounts of $0 as of September 30, 2020 and December 31,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59,796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31,091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64,182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44,796</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251,777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198,396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Land use right,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296,619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Liabilities, Redeemable Non-controlling Interests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96,267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53,502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60,162</w:t>
            </w:r>
          </w:p>
        </w:tc>
        <w:tc>
          <w:tcPr>
            <w:tcW w:w="0" w:type="dxa"/>
            <w:vAlign w:val="bottom"/>
          </w:tcPr>
          <w:p>
            <w:pPr>
              <w:spacing w:after="0"/>
              <w:rPr>
                <w:sz w:val="1"/>
                <w:szCs w:val="1"/>
                <w:color w:val="auto"/>
              </w:rPr>
            </w:pPr>
          </w:p>
        </w:tc>
      </w:tr>
      <w:tr>
        <w:trPr>
          <w:trHeight w:val="216"/>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 Class A, par value $0.0001: 50,000,000 shares authorized as of September 30, 2020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December 31, 2019; 16,657,135 shares issued and outstanding as of September 30, 2020 and 16,182,151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as of December 31, 2019</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5"/>
              </w:rPr>
              <w:t>Common stock–Class B, par value $0.0001: 2,409,738 shares authorized as of September 30, 2020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w w:val="94"/>
              </w:rPr>
              <w:t>December 31, 2019; 1,802,606 shares issued and outstanding as of September 30, 2020 and 1,862,608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2019</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83,487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surplus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15,507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126,942</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97,321</w:t>
            </w: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non-controlling interests, and stockholders’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296,619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5"/>
        </w:trPr>
        <w:tc>
          <w:tcPr>
            <w:tcW w:w="8000" w:type="dxa"/>
            <w:vAlign w:val="bottom"/>
          </w:tcPr>
          <w:p>
            <w:pPr>
              <w:ind w:left="5500"/>
              <w:spacing w:after="0"/>
              <w:rPr>
                <w:sz w:val="20"/>
                <w:szCs w:val="20"/>
                <w:color w:val="auto"/>
              </w:rPr>
            </w:pPr>
            <w:r>
              <w:rPr>
                <w:rFonts w:ascii="Arial" w:cs="Arial" w:eastAsia="Arial" w:hAnsi="Arial"/>
                <w:sz w:val="14"/>
                <w:szCs w:val="14"/>
                <w:color w:val="auto"/>
              </w:rPr>
              <w:t>- 6 -</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 and Comprehensive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Three Months Ended September</w:t>
            </w:r>
          </w:p>
        </w:tc>
        <w:tc>
          <w:tcPr>
            <w:tcW w:w="100" w:type="dxa"/>
            <w:vAlign w:val="bottom"/>
          </w:tcPr>
          <w:p>
            <w:pPr>
              <w:spacing w:after="0"/>
              <w:rPr>
                <w:sz w:val="18"/>
                <w:szCs w:val="18"/>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left="1050"/>
              <w:spacing w:after="0"/>
              <w:rPr>
                <w:sz w:val="20"/>
                <w:szCs w:val="20"/>
                <w:color w:val="auto"/>
              </w:rPr>
            </w:pPr>
            <w:r>
              <w:rPr>
                <w:rFonts w:ascii="Arial" w:cs="Arial" w:eastAsia="Arial" w:hAnsi="Arial"/>
                <w:sz w:val="18"/>
                <w:szCs w:val="18"/>
                <w:b w:val="1"/>
                <w:bCs w:val="1"/>
                <w:color w:val="auto"/>
                <w:w w:val="87"/>
              </w:rPr>
              <w:t>30,</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02"/>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jc w:val="center"/>
              <w:ind w:left="670"/>
              <w:spacing w:after="0" w:line="201" w:lineRule="exact"/>
              <w:rPr>
                <w:sz w:val="20"/>
                <w:szCs w:val="20"/>
                <w:color w:val="auto"/>
              </w:rPr>
            </w:pPr>
            <w:r>
              <w:rPr>
                <w:rFonts w:ascii="Arial" w:cs="Arial" w:eastAsia="Arial" w:hAnsi="Arial"/>
                <w:sz w:val="18"/>
                <w:szCs w:val="18"/>
                <w:i w:val="1"/>
                <w:iCs w:val="1"/>
                <w:color w:val="auto"/>
                <w:w w:val="93"/>
              </w:rPr>
              <w:t>(Unaudited)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tcPr>
          <w:p>
            <w:pPr>
              <w:jc w:val="center"/>
              <w:ind w:left="670"/>
              <w:spacing w:after="0" w:line="201" w:lineRule="exact"/>
              <w:rPr>
                <w:sz w:val="20"/>
                <w:szCs w:val="20"/>
                <w:color w:val="auto"/>
              </w:rPr>
            </w:pPr>
            <w:r>
              <w:rPr>
                <w:rFonts w:ascii="Arial" w:cs="Arial" w:eastAsia="Arial" w:hAnsi="Arial"/>
                <w:sz w:val="18"/>
                <w:szCs w:val="18"/>
                <w:i w:val="1"/>
                <w:iCs w:val="1"/>
                <w:color w:val="auto"/>
                <w:w w:val="93"/>
              </w:rPr>
              <w:t>(Unaudited)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20" w:type="dxa"/>
            <w:vAlign w:val="bottom"/>
          </w:tcPr>
          <w:p>
            <w:pPr>
              <w:spacing w:after="0"/>
              <w:rPr>
                <w:sz w:val="18"/>
                <w:szCs w:val="18"/>
                <w:color w:val="auto"/>
              </w:rPr>
            </w:pPr>
          </w:p>
        </w:tc>
        <w:tc>
          <w:tcPr>
            <w:tcW w:w="2940" w:type="dxa"/>
            <w:vAlign w:val="bottom"/>
            <w:gridSpan w:val="6"/>
          </w:tcPr>
          <w:p>
            <w:pPr>
              <w:jc w:val="center"/>
              <w:ind w:right="200"/>
              <w:spacing w:after="0"/>
              <w:rPr>
                <w:sz w:val="20"/>
                <w:szCs w:val="20"/>
                <w:color w:val="auto"/>
              </w:rPr>
            </w:pPr>
            <w:r>
              <w:rPr>
                <w:rFonts w:ascii="Arial" w:cs="Arial" w:eastAsia="Arial" w:hAnsi="Arial"/>
                <w:sz w:val="18"/>
                <w:szCs w:val="18"/>
                <w:i w:val="1"/>
                <w:iCs w:val="1"/>
                <w:color w:val="auto"/>
                <w:w w:val="89"/>
              </w:rPr>
              <w:t>( In thousands, except share and per</w:t>
            </w:r>
          </w:p>
        </w:tc>
        <w:tc>
          <w:tcPr>
            <w:tcW w:w="2780" w:type="dxa"/>
            <w:vAlign w:val="bottom"/>
            <w:gridSpan w:val="7"/>
          </w:tcPr>
          <w:p>
            <w:pPr>
              <w:jc w:val="center"/>
              <w:ind w:right="120"/>
              <w:spacing w:after="0"/>
              <w:rPr>
                <w:sz w:val="20"/>
                <w:szCs w:val="20"/>
                <w:color w:val="auto"/>
              </w:rPr>
            </w:pPr>
            <w:r>
              <w:rPr>
                <w:rFonts w:ascii="Arial" w:cs="Arial" w:eastAsia="Arial" w:hAnsi="Arial"/>
                <w:sz w:val="18"/>
                <w:szCs w:val="18"/>
                <w:i w:val="1"/>
                <w:iCs w:val="1"/>
                <w:color w:val="auto"/>
                <w:w w:val="89"/>
              </w:rPr>
              <w:t>( In thousands, except share and per</w:t>
            </w:r>
          </w:p>
        </w:tc>
      </w:tr>
      <w:tr>
        <w:trPr>
          <w:trHeight w:val="230"/>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center"/>
              <w:ind w:left="690"/>
              <w:spacing w:after="0"/>
              <w:rPr>
                <w:sz w:val="20"/>
                <w:szCs w:val="20"/>
                <w:color w:val="auto"/>
              </w:rPr>
            </w:pPr>
            <w:r>
              <w:rPr>
                <w:rFonts w:ascii="Arial" w:cs="Arial" w:eastAsia="Arial" w:hAnsi="Arial"/>
                <w:sz w:val="18"/>
                <w:szCs w:val="18"/>
                <w:i w:val="1"/>
                <w:iCs w:val="1"/>
                <w:color w:val="auto"/>
                <w:w w:val="90"/>
              </w:rPr>
              <w:t>share data)</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4"/>
          </w:tcPr>
          <w:p>
            <w:pPr>
              <w:jc w:val="center"/>
              <w:ind w:left="650"/>
              <w:spacing w:after="0"/>
              <w:rPr>
                <w:sz w:val="20"/>
                <w:szCs w:val="20"/>
                <w:color w:val="auto"/>
              </w:rPr>
            </w:pPr>
            <w:r>
              <w:rPr>
                <w:rFonts w:ascii="Arial" w:cs="Arial" w:eastAsia="Arial" w:hAnsi="Arial"/>
                <w:sz w:val="18"/>
                <w:szCs w:val="18"/>
                <w:i w:val="1"/>
                <w:iCs w:val="1"/>
                <w:color w:val="auto"/>
                <w:w w:val="90"/>
              </w:rPr>
              <w:t>share data)</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111,062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82,916</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17,173</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61,137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44,705</w:t>
            </w:r>
          </w:p>
        </w:tc>
      </w:tr>
      <w:tr>
        <w:trPr>
          <w:trHeight w:val="223"/>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8,679</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9,598</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5,992</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52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 net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12,835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9,224</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33,865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24,269</w:t>
            </w: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Change in fair value of financial liability</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(6,533)</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(11,964)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trading securities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2,132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in net income (loss) of affiliates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12,895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15,924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10,020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9,089</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12,479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15,257</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Less: Net income attributable to non-controlling interests and redeemable</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8,627</w:t>
            </w:r>
          </w:p>
        </w:tc>
        <w:tc>
          <w:tcPr>
            <w:tcW w:w="2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10,251</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10,020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9,089</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12,479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15,257</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b w:val="1"/>
                <w:bCs w:val="1"/>
                <w:color w:val="auto"/>
              </w:rPr>
              <w:t>Total comprehensive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15,777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16,578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12,355</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Less: Comprehensive income attributable to non-controlling interests and</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24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20" w:type="dxa"/>
            <w:vAlign w:val="bottom"/>
          </w:tcPr>
          <w:p>
            <w:pPr>
              <w:ind w:left="340"/>
              <w:spacing w:after="0"/>
              <w:rPr>
                <w:sz w:val="20"/>
                <w:szCs w:val="20"/>
                <w:color w:val="auto"/>
              </w:rPr>
            </w:pPr>
            <w:r>
              <w:rPr>
                <w:rFonts w:ascii="Arial" w:cs="Arial" w:eastAsia="Arial" w:hAnsi="Arial"/>
                <w:sz w:val="18"/>
                <w:szCs w:val="18"/>
                <w:b w:val="1"/>
                <w:bCs w:val="1"/>
                <w:color w:val="auto"/>
                <w:w w:val="94"/>
              </w:rPr>
              <w:t>Total comprehensive income attributable to ACM Research,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13,079</w:t>
            </w:r>
          </w:p>
        </w:tc>
        <w:tc>
          <w:tcPr>
            <w:tcW w:w="2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12,964</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12,048</w:t>
            </w:r>
          </w:p>
        </w:tc>
      </w:tr>
      <w:tr>
        <w:trPr>
          <w:trHeight w:val="21"/>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18,201,943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16,999,746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18,124,665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16,381,944</w:t>
            </w:r>
          </w:p>
        </w:tc>
      </w:tr>
      <w:tr>
        <w:trPr>
          <w:trHeight w:val="27"/>
        </w:trPr>
        <w:tc>
          <w:tcPr>
            <w:tcW w:w="31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21,555,296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19,354,214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21,257,661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18,699,010</w:t>
            </w:r>
          </w:p>
        </w:tc>
      </w:tr>
      <w:tr>
        <w:trPr>
          <w:trHeight w:val="20"/>
        </w:trPr>
        <w:tc>
          <w:tcPr>
            <w:tcW w:w="3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6"/>
        </w:trPr>
        <w:tc>
          <w:tcPr>
            <w:tcW w:w="3100" w:type="dxa"/>
            <w:vAlign w:val="bottom"/>
          </w:tcPr>
          <w:p>
            <w:pPr>
              <w:spacing w:after="0"/>
              <w:rPr>
                <w:sz w:val="24"/>
                <w:szCs w:val="24"/>
                <w:color w:val="auto"/>
              </w:rPr>
            </w:pPr>
          </w:p>
        </w:tc>
        <w:tc>
          <w:tcPr>
            <w:tcW w:w="3680" w:type="dxa"/>
            <w:vAlign w:val="bottom"/>
            <w:gridSpan w:val="2"/>
          </w:tcPr>
          <w:p>
            <w:pPr>
              <w:jc w:val="right"/>
              <w:ind w:right="950"/>
              <w:spacing w:after="0"/>
              <w:rPr>
                <w:sz w:val="20"/>
                <w:szCs w:val="20"/>
                <w:color w:val="auto"/>
              </w:rPr>
            </w:pPr>
            <w:r>
              <w:rPr>
                <w:rFonts w:ascii="Arial" w:cs="Arial" w:eastAsia="Arial" w:hAnsi="Arial"/>
                <w:sz w:val="14"/>
                <w:szCs w:val="14"/>
                <w:color w:val="auto"/>
              </w:rPr>
              <w:t>- 7 -</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1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Non-GAAP Financial Measures</w:t>
      </w:r>
    </w:p>
    <w:p>
      <w:pPr>
        <w:spacing w:after="0" w:line="215"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As described under “Use of Non-GAAP Financial Measures” above, ACM presents non-GAAP gross margin, operating expenses, operating income and net income attributable to ACM Research, Inc. as supplemental measures to GAAP financial measures, each of which excludes stock-based compensation (“SBC”) from the equivalent GAAP financial line items. In addition, non-GAAP net income (loss) attributable to ACM Research, Inc. excludes non-cash changes in fair value of financial assets and liabilities The following table reconciles gross margin, operating expenses, operating income and net income attributable to ACM Research, Inc. to the related non-GAAP financial measures: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1"/>
          </w:tcPr>
          <w:p>
            <w:pPr>
              <w:jc w:val="right"/>
              <w:ind w:right="30"/>
              <w:spacing w:after="0"/>
              <w:rPr>
                <w:sz w:val="20"/>
                <w:szCs w:val="20"/>
                <w:color w:val="auto"/>
              </w:rPr>
            </w:pPr>
            <w:r>
              <w:rPr>
                <w:rFonts w:ascii="Arial" w:cs="Arial" w:eastAsia="Arial" w:hAnsi="Arial"/>
                <w:sz w:val="18"/>
                <w:szCs w:val="18"/>
                <w:b w:val="1"/>
                <w:bCs w:val="1"/>
                <w:color w:val="auto"/>
                <w:w w:val="95"/>
              </w:rPr>
              <w:t>Three Months Ended September 30,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3"/>
              </w:rPr>
              <w:t>Other non-</w:t>
            </w:r>
          </w:p>
        </w:tc>
        <w:tc>
          <w:tcPr>
            <w:tcW w:w="980" w:type="dxa"/>
            <w:vAlign w:val="bottom"/>
            <w:gridSpan w:val="3"/>
          </w:tcPr>
          <w:p>
            <w:pPr>
              <w:jc w:val="center"/>
              <w:ind w:left="30"/>
              <w:spacing w:after="0" w:line="198" w:lineRule="exact"/>
              <w:rPr>
                <w:sz w:val="20"/>
                <w:szCs w:val="20"/>
                <w:color w:val="auto"/>
              </w:rPr>
            </w:pPr>
            <w:r>
              <w:rPr>
                <w:rFonts w:ascii="Arial" w:cs="Arial" w:eastAsia="Arial" w:hAnsi="Arial"/>
                <w:sz w:val="18"/>
                <w:szCs w:val="18"/>
                <w:b w:val="1"/>
                <w:bCs w:val="1"/>
                <w:color w:val="auto"/>
                <w:w w:val="90"/>
              </w:rPr>
              <w:t>Adjusted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Adjusted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4"/>
              </w:rPr>
              <w:t>Actual</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operating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(Non-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(Non-</w:t>
            </w:r>
          </w:p>
        </w:tc>
      </w:tr>
      <w:tr>
        <w:trPr>
          <w:trHeight w:val="241"/>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(GAAP)</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SBC</w:t>
            </w:r>
          </w:p>
        </w:tc>
        <w:tc>
          <w:tcPr>
            <w:tcW w:w="18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220" w:type="dxa"/>
            <w:vAlign w:val="bottom"/>
          </w:tcPr>
          <w:p>
            <w:pPr>
              <w:spacing w:after="0"/>
              <w:rPr>
                <w:sz w:val="20"/>
                <w:szCs w:val="20"/>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GAAP)</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(GAAP)</w:t>
            </w:r>
          </w:p>
        </w:tc>
        <w:tc>
          <w:tcPr>
            <w:tcW w:w="2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SBC</w:t>
            </w:r>
          </w:p>
        </w:tc>
        <w:tc>
          <w:tcPr>
            <w:tcW w:w="18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GAAP)</w:t>
            </w:r>
          </w:p>
        </w:tc>
      </w:tr>
      <w:tr>
        <w:trPr>
          <w:trHeight w:val="230"/>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6"/>
          </w:tcPr>
          <w:p>
            <w:pPr>
              <w:jc w:val="right"/>
              <w:ind w:right="20"/>
              <w:spacing w:after="0"/>
              <w:rPr>
                <w:sz w:val="20"/>
                <w:szCs w:val="20"/>
                <w:color w:val="auto"/>
              </w:rPr>
            </w:pPr>
            <w:r>
              <w:rPr>
                <w:rFonts w:ascii="Arial" w:cs="Arial" w:eastAsia="Arial" w:hAnsi="Arial"/>
                <w:sz w:val="18"/>
                <w:szCs w:val="18"/>
                <w:i w:val="1"/>
                <w:iCs w:val="1"/>
                <w:color w:val="auto"/>
                <w:w w:val="93"/>
              </w:rPr>
              <w:t>(In thousands)</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47,665</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47,665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33,427</w:t>
            </w:r>
          </w:p>
        </w:tc>
        <w:tc>
          <w:tcPr>
            <w:tcW w:w="80" w:type="dxa"/>
            <w:vAlign w:val="bottom"/>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(27,324)</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(17,173)</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(17,019)</w:t>
            </w: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20,341</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20,385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16,408</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(3,687)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(3,714)</w:t>
            </w:r>
          </w:p>
        </w:tc>
      </w:tr>
      <w:tr>
        <w:trPr>
          <w:trHeight w:val="223"/>
        </w:trPr>
        <w:tc>
          <w:tcPr>
            <w:tcW w:w="3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(4,343)</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(4,150)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(3,492)</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(2,733)</w:t>
            </w:r>
          </w:p>
        </w:tc>
      </w:tr>
      <w:tr>
        <w:trPr>
          <w:trHeight w:val="223"/>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(2,263)</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7,506</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10,285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financial liability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740" w:type="dxa"/>
            <w:vAlign w:val="bottom"/>
          </w:tcPr>
          <w:p>
            <w:pPr>
              <w:ind w:left="340"/>
              <w:spacing w:after="0"/>
              <w:rPr>
                <w:sz w:val="20"/>
                <w:szCs w:val="20"/>
                <w:color w:val="auto"/>
              </w:rPr>
            </w:pPr>
            <w:r>
              <w:rPr>
                <w:rFonts w:ascii="Arial" w:cs="Arial" w:eastAsia="Arial" w:hAnsi="Arial"/>
                <w:sz w:val="18"/>
                <w:szCs w:val="18"/>
                <w:color w:val="auto"/>
              </w:rPr>
              <w:t>Unrealized gain on trading securities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8,970</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8,970</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4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Net income (loss) attributable to ACM Research,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8,627</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8,969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459"/>
        </w:trPr>
        <w:tc>
          <w:tcPr>
            <w:tcW w:w="3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1"/>
          </w:tcPr>
          <w:p>
            <w:pPr>
              <w:jc w:val="center"/>
              <w:ind w:right="290"/>
              <w:spacing w:after="0"/>
              <w:rPr>
                <w:sz w:val="20"/>
                <w:szCs w:val="20"/>
                <w:color w:val="auto"/>
              </w:rPr>
            </w:pPr>
            <w:r>
              <w:rPr>
                <w:rFonts w:ascii="Arial" w:cs="Arial" w:eastAsia="Arial" w:hAnsi="Arial"/>
                <w:sz w:val="18"/>
                <w:szCs w:val="18"/>
                <w:b w:val="1"/>
                <w:bCs w:val="1"/>
                <w:color w:val="auto"/>
                <w:w w:val="90"/>
              </w:rPr>
              <w:t>Nine Months Ended September 30,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3"/>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Other non-</w:t>
            </w:r>
          </w:p>
        </w:tc>
        <w:tc>
          <w:tcPr>
            <w:tcW w:w="180" w:type="dxa"/>
            <w:vAlign w:val="bottom"/>
          </w:tcPr>
          <w:p>
            <w:pPr>
              <w:spacing w:after="0"/>
              <w:rPr>
                <w:sz w:val="17"/>
                <w:szCs w:val="17"/>
                <w:color w:val="auto"/>
              </w:rPr>
            </w:pPr>
          </w:p>
        </w:tc>
        <w:tc>
          <w:tcPr>
            <w:tcW w:w="800" w:type="dxa"/>
            <w:vAlign w:val="bottom"/>
            <w:gridSpan w:val="2"/>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Adjusted</w:t>
            </w:r>
          </w:p>
        </w:tc>
        <w:tc>
          <w:tcPr>
            <w:tcW w:w="2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Adjusted</w:t>
            </w:r>
          </w:p>
        </w:tc>
        <w:tc>
          <w:tcPr>
            <w:tcW w:w="100" w:type="dxa"/>
            <w:vAlign w:val="bottom"/>
            <w:gridSpan w:val="2"/>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8"/>
              </w:rPr>
              <w:t>Actual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0"/>
              </w:rPr>
              <w:t>operating</w:t>
            </w:r>
          </w:p>
        </w:tc>
        <w:tc>
          <w:tcPr>
            <w:tcW w:w="180" w:type="dxa"/>
            <w:vAlign w:val="bottom"/>
          </w:tcPr>
          <w:p>
            <w:pPr>
              <w:spacing w:after="0"/>
              <w:rPr>
                <w:sz w:val="18"/>
                <w:szCs w:val="18"/>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(Non-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(Non-</w:t>
            </w:r>
          </w:p>
        </w:tc>
      </w:tr>
      <w:tr>
        <w:trPr>
          <w:trHeight w:val="241"/>
        </w:trPr>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3"/>
              </w:rPr>
              <w:t>(GAAP)</w:t>
            </w:r>
          </w:p>
        </w:tc>
        <w:tc>
          <w:tcPr>
            <w:tcW w:w="1040" w:type="dxa"/>
            <w:vAlign w:val="bottom"/>
            <w:gridSpan w:val="3"/>
          </w:tcPr>
          <w:p>
            <w:pPr>
              <w:jc w:val="center"/>
              <w:ind w:right="11"/>
              <w:spacing w:after="0"/>
              <w:rPr>
                <w:sz w:val="20"/>
                <w:szCs w:val="20"/>
                <w:color w:val="auto"/>
              </w:rPr>
            </w:pPr>
            <w:r>
              <w:rPr>
                <w:rFonts w:ascii="Arial" w:cs="Arial" w:eastAsia="Arial" w:hAnsi="Arial"/>
                <w:sz w:val="18"/>
                <w:szCs w:val="18"/>
                <w:b w:val="1"/>
                <w:bCs w:val="1"/>
                <w:color w:val="auto"/>
                <w:w w:val="89"/>
              </w:rPr>
              <w:t>SBC</w:t>
            </w:r>
          </w:p>
        </w:tc>
        <w:tc>
          <w:tcPr>
            <w:tcW w:w="11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adjustments</w:t>
            </w:r>
          </w:p>
        </w:tc>
        <w:tc>
          <w:tcPr>
            <w:tcW w:w="180" w:type="dxa"/>
            <w:vAlign w:val="bottom"/>
          </w:tcPr>
          <w:p>
            <w:pPr>
              <w:spacing w:after="0"/>
              <w:rPr>
                <w:sz w:val="20"/>
                <w:szCs w:val="20"/>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9"/>
              </w:rPr>
              <w:t>GAAP)</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9"/>
              </w:rPr>
              <w:t>(GAAP)</w:t>
            </w:r>
          </w:p>
        </w:tc>
        <w:tc>
          <w:tcPr>
            <w:tcW w:w="24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SBC</w:t>
            </w:r>
          </w:p>
        </w:tc>
        <w:tc>
          <w:tcPr>
            <w:tcW w:w="180" w:type="dxa"/>
            <w:vAlign w:val="bottom"/>
          </w:tcPr>
          <w:p>
            <w:pPr>
              <w:spacing w:after="0"/>
              <w:rPr>
                <w:sz w:val="20"/>
                <w:szCs w:val="20"/>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GAAP)</w:t>
            </w:r>
          </w:p>
        </w:tc>
      </w:tr>
      <w:tr>
        <w:trPr>
          <w:trHeight w:val="230"/>
        </w:trPr>
        <w:tc>
          <w:tcPr>
            <w:tcW w:w="37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8"/>
                <w:szCs w:val="18"/>
                <w:i w:val="1"/>
                <w:iCs w:val="1"/>
                <w:color w:val="auto"/>
                <w:w w:val="90"/>
              </w:rPr>
              <w:t>(In thousands)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111,062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111,062</w:t>
            </w: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82,916</w:t>
            </w:r>
          </w:p>
        </w:tc>
        <w:tc>
          <w:tcPr>
            <w:tcW w:w="80" w:type="dxa"/>
            <w:vAlign w:val="bottom"/>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(61,137)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95"/>
              </w:rPr>
              <w:t>(132)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(61,005)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w w:val="98"/>
              </w:rPr>
              <w:t>(44,705)</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(44,492)</w:t>
            </w: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49,925</w:t>
            </w: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(132)</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50,057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38,211</w:t>
            </w: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38,424</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(495)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(11,029)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(8,427)</w:t>
            </w: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(13,241)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95"/>
              </w:rPr>
              <w:t>(568)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(12,673)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(9,598)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(8,659)</w:t>
            </w:r>
          </w:p>
        </w:tc>
      </w:tr>
      <w:tr>
        <w:trPr>
          <w:trHeight w:val="223"/>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w w:val="98"/>
              </w:rPr>
              <w:t>(3,128)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r>
      <w:tr>
        <w:trPr>
          <w:trHeight w:val="223"/>
        </w:trPr>
        <w:tc>
          <w:tcPr>
            <w:tcW w:w="3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16,060</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w w:val="98"/>
              </w:rPr>
              <w:t>(4,323)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20,383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13,942</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16,861</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financial liability</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Unrealized gain on trading securities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8,970</w:t>
            </w: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8,970</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56"/>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Net income attributable to ACM Research,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10,251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w w:val="98"/>
              </w:rPr>
              <w:t>(4,323)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17,568</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14,950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643"/>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- 8 -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0"/>
        </w:trPr>
        <w:tc>
          <w:tcPr>
            <w:tcW w:w="3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2020-11-05T17:15:05Z</dcterms:created>
  <dcterms:modified xsi:type="dcterms:W3CDTF">2020-11-05T17:15:05Z</dcterms:modified>
</cp:coreProperties>
</file>