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 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May 8, 2025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ACM Research, Inc.</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tbl>
      <w:tblPr>
        <w:tblW w:w="8685" w:type="dxa"/>
        <w:jc w:val="left"/>
        <w:tblInd w:w="0" w:type="dxa"/>
        <w:tblLayout w:type="fixed"/>
        <w:tblCellMar>
          <w:top w:w="0" w:type="dxa"/>
          <w:left w:w="0" w:type="dxa"/>
          <w:bottom w:w="0" w:type="dxa"/>
          <w:right w:w="0" w:type="dxa"/>
        </w:tblCellMar>
      </w:tblPr>
      <w:tblGrid>
        <w:gridCol w:w="3740"/>
        <w:gridCol w:w="2195"/>
        <w:gridCol w:w="2750"/>
      </w:tblGrid>
      <w:tr>
        <w:trPr/>
        <w:tc>
          <w:tcPr>
            <w:tcW w:w="37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001-38273</w:t>
            </w:r>
          </w:p>
        </w:tc>
        <w:tc>
          <w:tcPr>
            <w:tcW w:w="27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94-3290283</w:t>
            </w:r>
          </w:p>
        </w:tc>
      </w:tr>
      <w:tr>
        <w:trPr/>
        <w:tc>
          <w:tcPr>
            <w:tcW w:w="374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(State or Other Jurisdiction of Incorporation)</w:t>
            </w:r>
          </w:p>
        </w:tc>
        <w:tc>
          <w:tcPr>
            <w:tcW w:w="219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275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225" w:type="dxa"/>
        <w:jc w:val="left"/>
        <w:tblInd w:w="0" w:type="dxa"/>
        <w:tblLayout w:type="fixed"/>
        <w:tblCellMar>
          <w:top w:w="0" w:type="dxa"/>
          <w:left w:w="0" w:type="dxa"/>
          <w:bottom w:w="0" w:type="dxa"/>
          <w:right w:w="0" w:type="dxa"/>
        </w:tblCellMar>
      </w:tblPr>
      <w:tblGrid>
        <w:gridCol w:w="3275"/>
        <w:gridCol w:w="60"/>
        <w:gridCol w:w="89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42307 Osgood Road, Suite I</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Fremont, California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94539</w:t>
            </w:r>
          </w:p>
        </w:tc>
      </w:tr>
      <w:tr>
        <w:trPr/>
        <w:tc>
          <w:tcPr>
            <w:tcW w:w="327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w:t>
      </w:r>
      <w:r>
        <w:rPr>
          <w:rFonts w:ascii="Times New Roman" w:hAnsi="Times New Roman"/>
          <w:b/>
          <w:color w:val="000000"/>
          <w:sz w:val="20"/>
          <w:shd w:fill="FFFFFF" w:val="clear"/>
        </w:rPr>
        <w:t>(510) 445-3700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9465" w:type="dxa"/>
        <w:jc w:val="left"/>
        <w:tblInd w:w="0" w:type="dxa"/>
        <w:tblLayout w:type="fixed"/>
        <w:tblCellMar>
          <w:top w:w="0" w:type="dxa"/>
          <w:left w:w="0" w:type="dxa"/>
          <w:bottom w:w="28" w:type="dxa"/>
          <w:right w:w="0" w:type="dxa"/>
        </w:tblCellMar>
      </w:tblPr>
      <w:tblGrid>
        <w:gridCol w:w="4265"/>
        <w:gridCol w:w="60"/>
        <w:gridCol w:w="1385"/>
        <w:gridCol w:w="60"/>
        <w:gridCol w:w="3695"/>
      </w:tblGrid>
      <w:tr>
        <w:trPr/>
        <w:tc>
          <w:tcPr>
            <w:tcW w:w="42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42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Class A 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ACMR</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or Rule 12b-2 of the Securities Exchange Act of 1934:           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May 8, 2025, we issued a press release announcing financial results for the first quarter of 2025. The full text of the press release is furnished as Exhibit 99.1 hereto and is incorporated herein by reference</w:t>
      </w:r>
      <w:r>
        <w:rPr>
          <w:rFonts w:ascii="Times New Roman" w:hAnsi="Times New Roman"/>
          <w:i/>
          <w:color w:val="000000"/>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pStyle w:val="TextBody"/>
        <w:bidi w:val="0"/>
        <w:spacing w:before="0" w:after="0"/>
        <w:jc w:val="left"/>
        <w:rPr>
          <w:rFonts w:ascii="Times New Roman" w:hAnsi="Times New Roman"/>
          <w:sz w:val="20"/>
        </w:rPr>
      </w:pPr>
      <w:r>
        <w:rPr>
          <w:rFonts w:ascii="Times New Roman" w:hAnsi="Times New Roman"/>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(d)</w:t>
      </w:r>
      <w:r>
        <w:rPr>
          <w:rFonts w:ascii="Times New Roman" w:hAnsi="Times New Roman"/>
          <w:color w:val="000000"/>
          <w:sz w:val="20"/>
          <w:shd w:fill="FFFFFF" w:val="clear"/>
        </w:rPr>
        <w:t xml:space="preserve">   </w:t>
      </w:r>
      <w:r>
        <w:rPr>
          <w:rFonts w:ascii="Times New Roman" w:hAnsi="Times New Roman"/>
          <w:b/>
          <w:color w:val="000000"/>
          <w:sz w:val="20"/>
          <w:shd w:fill="FFFFFF" w:val="clear"/>
        </w:rPr>
        <w:t>Exhibits.</w:t>
      </w:r>
    </w:p>
    <w:p>
      <w:pPr>
        <w:pStyle w:val="TextBody"/>
        <w:bidi w:val="0"/>
        <w:spacing w:before="0" w:after="0"/>
        <w:jc w:val="left"/>
        <w:rPr>
          <w:color w:val="000000"/>
          <w:shd w:fill="FFFFFF" w:val="clear"/>
        </w:rPr>
      </w:pPr>
      <w:r>
        <w:rPr>
          <w:color w:val="000000"/>
          <w:shd w:fill="FFFFFF" w:val="clear"/>
        </w:rPr>
        <w:t> </w:t>
      </w:r>
    </w:p>
    <w:tbl>
      <w:tblPr>
        <w:tblW w:w="6655" w:type="dxa"/>
        <w:jc w:val="left"/>
        <w:tblInd w:w="0" w:type="dxa"/>
        <w:tblLayout w:type="fixed"/>
        <w:tblCellMar>
          <w:top w:w="0" w:type="dxa"/>
          <w:left w:w="0" w:type="dxa"/>
          <w:bottom w:w="28" w:type="dxa"/>
          <w:right w:w="0" w:type="dxa"/>
        </w:tblCellMar>
      </w:tblPr>
      <w:tblGrid>
        <w:gridCol w:w="650"/>
        <w:gridCol w:w="60"/>
        <w:gridCol w:w="5945"/>
      </w:tblGrid>
      <w:tr>
        <w:trPr/>
        <w:tc>
          <w:tcPr>
            <w:tcW w:w="65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594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r>
      <w:tr>
        <w:trPr/>
        <w:tc>
          <w:tcPr>
            <w:tcW w:w="650" w:type="dxa"/>
            <w:tcBorders/>
            <w:tcMar>
              <w:bottom w:w="0" w:type="dxa"/>
            </w:tcMar>
            <w:vAlign w:val="center"/>
          </w:tcPr>
          <w:p>
            <w:pPr>
              <w:pStyle w:val="TableContents"/>
              <w:bidi w:val="0"/>
              <w:spacing w:before="0" w:after="0"/>
              <w:jc w:val="center"/>
              <w:rPr/>
            </w:pPr>
            <w:hyperlink w:anchor="ef20048551_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Press Release of ACM Research, Inc. dated May 8, 2025</w:t>
            </w:r>
          </w:p>
        </w:tc>
      </w:tr>
      <w:tr>
        <w:trPr/>
        <w:tc>
          <w:tcPr>
            <w:tcW w:w="650" w:type="dxa"/>
            <w:tcBorders/>
            <w:tcMar>
              <w:bottom w:w="0" w:type="dxa"/>
            </w:tcMar>
            <w:vAlign w:val="center"/>
          </w:tcPr>
          <w:p>
            <w:pPr>
              <w:pStyle w:val="TableContents"/>
              <w:bidi w:val="0"/>
              <w:spacing w:before="0" w:after="283"/>
              <w:jc w:val="center"/>
              <w:rPr/>
            </w:pPr>
            <w:r>
              <w:rPr/>
              <w:t>104</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XBRL document)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4979" w:type="dxa"/>
        <w:jc w:val="left"/>
        <w:tblInd w:w="0" w:type="dxa"/>
        <w:tblLayout w:type="fixed"/>
        <w:tblCellMar>
          <w:top w:w="0" w:type="dxa"/>
          <w:left w:w="0" w:type="dxa"/>
          <w:bottom w:w="0" w:type="dxa"/>
          <w:right w:w="0" w:type="dxa"/>
        </w:tblCellMar>
      </w:tblPr>
      <w:tblGrid>
        <w:gridCol w:w="1640"/>
        <w:gridCol w:w="320"/>
        <w:gridCol w:w="2916"/>
        <w:gridCol w:w="103"/>
      </w:tblGrid>
      <w:tr>
        <w:trPr/>
        <w:tc>
          <w:tcPr>
            <w:tcW w:w="1640" w:type="dxa"/>
            <w:tcBorders/>
            <w:vAlign w:val="center"/>
          </w:tcPr>
          <w:p>
            <w:pPr>
              <w:pStyle w:val="TableContents"/>
              <w:bidi w:val="0"/>
              <w:spacing w:before="0" w:after="283"/>
              <w:jc w:val="left"/>
              <w:rPr/>
            </w:pPr>
            <w:r>
              <w:rPr/>
              <w:t> </w:t>
            </w:r>
          </w:p>
        </w:tc>
        <w:tc>
          <w:tcPr>
            <w:tcW w:w="333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ACM RESEARCH, INC.</w:t>
            </w:r>
          </w:p>
        </w:tc>
      </w:tr>
      <w:tr>
        <w:trPr/>
        <w:tc>
          <w:tcPr>
            <w:tcW w:w="1640" w:type="dxa"/>
            <w:tcBorders/>
            <w:vAlign w:val="center"/>
          </w:tcPr>
          <w:p>
            <w:pPr>
              <w:pStyle w:val="TableContents"/>
              <w:bidi w:val="0"/>
              <w:spacing w:before="0" w:after="283"/>
              <w:jc w:val="left"/>
              <w:rPr/>
            </w:pPr>
            <w:r>
              <w:rPr/>
              <w:t> </w:t>
            </w:r>
          </w:p>
        </w:tc>
        <w:tc>
          <w:tcPr>
            <w:tcW w:w="3339" w:type="dxa"/>
            <w:gridSpan w:val="3"/>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916"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Mark McKechnie</w:t>
            </w:r>
          </w:p>
        </w:tc>
        <w:tc>
          <w:tcPr>
            <w:tcW w:w="103"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McKechnie</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r>
          </w:p>
        </w:tc>
        <w:tc>
          <w:tcPr>
            <w:tcW w:w="3019" w:type="dxa"/>
            <w:gridSpan w:val="2"/>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Chief Financial Officer and Treasurer</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Dated: May 8, 2025</w:t>
            </w:r>
          </w:p>
        </w:tc>
        <w:tc>
          <w:tcPr>
            <w:tcW w:w="320" w:type="dxa"/>
            <w:tcBorders/>
            <w:vAlign w:val="center"/>
          </w:tcPr>
          <w:p>
            <w:pPr>
              <w:pStyle w:val="TableContents"/>
              <w:bidi w:val="0"/>
              <w:spacing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019" w:type="dxa"/>
            <w:gridSpan w:val="2"/>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jc w:val="left"/>
        <w:rPr/>
      </w:pPr>
      <w:r>
        <w:rPr/>
      </w:r>
    </w:p>
    <w:p>
      <w:pPr>
        <w:pStyle w:val="HorizontalLine"/>
        <w:pBdr>
          <w:bottom w:val="single" w:sz="12" w:space="0" w:color="808080"/>
        </w:pBdr>
        <w:bidi w:val="0"/>
        <w:jc w:val="left"/>
        <w:rPr/>
      </w:pPr>
      <w:r>
        <w:rPr/>
      </w:r>
      <w:bookmarkStart w:id="0" w:name="ef20048551_ex99-1.htm"/>
      <w:bookmarkStart w:id="1" w:name="ksef20048551_ex991"/>
      <w:bookmarkStart w:id="2" w:name="ef20048551_ex99-1.htm"/>
      <w:bookmarkStart w:id="3" w:name="ksef20048551_ex991"/>
      <w:bookmarkEnd w:id="2"/>
      <w:bookmarkEnd w:id="3"/>
      <w:r>
        <w:br w:type="page"/>
      </w:r>
    </w:p>
    <w:p>
      <w:pPr>
        <w:pStyle w:val="TextBody"/>
        <w:bidi w:val="0"/>
        <w:spacing w:before="0" w:after="0"/>
        <w:jc w:val="right"/>
        <w:rPr>
          <w:rFonts w:ascii="Times New Roman" w:hAnsi="Times New Roman"/>
          <w:color w:val="000000"/>
          <w:sz w:val="20"/>
        </w:rPr>
      </w:pPr>
      <w:r>
        <w:rPr>
          <w:rFonts w:ascii="Times New Roman" w:hAnsi="Times New Roman"/>
          <w:b/>
          <w:color w:val="000000"/>
          <w:sz w:val="20"/>
        </w:rPr>
        <w:t>Exhibit 99.1</w:t>
      </w:r>
      <w:r>
        <w:rPr>
          <w:rFonts w:ascii="Times New Roman" w:hAnsi="Times New Roman"/>
          <w:color w:val="000000"/>
          <w:sz w:val="20"/>
        </w:rPr>
        <w:t xml:space="preserve"> </w:t>
      </w:r>
    </w:p>
    <w:p>
      <w:pPr>
        <w:pStyle w:val="TextBody"/>
        <w:bidi w:val="0"/>
        <w:spacing w:before="0" w:after="0"/>
        <w:jc w:val="right"/>
        <w:rPr>
          <w:sz w:val="20"/>
        </w:rPr>
      </w:pPr>
      <w:r>
        <w:rPr>
          <w:sz w:val="20"/>
        </w:rPr>
      </w:r>
    </w:p>
    <w:p>
      <w:pPr>
        <w:pStyle w:val="TextBody"/>
        <w:bidi w:val="0"/>
        <w:spacing w:before="0" w:after="0"/>
        <w:jc w:val="center"/>
        <w:rPr>
          <w:color w:val="000000"/>
        </w:rPr>
      </w:pPr>
      <w:r>
        <w:rPr>
          <w:color w:val="000000"/>
        </w:rPr>
        <w:drawing>
          <wp:inline distT="0" distB="0" distL="0" distR="0">
            <wp:extent cx="7905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0575" cy="4857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ACM Research Reports First Quarter 2025 Results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FREMONT, Calif., May 8, 2025 (GLOBE NEWSWIRE) -- ACM Research, Inc. (“ACM”) (NASDAQ: ACMR), a leading supplier of wafer processing solutions for semiconductor and advanced packaging applications, today reported financial results for its first quarter ended March 31, 2025.</w:t>
      </w:r>
    </w:p>
    <w:p>
      <w:pPr>
        <w:pStyle w:val="TextBody"/>
        <w:bidi w:val="0"/>
        <w:spacing w:before="0" w:after="0"/>
        <w:jc w:val="left"/>
        <w:rPr>
          <w:sz w:val="20"/>
        </w:rPr>
      </w:pPr>
      <w:r>
        <w:rPr>
          <w:sz w:val="20"/>
        </w:rPr>
      </w:r>
    </w:p>
    <w:p>
      <w:pPr>
        <w:pStyle w:val="TextBody"/>
        <w:bidi w:val="0"/>
        <w:spacing w:before="0" w:after="0"/>
        <w:jc w:val="both"/>
        <w:rPr>
          <w:color w:val="000000"/>
        </w:rPr>
      </w:pPr>
      <w:r>
        <w:rPr>
          <w:color w:val="000000"/>
        </w:rPr>
        <w:t>“</w:t>
      </w:r>
      <w:r>
        <w:rPr>
          <w:rFonts w:ascii="Times New Roman" w:hAnsi="Times New Roman"/>
          <w:color w:val="000000"/>
          <w:sz w:val="20"/>
        </w:rPr>
        <w:t>Our first quarter results mark a good start to 2025. We delivered 13% year-over-year revenue growth, solid profitability, and positive cash flow from operations,” said Dr. David Wang, President and Chief Executive Officer of ACM. “We achieved several strategic milestones: including the qualification of our high-temperature SPM tool by a leading logic customer in China, customer acceptance for our backside/bevel etch tool from a U.S. customer, and we received the 2025 3D InCites Technology Enablement Award for our proprietary Ultra ECP ap-p tool, which we believe is the world’s first to utilize horizontal plating for panel applications. These achievements highlight ACM’s technology leadership in both front-end processing and advanced packaging applications, which we believe will allow us to play a key role as the global industry demands innovation to advance the ever-evolving semiconductor requirements for AI.”</w:t>
      </w:r>
    </w:p>
    <w:p>
      <w:pPr>
        <w:pStyle w:val="TextBody"/>
        <w:bidi w:val="0"/>
        <w:spacing w:before="0" w:after="0"/>
        <w:jc w:val="left"/>
        <w:rPr>
          <w:sz w:val="20"/>
        </w:rPr>
      </w:pPr>
      <w:r>
        <w:rPr>
          <w:sz w:val="20"/>
        </w:rPr>
      </w:r>
    </w:p>
    <w:p>
      <w:pPr>
        <w:pStyle w:val="TextBody"/>
        <w:bidi w:val="0"/>
        <w:spacing w:before="0" w:after="0"/>
        <w:jc w:val="both"/>
        <w:rPr>
          <w:color w:val="000000"/>
        </w:rPr>
      </w:pPr>
      <w:r>
        <w:rPr>
          <w:color w:val="000000"/>
        </w:rPr>
        <w:t>“</w:t>
      </w:r>
      <w:r>
        <w:rPr>
          <w:rFonts w:ascii="Times New Roman" w:hAnsi="Times New Roman"/>
          <w:color w:val="000000"/>
          <w:sz w:val="20"/>
        </w:rPr>
        <w:t>For 2025, we expect incremental revenue contribution from Tahoe, SPM, and furnace tools; and progress in customer evaluations of Track, PECVD, and panel-level packaging platforms. We believe ACM’s focused effort on developing world-class tools across our customer base will also support our efforts for additional major customer wins in global markets. We are also investing in our Oregon facility to serve as a base for customer evaluations, technology development and initial production for our global customers.”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c7ae74db681e4128a006f1da6cf4da21"/>
      <w:bookmarkStart w:id="5" w:name="zc7ae74db681e4128a006f1da6cf4da21"/>
      <w:bookmarkEnd w:id="5"/>
    </w:p>
    <w:tbl>
      <w:tblPr>
        <w:tblW w:w="8105" w:type="dxa"/>
        <w:jc w:val="left"/>
        <w:tblInd w:w="0" w:type="dxa"/>
        <w:tblLayout w:type="fixed"/>
        <w:tblCellMar>
          <w:top w:w="0" w:type="dxa"/>
          <w:left w:w="0" w:type="dxa"/>
          <w:bottom w:w="0" w:type="dxa"/>
          <w:right w:w="0" w:type="dxa"/>
        </w:tblCellMar>
      </w:tblPr>
      <w:tblGrid>
        <w:gridCol w:w="3830"/>
        <w:gridCol w:w="60"/>
        <w:gridCol w:w="125"/>
        <w:gridCol w:w="695"/>
        <w:gridCol w:w="185"/>
        <w:gridCol w:w="60"/>
        <w:gridCol w:w="125"/>
        <w:gridCol w:w="695"/>
        <w:gridCol w:w="185"/>
        <w:gridCol w:w="60"/>
        <w:gridCol w:w="125"/>
        <w:gridCol w:w="695"/>
        <w:gridCol w:w="185"/>
        <w:gridCol w:w="60"/>
        <w:gridCol w:w="125"/>
        <w:gridCol w:w="695"/>
        <w:gridCol w:w="200"/>
      </w:tblGrid>
      <w:tr>
        <w:trPr/>
        <w:tc>
          <w:tcPr>
            <w:tcW w:w="3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5"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March 31,</w:t>
            </w:r>
          </w:p>
        </w:tc>
        <w:tc>
          <w:tcPr>
            <w:tcW w:w="200" w:type="dxa"/>
            <w:tcBorders/>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GAAP</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Non-GAAP(1)</w:t>
            </w:r>
          </w:p>
        </w:tc>
        <w:tc>
          <w:tcPr>
            <w:tcW w:w="200" w:type="dxa"/>
            <w:tcBorders/>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200" w:type="dxa"/>
            <w:tcBorders/>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5" w:type="dxa"/>
            <w:gridSpan w:val="14"/>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(dollars in thousands, except EPS)</w:t>
            </w:r>
          </w:p>
        </w:tc>
        <w:tc>
          <w:tcPr>
            <w:tcW w:w="200"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172,347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152,191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172,347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152,191</w:t>
            </w:r>
          </w:p>
        </w:tc>
        <w:tc>
          <w:tcPr>
            <w:tcW w:w="200"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Gross margin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47.9</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48.2</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52.5</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from operations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25,777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25,232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35,594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39,801</w:t>
            </w:r>
          </w:p>
        </w:tc>
        <w:tc>
          <w:tcPr>
            <w:tcW w:w="200"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attributable to ACM Research, Inc.</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20,380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17,433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31,279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34,597</w:t>
            </w:r>
          </w:p>
        </w:tc>
        <w:tc>
          <w:tcPr>
            <w:tcW w:w="200"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Basic EPS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0.32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0.28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0.49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0.56</w:t>
            </w:r>
          </w:p>
        </w:tc>
        <w:tc>
          <w:tcPr>
            <w:tcW w:w="200"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Diluted EPS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0.30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0.46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0.52</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b2924ad170484ebf9b01bc2606f543e2"/>
      <w:bookmarkStart w:id="7" w:name="zb2924ad170484ebf9b01bc2606f543e2"/>
      <w:bookmarkEnd w:id="7"/>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earnings per share, also exclude unrealized gain (loss) on short-term investments.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Outlook</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ACM is maintaining its revenue guidance range of $850 million to $950 million for fiscal year 2025. This expectation is based on ACM management’s current assessment of the continuing impact from international trade policy, together with various expected spending scenarios of key customers, supply chain constraints, and the timing of acceptances for first tools under evaluation in the field, among other factors.</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Operating Highlights and Recent Announcements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cfe29ff35615494cae684b700a2719c0"/>
      <w:bookmarkStart w:id="9" w:name="zcfe29ff35615494cae684b700a2719c0"/>
      <w:bookmarkEnd w:id="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0000"/>
                <w:sz w:val="20"/>
              </w:rPr>
              <w:t>Shipments.</w:t>
            </w:r>
            <w:r>
              <w:rPr>
                <w:rFonts w:ascii="Times New Roman" w:hAnsi="Times New Roman"/>
                <w:color w:val="000000"/>
                <w:sz w:val="20"/>
              </w:rPr>
              <w:t xml:space="preserve"> Total shipments in the first quarter of 2025 </w:t>
            </w:r>
            <w:r>
              <w:rPr>
                <w:rFonts w:ascii="Times New Roman" w:hAnsi="Times New Roman"/>
                <w:sz w:val="20"/>
              </w:rPr>
              <w:t>were $157 million</w:t>
            </w:r>
            <w:r>
              <w:rPr>
                <w:rFonts w:ascii="Times New Roman" w:hAnsi="Times New Roman"/>
                <w:color w:val="000000"/>
                <w:sz w:val="20"/>
              </w:rPr>
              <w:t>, compared to $245 million for the first quarter of 2024. This decrease is due in part to customer pull-ins in the fourth quarter of 2024, which contributed to stronger total shipments for that period.  For reference, combined total shipments for the fourth quarter of 2024 and the first quarter of 2025 grew by 8.9% versus the prior year periods. We anticipate a return to year-on-year growth in total shipments for the second quarter of 2025. Total shipments include deliveries for revenue in the quarter and deliveries of first tool systems awaiting customer acceptance for potential revenue in future quarters.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9f69fdcca4ff49f0a0bb534f55ff29e0"/>
      <w:bookmarkStart w:id="11" w:name="z9f69fdcca4ff49f0a0bb534f55ff29e0"/>
      <w:bookmarkEnd w:id="1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0000"/>
                <w:sz w:val="20"/>
              </w:rPr>
              <w:t>Qualification of High-Temp SPM Tool in China.</w:t>
            </w:r>
            <w:r>
              <w:rPr>
                <w:rFonts w:ascii="Times New Roman" w:hAnsi="Times New Roman"/>
                <w:color w:val="000000"/>
                <w:sz w:val="20"/>
              </w:rPr>
              <w:t xml:space="preserve"> ACM’s single-wafer high-temperature SPM tool was qualified by a key logic device manufacturer in mainland China. Featuring a proprietary nozzle that reduces acid mist and maintenance needs, the tool enhances particle control and system uptime. It </w:t>
            </w:r>
            <w:r>
              <w:rPr>
                <w:rFonts w:ascii="Times New Roman" w:hAnsi="Times New Roman"/>
                <w:sz w:val="20"/>
              </w:rPr>
              <w:t>supports wet etching and wafer cleaning for technology nodes at 28nm and below. ACM has now delivered SPM tools to 13 customers</w:t>
            </w:r>
            <w:r>
              <w:rPr>
                <w:rFonts w:ascii="Times New Roman" w:hAnsi="Times New Roman"/>
                <w:color w:val="000000"/>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b51af42c64ea478196340d8b0a666d50"/>
      <w:bookmarkStart w:id="13" w:name="zb51af42c64ea478196340d8b0a666d50"/>
      <w:bookmarkEnd w:id="1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0000"/>
                <w:sz w:val="20"/>
              </w:rPr>
              <w:t>Recognized for Innovation in High-Volume Fan-Out Panel-Level Packaging Solutions.</w:t>
            </w:r>
            <w:r>
              <w:rPr>
                <w:rFonts w:ascii="Times New Roman" w:hAnsi="Times New Roman"/>
                <w:color w:val="000000"/>
                <w:sz w:val="20"/>
              </w:rPr>
              <w:t xml:space="preserve"> ACM won the 2025 3D InCites Technology Enablement Award for its Ultra ECP ap-p tool, the first commercially available high-volume copper deposition system for the large panel market. This innovative system supports advanced panel sizes and delivers high uniformity through ACM’s proprietary horizontal plating approach, which we expect to help address integration challenges in advanced semiconductor packaging.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e6e2e09d17fa499c86532d9729dbe3e9"/>
      <w:bookmarkStart w:id="15" w:name="ze6e2e09d17fa499c86532d9729dbe3e9"/>
      <w:bookmarkEnd w:id="15"/>
    </w:p>
    <w:tbl>
      <w:tblPr>
        <w:tblW w:w="10015" w:type="dxa"/>
        <w:jc w:val="left"/>
        <w:tblInd w:w="0" w:type="dxa"/>
        <w:tblLayout w:type="fixed"/>
        <w:tblCellMar>
          <w:top w:w="0" w:type="dxa"/>
          <w:left w:w="0" w:type="dxa"/>
          <w:bottom w:w="0" w:type="dxa"/>
          <w:right w:w="0" w:type="dxa"/>
        </w:tblCellMar>
      </w:tblPr>
      <w:tblGrid>
        <w:gridCol w:w="125"/>
        <w:gridCol w:w="9890"/>
      </w:tblGrid>
      <w:tr>
        <w:trPr/>
        <w:tc>
          <w:tcPr>
            <w:tcW w:w="125"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0000"/>
                <w:sz w:val="20"/>
              </w:rPr>
              <w:t xml:space="preserve">Appointment of New Board Member. </w:t>
            </w:r>
            <w:r>
              <w:rPr>
                <w:rFonts w:ascii="Times New Roman" w:hAnsi="Times New Roman"/>
                <w:color w:val="000000"/>
                <w:sz w:val="20"/>
              </w:rPr>
              <w:t>ACM appointed Charlie Pappis to its Board of Directors, effective March 15, 2025.</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First Quarter 2025 Financial Summary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Unless otherwise noted, the following figures refer to the first quarter of 2025 and comparisons are with the first quarter of 2024.</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5112405398a44d4a9a3834e4b6dc44ea"/>
      <w:bookmarkStart w:id="17" w:name="z5112405398a44d4a9a3834e4b6dc44ea"/>
      <w:bookmarkEnd w:id="1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Revenue</w:t>
            </w:r>
            <w:r>
              <w:rPr>
                <w:rFonts w:ascii="Times New Roman" w:hAnsi="Times New Roman"/>
                <w:sz w:val="20"/>
              </w:rPr>
              <w:t xml:space="preserve"> was </w:t>
            </w:r>
            <w:r>
              <w:rPr>
                <w:rFonts w:ascii="Times New Roman" w:hAnsi="Times New Roman"/>
                <w:color w:val="000000"/>
                <w:sz w:val="20"/>
              </w:rPr>
              <w:t xml:space="preserve">$172.3 </w:t>
            </w:r>
            <w:r>
              <w:rPr>
                <w:rFonts w:ascii="Times New Roman" w:hAnsi="Times New Roman"/>
                <w:sz w:val="20"/>
              </w:rPr>
              <w:t xml:space="preserve">million, up </w:t>
            </w:r>
            <w:r>
              <w:rPr>
                <w:rFonts w:ascii="Times New Roman" w:hAnsi="Times New Roman"/>
                <w:color w:val="000000"/>
                <w:sz w:val="20"/>
              </w:rPr>
              <w:t>13.2%</w:t>
            </w:r>
            <w:r>
              <w:rPr>
                <w:rFonts w:ascii="Times New Roman" w:hAnsi="Times New Roman"/>
                <w:sz w:val="20"/>
              </w:rPr>
              <w:t xml:space="preserve">, reflecting higher sales of single wafer cleaning, Tahoe and semi-critical cleaning equipment </w:t>
            </w:r>
            <w:r>
              <w:rPr>
                <w:rFonts w:ascii="Times New Roman" w:hAnsi="Times New Roman"/>
                <w:color w:val="000000"/>
                <w:sz w:val="20"/>
              </w:rPr>
              <w:t>and ECP (front-end and packaging), furnace and other technologies</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f5a28b725e5d4b559e7261f37f158a0a"/>
      <w:bookmarkStart w:id="19" w:name="zf5a28b725e5d4b559e7261f37f158a0a"/>
      <w:bookmarkEnd w:id="1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Gross margin</w:t>
            </w:r>
            <w:r>
              <w:rPr>
                <w:rFonts w:ascii="Times New Roman" w:hAnsi="Times New Roman"/>
                <w:sz w:val="20"/>
              </w:rPr>
              <w:t xml:space="preserve"> was </w:t>
            </w:r>
            <w:r>
              <w:rPr>
                <w:rFonts w:ascii="Times New Roman" w:hAnsi="Times New Roman"/>
                <w:color w:val="000000"/>
                <w:sz w:val="20"/>
              </w:rPr>
              <w:t>47.9%</w:t>
            </w:r>
            <w:r>
              <w:rPr>
                <w:rFonts w:ascii="Times New Roman" w:hAnsi="Times New Roman"/>
                <w:sz w:val="20"/>
              </w:rPr>
              <w:t xml:space="preserve"> versus </w:t>
            </w:r>
            <w:r>
              <w:rPr>
                <w:rFonts w:ascii="Times New Roman" w:hAnsi="Times New Roman"/>
                <w:color w:val="000000"/>
                <w:sz w:val="20"/>
              </w:rPr>
              <w:t>52.0%</w:t>
            </w:r>
            <w:r>
              <w:rPr>
                <w:rFonts w:ascii="Times New Roman" w:hAnsi="Times New Roman"/>
                <w:sz w:val="20"/>
              </w:rPr>
              <w:t xml:space="preserve">. Non-GAAP gross margin, which excludes stock-based compensation, was </w:t>
            </w:r>
            <w:r>
              <w:rPr>
                <w:rFonts w:ascii="Times New Roman" w:hAnsi="Times New Roman"/>
                <w:color w:val="000000"/>
                <w:sz w:val="20"/>
              </w:rPr>
              <w:t>48.2%</w:t>
            </w:r>
            <w:r>
              <w:rPr>
                <w:rFonts w:ascii="Times New Roman" w:hAnsi="Times New Roman"/>
                <w:sz w:val="20"/>
              </w:rPr>
              <w:t xml:space="preserve"> versus </w:t>
            </w:r>
            <w:r>
              <w:rPr>
                <w:rFonts w:ascii="Times New Roman" w:hAnsi="Times New Roman"/>
                <w:color w:val="000000"/>
                <w:sz w:val="20"/>
              </w:rPr>
              <w:t>52.5%</w:t>
            </w:r>
            <w:r>
              <w:rPr>
                <w:rFonts w:ascii="Times New Roman" w:hAnsi="Times New Roman"/>
                <w:sz w:val="20"/>
              </w:rPr>
              <w:t xml:space="preserve">. Gross margin exceeded ACM’s previously disclosed long-term business model target range of </w:t>
            </w:r>
            <w:r>
              <w:rPr>
                <w:rFonts w:ascii="Times New Roman" w:hAnsi="Times New Roman"/>
                <w:color w:val="000000"/>
                <w:sz w:val="20"/>
              </w:rPr>
              <w:t>42</w:t>
            </w:r>
            <w:r>
              <w:rPr>
                <w:rFonts w:ascii="Times New Roman" w:hAnsi="Times New Roman"/>
                <w:sz w:val="20"/>
              </w:rPr>
              <w:t>% to 48%. ACM expects gross margin to vary from period to period due to a variety of factors, such as product mix, currency impacts and sales volume.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c354fc1f428e463588ad5122ca643499"/>
      <w:bookmarkStart w:id="21" w:name="zc354fc1f428e463588ad5122ca643499"/>
      <w:bookmarkEnd w:id="2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Operating expenses</w:t>
            </w:r>
            <w:r>
              <w:rPr>
                <w:rFonts w:ascii="Times New Roman" w:hAnsi="Times New Roman"/>
                <w:sz w:val="20"/>
              </w:rPr>
              <w:t> </w:t>
            </w:r>
            <w:r>
              <w:rPr>
                <w:rFonts w:ascii="Times New Roman" w:hAnsi="Times New Roman"/>
                <w:color w:val="000000"/>
                <w:sz w:val="20"/>
              </w:rPr>
              <w:t>were $56.8 million, up 5.4%. Operating expenses as a percentage of revenue decreased to 32.9% from 35.4%. Non-GAAP operating expenses, which exclude the effect of stock-based compensation, were $47.5 million, up 18.4%. Non-GAAP operating expenses as a percentage of revenue increased to 27.6% from 26.3%.</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7e690e238931498187aae4018cc5c00e"/>
      <w:bookmarkStart w:id="23" w:name="z7e690e238931498187aae4018cc5c00e"/>
      <w:bookmarkEnd w:id="2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Operating income</w:t>
            </w:r>
            <w:r>
              <w:rPr>
                <w:rFonts w:ascii="Times New Roman" w:hAnsi="Times New Roman"/>
                <w:sz w:val="20"/>
              </w:rPr>
              <w:t xml:space="preserve"> was </w:t>
            </w:r>
            <w:r>
              <w:rPr>
                <w:rFonts w:ascii="Times New Roman" w:hAnsi="Times New Roman"/>
                <w:color w:val="000000"/>
                <w:sz w:val="20"/>
              </w:rPr>
              <w:t>$25.8</w:t>
            </w:r>
            <w:r>
              <w:rPr>
                <w:rFonts w:ascii="Times New Roman" w:hAnsi="Times New Roman"/>
                <w:sz w:val="20"/>
              </w:rPr>
              <w:t xml:space="preserve"> million, up </w:t>
            </w:r>
            <w:r>
              <w:rPr>
                <w:rFonts w:ascii="Times New Roman" w:hAnsi="Times New Roman"/>
                <w:color w:val="000000"/>
                <w:sz w:val="20"/>
              </w:rPr>
              <w:t>2.2%</w:t>
            </w:r>
            <w:r>
              <w:rPr>
                <w:rFonts w:ascii="Times New Roman" w:hAnsi="Times New Roman"/>
                <w:sz w:val="20"/>
              </w:rPr>
              <w:t xml:space="preserve">. Operating margin was </w:t>
            </w:r>
            <w:r>
              <w:rPr>
                <w:rFonts w:ascii="Times New Roman" w:hAnsi="Times New Roman"/>
                <w:color w:val="000000"/>
                <w:sz w:val="20"/>
              </w:rPr>
              <w:t xml:space="preserve">15.0% </w:t>
            </w:r>
            <w:r>
              <w:rPr>
                <w:rFonts w:ascii="Times New Roman" w:hAnsi="Times New Roman"/>
                <w:sz w:val="20"/>
              </w:rPr>
              <w:t xml:space="preserve">compared to </w:t>
            </w:r>
            <w:r>
              <w:rPr>
                <w:rFonts w:ascii="Times New Roman" w:hAnsi="Times New Roman"/>
                <w:color w:val="000000"/>
                <w:sz w:val="20"/>
              </w:rPr>
              <w:t>16.6%</w:t>
            </w:r>
            <w:r>
              <w:rPr>
                <w:rFonts w:ascii="Times New Roman" w:hAnsi="Times New Roman"/>
                <w:sz w:val="20"/>
              </w:rPr>
              <w:t xml:space="preserve">. Non-GAAP operating income, which excludes the effect of stock-based compensation, was </w:t>
            </w:r>
            <w:r>
              <w:rPr>
                <w:rFonts w:ascii="Times New Roman" w:hAnsi="Times New Roman"/>
                <w:color w:val="000000"/>
                <w:sz w:val="20"/>
              </w:rPr>
              <w:t>$35.6</w:t>
            </w:r>
            <w:r>
              <w:rPr>
                <w:rFonts w:ascii="Times New Roman" w:hAnsi="Times New Roman"/>
                <w:sz w:val="20"/>
              </w:rPr>
              <w:t xml:space="preserve"> million, a decrease of 10.6%. Non-GAAP operating margin, which excludes stock-based compensation, was </w:t>
            </w:r>
            <w:r>
              <w:rPr>
                <w:rFonts w:ascii="Times New Roman" w:hAnsi="Times New Roman"/>
                <w:color w:val="000000"/>
                <w:sz w:val="20"/>
              </w:rPr>
              <w:t>20.7% c</w:t>
            </w:r>
            <w:r>
              <w:rPr>
                <w:rFonts w:ascii="Times New Roman" w:hAnsi="Times New Roman"/>
                <w:sz w:val="20"/>
              </w:rPr>
              <w:t xml:space="preserve">ompared to </w:t>
            </w:r>
            <w:r>
              <w:rPr>
                <w:rFonts w:ascii="Times New Roman" w:hAnsi="Times New Roman"/>
                <w:color w:val="000000"/>
                <w:sz w:val="20"/>
              </w:rPr>
              <w:t>26.2%</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1311ff93aa254fce90c09bdff5fb4c77"/>
      <w:bookmarkStart w:id="25" w:name="z1311ff93aa254fce90c09bdff5fb4c77"/>
      <w:bookmarkEnd w:id="2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Unrealized loss on short-term investments</w:t>
            </w:r>
            <w:r>
              <w:rPr>
                <w:rFonts w:ascii="Times New Roman" w:hAnsi="Times New Roman"/>
                <w:sz w:val="20"/>
              </w:rPr>
              <w:t xml:space="preserve"> was </w:t>
            </w:r>
            <w:r>
              <w:rPr>
                <w:rFonts w:ascii="Times New Roman" w:hAnsi="Times New Roman"/>
                <w:color w:val="000000"/>
                <w:sz w:val="20"/>
              </w:rPr>
              <w:t>$1.1</w:t>
            </w:r>
            <w:r>
              <w:rPr>
                <w:rFonts w:ascii="Times New Roman" w:hAnsi="Times New Roman"/>
                <w:sz w:val="20"/>
              </w:rPr>
              <w:t xml:space="preserve"> million, compared to </w:t>
            </w:r>
            <w:r>
              <w:rPr>
                <w:rFonts w:ascii="Times New Roman" w:hAnsi="Times New Roman"/>
                <w:color w:val="000000"/>
                <w:sz w:val="20"/>
              </w:rPr>
              <w:t>$2.6</w:t>
            </w:r>
            <w:r>
              <w:rPr>
                <w:rFonts w:ascii="Times New Roman" w:hAnsi="Times New Roman"/>
                <w:sz w:val="20"/>
              </w:rPr>
              <w:t> million. Unrealized loss reflects the change in market value of the investments by ACM’s principal operating subsidiary, ACM Research (Shanghai), Inc. The value is marked-to-market quarterly and is excluded in the non-GAAP financial metrics.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8775b5bf62084158a87f667409cd4e28"/>
      <w:bookmarkStart w:id="27" w:name="z8775b5bf62084158a87f667409cd4e28"/>
      <w:bookmarkEnd w:id="27"/>
    </w:p>
    <w:tbl>
      <w:tblPr>
        <w:tblW w:w="5395" w:type="dxa"/>
        <w:jc w:val="left"/>
        <w:tblInd w:w="0" w:type="dxa"/>
        <w:tblLayout w:type="fixed"/>
        <w:tblCellMar>
          <w:top w:w="0" w:type="dxa"/>
          <w:left w:w="0" w:type="dxa"/>
          <w:bottom w:w="0" w:type="dxa"/>
          <w:right w:w="0" w:type="dxa"/>
        </w:tblCellMar>
      </w:tblPr>
      <w:tblGrid>
        <w:gridCol w:w="125"/>
        <w:gridCol w:w="5270"/>
      </w:tblGrid>
      <w:tr>
        <w:trPr/>
        <w:tc>
          <w:tcPr>
            <w:tcW w:w="125"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0"/>
              <w:jc w:val="both"/>
              <w:rPr>
                <w:rFonts w:ascii="Times New Roman" w:hAnsi="Times New Roman"/>
                <w:sz w:val="20"/>
              </w:rPr>
            </w:pPr>
            <w:r>
              <w:rPr>
                <w:rFonts w:ascii="Times New Roman" w:hAnsi="Times New Roman"/>
                <w:b/>
                <w:color w:val="000000"/>
                <w:sz w:val="20"/>
              </w:rPr>
              <w:t>Income tax expense</w:t>
            </w:r>
            <w:r>
              <w:rPr>
                <w:rFonts w:ascii="Times New Roman" w:hAnsi="Times New Roman"/>
                <w:color w:val="000000"/>
                <w:sz w:val="20"/>
              </w:rPr>
              <w:t xml:space="preserve"> was $2.2 million, compared to $4.4 million.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ac863afad96a4f358eeb4d95c6ae0242"/>
      <w:bookmarkStart w:id="29" w:name="zac863afad96a4f358eeb4d95c6ae0242"/>
      <w:bookmarkEnd w:id="2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Net income attributable to ACM Research, Inc.</w:t>
            </w:r>
            <w:r>
              <w:rPr>
                <w:rFonts w:ascii="Times New Roman" w:hAnsi="Times New Roman"/>
                <w:sz w:val="20"/>
              </w:rPr>
              <w:t xml:space="preserve"> was </w:t>
            </w:r>
            <w:r>
              <w:rPr>
                <w:rFonts w:ascii="Times New Roman" w:hAnsi="Times New Roman"/>
                <w:color w:val="000000"/>
                <w:sz w:val="20"/>
              </w:rPr>
              <w:t>$20.4</w:t>
            </w:r>
            <w:r>
              <w:rPr>
                <w:rFonts w:ascii="Times New Roman" w:hAnsi="Times New Roman"/>
                <w:sz w:val="20"/>
              </w:rPr>
              <w:t xml:space="preserve"> million, compared to </w:t>
            </w:r>
            <w:r>
              <w:rPr>
                <w:rFonts w:ascii="Times New Roman" w:hAnsi="Times New Roman"/>
                <w:color w:val="000000"/>
                <w:sz w:val="20"/>
              </w:rPr>
              <w:t>$17.4</w:t>
            </w:r>
            <w:r>
              <w:rPr>
                <w:rFonts w:ascii="Times New Roman" w:hAnsi="Times New Roman"/>
                <w:sz w:val="20"/>
              </w:rPr>
              <w:t xml:space="preserve"> million.  Non-GAAP net income attributable to ACM Research, Inc., which excludes the effect of stock-based compensation and unrealized loss on short-term investments, was </w:t>
            </w:r>
            <w:r>
              <w:rPr>
                <w:rFonts w:ascii="Times New Roman" w:hAnsi="Times New Roman"/>
                <w:color w:val="000000"/>
                <w:sz w:val="20"/>
              </w:rPr>
              <w:t>$31.3</w:t>
            </w:r>
            <w:r>
              <w:rPr>
                <w:rFonts w:ascii="Times New Roman" w:hAnsi="Times New Roman"/>
                <w:sz w:val="20"/>
              </w:rPr>
              <w:t xml:space="preserve"> million, compared to </w:t>
            </w:r>
            <w:r>
              <w:rPr>
                <w:rFonts w:ascii="Times New Roman" w:hAnsi="Times New Roman"/>
                <w:color w:val="000000"/>
                <w:sz w:val="20"/>
              </w:rPr>
              <w:t>$34.6</w:t>
            </w:r>
            <w:r>
              <w:rPr>
                <w:rFonts w:ascii="Times New Roman" w:hAnsi="Times New Roman"/>
                <w:sz w:val="20"/>
              </w:rPr>
              <w:t xml:space="preserve"> million.</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0" w:name="z3c30b6de701f450eb366dc77d3d4ef6b"/>
      <w:bookmarkStart w:id="31" w:name="z3c30b6de701f450eb366dc77d3d4ef6b"/>
      <w:bookmarkEnd w:id="3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Net income per diluted share attributable to ACM Research, Inc.</w:t>
            </w:r>
            <w:r>
              <w:rPr>
                <w:rFonts w:ascii="Times New Roman" w:hAnsi="Times New Roman"/>
                <w:sz w:val="20"/>
              </w:rPr>
              <w:t xml:space="preserve"> was </w:t>
            </w:r>
            <w:r>
              <w:rPr>
                <w:rFonts w:ascii="Times New Roman" w:hAnsi="Times New Roman"/>
                <w:color w:val="000000"/>
                <w:sz w:val="20"/>
              </w:rPr>
              <w:t>$0.30</w:t>
            </w:r>
            <w:r>
              <w:rPr>
                <w:rFonts w:ascii="Times New Roman" w:hAnsi="Times New Roman"/>
                <w:sz w:val="20"/>
              </w:rPr>
              <w:t xml:space="preserve">, compared to </w:t>
            </w:r>
            <w:r>
              <w:rPr>
                <w:rFonts w:ascii="Times New Roman" w:hAnsi="Times New Roman"/>
                <w:color w:val="000000"/>
                <w:sz w:val="20"/>
              </w:rPr>
              <w:t>$0.26</w:t>
            </w:r>
            <w:r>
              <w:rPr>
                <w:rFonts w:ascii="Times New Roman" w:hAnsi="Times New Roman"/>
                <w:sz w:val="20"/>
              </w:rPr>
              <w:t xml:space="preserve">.  Non-GAAP net income per diluted share, which excludes the effect of stock-based compensation and unrealized loss on short-term investments, was </w:t>
            </w:r>
            <w:r>
              <w:rPr>
                <w:rFonts w:ascii="Times New Roman" w:hAnsi="Times New Roman"/>
                <w:color w:val="000000"/>
                <w:sz w:val="20"/>
              </w:rPr>
              <w:t>$0.46</w:t>
            </w:r>
            <w:r>
              <w:rPr>
                <w:rFonts w:ascii="Times New Roman" w:hAnsi="Times New Roman"/>
                <w:sz w:val="20"/>
              </w:rPr>
              <w:t xml:space="preserve">, compared to </w:t>
            </w:r>
            <w:r>
              <w:rPr>
                <w:rFonts w:ascii="Times New Roman" w:hAnsi="Times New Roman"/>
                <w:color w:val="000000"/>
                <w:sz w:val="20"/>
              </w:rPr>
              <w:t>$0.52</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25d4844a2eaf4352ba6704b3bbc4b2dc"/>
      <w:bookmarkStart w:id="33" w:name="z25d4844a2eaf4352ba6704b3bbc4b2dc"/>
      <w:bookmarkEnd w:id="3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b/>
                <w:color w:val="000000"/>
                <w:sz w:val="20"/>
              </w:rPr>
              <w:t>Cash and cash equivalents,</w:t>
            </w:r>
            <w:r>
              <w:rPr>
                <w:rFonts w:ascii="Times New Roman" w:hAnsi="Times New Roman"/>
                <w:color w:val="000000"/>
                <w:sz w:val="20"/>
              </w:rPr>
              <w:t xml:space="preserve"> plus restricted cash and short-term and long-term time deposits were $498.4 million at March 31, 2025, compared to $441.9 million at December 31, 2024.</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Conference Call Details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conference call to discuss results will be held on Thursday, May 8, 2025, at 8:00 a.m. Eastern Time (8:00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 xml:space="preserve">Online Registration: </w:t>
      </w:r>
      <w:r>
        <w:rPr>
          <w:rFonts w:ascii="Times New Roman" w:hAnsi="Times New Roman"/>
          <w:color w:val="000000"/>
          <w:sz w:val="20"/>
          <w:u w:val="single"/>
        </w:rPr>
        <w:t>https://register-conf.media-server.com/register/BI300a7bc629bd43d98fcb1268d481b156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Participants who have not pre-registered may join the webcast by accessing the link at </w:t>
      </w:r>
      <w:r>
        <w:rPr>
          <w:rFonts w:ascii="Times New Roman" w:hAnsi="Times New Roman"/>
          <w:color w:val="000000"/>
          <w:sz w:val="20"/>
          <w:u w:val="single"/>
        </w:rPr>
        <w:t>ir.acmr.com/news-events/events.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 live and archived webcast will be available on the Investors section of the ACM website at </w:t>
      </w:r>
      <w:r>
        <w:rPr>
          <w:rFonts w:ascii="Times New Roman" w:hAnsi="Times New Roman"/>
          <w:color w:val="000000"/>
          <w:sz w:val="20"/>
          <w:u w:val="single"/>
        </w:rPr>
        <w:t>www.acmr.com.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Use of Non-GAAP Financial Measures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the effect of stock-based compensation and unrealized gain (loss) on short-term investments, which ACM also believes are not indicative of its core operating results. A reconciliation of each non-GAAP financial measure to the most directly comparable GAAP financial measure is provided below under “Reconciliation of GAAP to non-GAAP Financial Measures.”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About ACM Research, Inc.</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ACM develops, manufactures and sells semiconductor process equipment spanning cleaning, electroplating, stress-free polishing, vertical furnace processes, track, PECVD, and wafer- and panel-level packaging tools, enabling advanced and semi-critical semiconductor device manufacturing. ACM is committed to delivering customized, high-performance, cost-effective process solutions that semiconductor manufacturers can use in numerous manufacturing steps to improve productivity and product yield.  For more information, visit </w:t>
      </w:r>
      <w:r>
        <w:rPr>
          <w:rFonts w:ascii="Times New Roman" w:hAnsi="Times New Roman"/>
          <w:color w:val="000000"/>
          <w:sz w:val="20"/>
          <w:u w:val="single"/>
        </w:rPr>
        <w:t>www.acmr.com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ACM Research, Inc. ULTRA ECP ap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For investor and media inquiries, please contact: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33dcda0a980f45bc9a20318c7c963869"/>
      <w:bookmarkStart w:id="35" w:name="z33dcda0a980f45bc9a20318c7c963869"/>
      <w:bookmarkEnd w:id="35"/>
    </w:p>
    <w:tbl>
      <w:tblPr>
        <w:tblW w:w="3850" w:type="dxa"/>
        <w:jc w:val="left"/>
        <w:tblInd w:w="0" w:type="dxa"/>
        <w:tblLayout w:type="fixed"/>
        <w:tblCellMar>
          <w:top w:w="0" w:type="dxa"/>
          <w:left w:w="0" w:type="dxa"/>
          <w:bottom w:w="0" w:type="dxa"/>
          <w:right w:w="0" w:type="dxa"/>
        </w:tblCellMar>
      </w:tblPr>
      <w:tblGrid>
        <w:gridCol w:w="1670"/>
        <w:gridCol w:w="2180"/>
      </w:tblGrid>
      <w:tr>
        <w:trPr/>
        <w:tc>
          <w:tcPr>
            <w:tcW w:w="1670" w:type="dxa"/>
            <w:tcBorders/>
            <w:vAlign w:val="center"/>
          </w:tcPr>
          <w:p>
            <w:pPr>
              <w:pStyle w:val="TableContents"/>
              <w:bidi w:val="0"/>
              <w:spacing w:before="0" w:after="0"/>
              <w:ind w:left="360" w:right="0" w:hanging="0"/>
              <w:jc w:val="left"/>
              <w:rPr>
                <w:rFonts w:ascii="Times New Roman" w:hAnsi="Times New Roman"/>
                <w:sz w:val="20"/>
                <w:u w:val="single"/>
              </w:rPr>
            </w:pPr>
            <w:r>
              <w:rPr>
                <w:rFonts w:ascii="Times New Roman" w:hAnsi="Times New Roman"/>
                <w:color w:val="000000"/>
                <w:sz w:val="20"/>
                <w:u w:val="single"/>
              </w:rPr>
              <w:t>In the United States</w:t>
            </w:r>
            <w:r>
              <w:rPr>
                <w:rFonts w:ascii="Times New Roman" w:hAnsi="Times New Roman"/>
                <w:sz w:val="20"/>
                <w:u w:val="single"/>
              </w:rPr>
              <w:t>:</w:t>
            </w:r>
          </w:p>
        </w:tc>
        <w:tc>
          <w:tcPr>
            <w:tcW w:w="2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Blueshirt Group</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Steven C. Pelayo, CFA</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(360)808-5154</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steven@blueshirtgroup.co</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ind w:left="360" w:right="0" w:hanging="0"/>
              <w:jc w:val="left"/>
              <w:rPr>
                <w:rFonts w:ascii="Times New Roman" w:hAnsi="Times New Roman"/>
                <w:sz w:val="20"/>
                <w:u w:val="single"/>
              </w:rPr>
            </w:pPr>
            <w:r>
              <w:rPr>
                <w:rFonts w:ascii="Times New Roman" w:hAnsi="Times New Roman"/>
                <w:color w:val="000000"/>
                <w:sz w:val="20"/>
                <w:u w:val="single"/>
              </w:rPr>
              <w:t>In China</w:t>
            </w:r>
            <w:r>
              <w:rPr>
                <w:rFonts w:ascii="Times New Roman" w:hAnsi="Times New Roman"/>
                <w:sz w:val="20"/>
                <w:u w:val="single"/>
              </w:rPr>
              <w:t>:</w:t>
            </w:r>
          </w:p>
        </w:tc>
        <w:tc>
          <w:tcPr>
            <w:tcW w:w="2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Blueshirt Group Asia</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Gary Dvorchak, CFA</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+86 (138) 1079-1480</w:t>
            </w:r>
          </w:p>
        </w:tc>
      </w:tr>
      <w:tr>
        <w:trPr/>
        <w:tc>
          <w:tcPr>
            <w:tcW w:w="167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gary@blueshirtgroup.co</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36" w:name="Section2"/>
      <w:bookmarkEnd w:id="36"/>
      <w:r>
        <w:rPr>
          <w:rFonts w:ascii="Times New Roman" w:hAnsi="Times New Roman"/>
          <w:b/>
          <w:color w:val="000000"/>
          <w:sz w:val="20"/>
        </w:rPr>
        <w:t>ACM RESEARCH,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 w:name="zfebb3ba1a9824c45b9c6ea2183d0eb6b"/>
      <w:bookmarkStart w:id="38" w:name="zfebb3ba1a9824c45b9c6ea2183d0eb6b"/>
      <w:bookmarkEnd w:id="38"/>
    </w:p>
    <w:tbl>
      <w:tblPr>
        <w:tblW w:w="7135" w:type="dxa"/>
        <w:jc w:val="left"/>
        <w:tblInd w:w="0" w:type="dxa"/>
        <w:tblLayout w:type="fixed"/>
        <w:tblCellMar>
          <w:top w:w="0" w:type="dxa"/>
          <w:left w:w="0" w:type="dxa"/>
          <w:bottom w:w="0" w:type="dxa"/>
          <w:right w:w="0" w:type="dxa"/>
        </w:tblCellMar>
      </w:tblPr>
      <w:tblGrid>
        <w:gridCol w:w="3845"/>
        <w:gridCol w:w="60"/>
        <w:gridCol w:w="174"/>
        <w:gridCol w:w="1181"/>
        <w:gridCol w:w="80"/>
        <w:gridCol w:w="60"/>
        <w:gridCol w:w="211"/>
        <w:gridCol w:w="1429"/>
        <w:gridCol w:w="95"/>
      </w:tblGrid>
      <w:tr>
        <w:trPr/>
        <w:tc>
          <w:tcPr>
            <w:tcW w:w="3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2025</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2024</w:t>
            </w:r>
          </w:p>
        </w:tc>
        <w:tc>
          <w:tcPr>
            <w:tcW w:w="9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5" w:type="dxa"/>
            <w:gridSpan w:val="6"/>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(In thousands)</w:t>
            </w:r>
          </w:p>
        </w:tc>
        <w:tc>
          <w:tcPr>
            <w:tcW w:w="9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457,240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407,445</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Restricted cash</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3,865</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Short-term time deposits</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17,277</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Short-term investment</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19,373</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387,849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387,045</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receivables</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35,050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41,859</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Inventories, net</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609,567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597,984</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Advances to related party</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1,024</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Prepaid expenses and other current assets</w:t>
            </w:r>
          </w:p>
        </w:tc>
        <w:tc>
          <w:tcPr>
            <w:tcW w:w="60" w:type="dxa"/>
            <w:tcBorders/>
            <w:shd w:fill="CCEEFF" w:val="cle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7,507</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1,547,874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1,483,379</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Property, plant and equipment, net</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277,065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269,272</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lease right-of-use assets, net</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14,038</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Intangible assets, net</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3,461</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Long-term time deposits</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13,275</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 tax assets</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14,781</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Long-term investments</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54,814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37,063</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long-term assets</w:t>
            </w:r>
          </w:p>
        </w:tc>
        <w:tc>
          <w:tcPr>
            <w:tcW w:w="60" w:type="dxa"/>
            <w:tcBorders/>
            <w:shd w:fill="CCEEFF" w:val="cle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20,452</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540" w:right="0" w:hanging="0"/>
              <w:jc w:val="left"/>
              <w:rPr>
                <w:rFonts w:ascii="Times New Roman" w:hAnsi="Times New Roman"/>
                <w:b/>
                <w:color w:val="000000"/>
                <w:sz w:val="20"/>
              </w:rPr>
            </w:pPr>
            <w:r>
              <w:rPr>
                <w:rFonts w:ascii="Times New Roman" w:hAnsi="Times New Roman"/>
                <w:b/>
                <w:color w:val="000000"/>
                <w:sz w:val="20"/>
              </w:rPr>
              <w:t>Total assets</w:t>
            </w:r>
          </w:p>
        </w:tc>
        <w:tc>
          <w:tcPr>
            <w:tcW w:w="60" w:type="dxa"/>
            <w:tcBorders/>
            <w:vAlign w:val="bottom"/>
          </w:tcPr>
          <w:p>
            <w:pPr>
              <w:pStyle w:val="TableContents"/>
              <w:bidi w:val="0"/>
              <w:spacing w:before="0" w:after="283"/>
              <w:jc w:val="left"/>
              <w:rPr/>
            </w:pPr>
            <w:r>
              <w:rPr/>
              <w:t> </w:t>
            </w:r>
          </w:p>
        </w:tc>
        <w:tc>
          <w:tcPr>
            <w:tcW w:w="17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1,933,768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2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1,855,721</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Liabilities and Equity</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liabilities:</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Short-term borrowings</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32,814</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Current portion of long-term borrowings</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67,935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44,472</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Related party accounts payable</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16,133</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Accounts payable</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116,441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139,294</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Advances from customers</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241,456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243,949</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Deferred revenue</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8,537</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Income taxes payable</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12,779</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FIN-48 payable</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19,466</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payables and accrued expenses</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118,814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121,657</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60" w:type="dxa"/>
            <w:tcBorders/>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2,132</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628,878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641,233</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Long-term borrowings</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134,540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105,525</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Long-term operating lease liability</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3,840</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long-term liabilities</w:t>
            </w:r>
          </w:p>
        </w:tc>
        <w:tc>
          <w:tcPr>
            <w:tcW w:w="60" w:type="dxa"/>
            <w:tcBorders/>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9,217</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540" w:right="0" w:hanging="0"/>
              <w:jc w:val="left"/>
              <w:rPr>
                <w:rFonts w:ascii="Times New Roman" w:hAnsi="Times New Roman"/>
                <w:b/>
                <w:color w:val="000000"/>
                <w:sz w:val="20"/>
              </w:rPr>
            </w:pPr>
            <w:r>
              <w:rPr>
                <w:rFonts w:ascii="Times New Roman" w:hAnsi="Times New Roman"/>
                <w:b/>
                <w:color w:val="000000"/>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778,415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759,815</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Commitments and contingencies</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Equity:</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Stockholders’ equity:</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Class A Common stock</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Class B Common stock</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700,191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677,476</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Retained earnings</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280,380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260,000</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Statutory surplus reserve</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30,514</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Accumulated other comprehensive loss</w:t>
            </w:r>
          </w:p>
        </w:tc>
        <w:tc>
          <w:tcPr>
            <w:tcW w:w="60" w:type="dxa"/>
            <w:tcBorders/>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(61,946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(63,372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ACM Research, Inc. stockholders’ equity</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949,146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904,625</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Non-controlling interests</w:t>
            </w:r>
          </w:p>
        </w:tc>
        <w:tc>
          <w:tcPr>
            <w:tcW w:w="60" w:type="dxa"/>
            <w:tcBorders/>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206,207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191,281</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equity</w:t>
            </w:r>
          </w:p>
        </w:tc>
        <w:tc>
          <w:tcPr>
            <w:tcW w:w="60" w:type="dxa"/>
            <w:tcBorders/>
            <w:shd w:fill="CCEEFF" w:val="cle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1,155,353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42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1,095,906</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540" w:right="0" w:hanging="0"/>
              <w:jc w:val="left"/>
              <w:rPr>
                <w:rFonts w:ascii="Times New Roman" w:hAnsi="Times New Roman"/>
                <w:b/>
                <w:color w:val="000000"/>
                <w:sz w:val="20"/>
              </w:rPr>
            </w:pPr>
            <w:r>
              <w:rPr>
                <w:rFonts w:ascii="Times New Roman" w:hAnsi="Times New Roman"/>
                <w:b/>
                <w:color w:val="000000"/>
                <w:sz w:val="20"/>
              </w:rPr>
              <w:t>Total liabilities and equity</w:t>
            </w:r>
          </w:p>
        </w:tc>
        <w:tc>
          <w:tcPr>
            <w:tcW w:w="60" w:type="dxa"/>
            <w:tcBorders/>
            <w:vAlign w:val="bottom"/>
          </w:tcPr>
          <w:p>
            <w:pPr>
              <w:pStyle w:val="TableContents"/>
              <w:bidi w:val="0"/>
              <w:spacing w:before="0" w:after="283"/>
              <w:jc w:val="left"/>
              <w:rPr/>
            </w:pPr>
            <w:r>
              <w:rPr/>
              <w:t> </w:t>
            </w:r>
          </w:p>
        </w:tc>
        <w:tc>
          <w:tcPr>
            <w:tcW w:w="17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1,933,768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1,855,721</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39" w:name="Section3"/>
      <w:bookmarkEnd w:id="39"/>
      <w:r>
        <w:rPr>
          <w:rFonts w:ascii="Times New Roman" w:hAnsi="Times New Roman"/>
          <w:b/>
          <w:color w:val="000000"/>
          <w:sz w:val="20"/>
        </w:rPr>
        <w:t>ACM RESEARCH,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Income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0" w:name="z0045e5ffa9d04174a1355c619992436e"/>
      <w:bookmarkStart w:id="41" w:name="z0045e5ffa9d04174a1355c619992436e"/>
      <w:bookmarkEnd w:id="41"/>
    </w:p>
    <w:tbl>
      <w:tblPr>
        <w:tblW w:w="9717" w:type="dxa"/>
        <w:jc w:val="left"/>
        <w:tblInd w:w="0" w:type="dxa"/>
        <w:tblLayout w:type="fixed"/>
        <w:tblCellMar>
          <w:top w:w="0" w:type="dxa"/>
          <w:left w:w="0" w:type="dxa"/>
          <w:bottom w:w="0" w:type="dxa"/>
          <w:right w:w="0" w:type="dxa"/>
        </w:tblCellMar>
      </w:tblPr>
      <w:tblGrid>
        <w:gridCol w:w="5675"/>
        <w:gridCol w:w="60"/>
        <w:gridCol w:w="211"/>
        <w:gridCol w:w="1613"/>
        <w:gridCol w:w="135"/>
        <w:gridCol w:w="100"/>
        <w:gridCol w:w="211"/>
        <w:gridCol w:w="1617"/>
        <w:gridCol w:w="95"/>
      </w:tblGrid>
      <w:tr>
        <w:trPr/>
        <w:tc>
          <w:tcPr>
            <w:tcW w:w="56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95" w:type="dxa"/>
            <w:tcBorders/>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82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95" w:type="dxa"/>
            <w:tcBorders/>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7" w:type="dxa"/>
            <w:gridSpan w:val="6"/>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(Unaudited)</w:t>
            </w:r>
          </w:p>
        </w:tc>
        <w:tc>
          <w:tcPr>
            <w:tcW w:w="95" w:type="dxa"/>
            <w:tcBorders/>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7"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 except share and per share data)</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172,347</w:t>
            </w:r>
          </w:p>
        </w:tc>
        <w:tc>
          <w:tcPr>
            <w:tcW w:w="13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152,191</w:t>
            </w:r>
          </w:p>
        </w:tc>
        <w:tc>
          <w:tcPr>
            <w:tcW w:w="95"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61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89,797</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61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73,070</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Gross profit</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82,550</w:t>
            </w:r>
          </w:p>
        </w:tc>
        <w:tc>
          <w:tcPr>
            <w:tcW w:w="13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79,121</w:t>
            </w:r>
          </w:p>
        </w:tc>
        <w:tc>
          <w:tcPr>
            <w:tcW w:w="95"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Sales and marketing</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16,343</w:t>
            </w:r>
          </w:p>
        </w:tc>
        <w:tc>
          <w:tcPr>
            <w:tcW w:w="13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14,173</w:t>
            </w:r>
          </w:p>
        </w:tc>
        <w:tc>
          <w:tcPr>
            <w:tcW w:w="95"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Research and development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27,503</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23,918</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General and administrative</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12,927</w:t>
            </w:r>
          </w:p>
        </w:tc>
        <w:tc>
          <w:tcPr>
            <w:tcW w:w="13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15,798</w:t>
            </w:r>
          </w:p>
        </w:tc>
        <w:tc>
          <w:tcPr>
            <w:tcW w:w="95"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Total operating expenses</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61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56,773</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61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53,889</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Income from operations</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25,777</w:t>
            </w:r>
          </w:p>
        </w:tc>
        <w:tc>
          <w:tcPr>
            <w:tcW w:w="13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25,232</w:t>
            </w:r>
          </w:p>
        </w:tc>
        <w:tc>
          <w:tcPr>
            <w:tcW w:w="95"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3,339</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1,774</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(1,558</w:t>
            </w:r>
          </w:p>
        </w:tc>
        <w:tc>
          <w:tcPr>
            <w:tcW w:w="1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6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Realized gain from sale of short-term investments</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Unrealized loss on short-term investments</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(1,082</w:t>
            </w:r>
          </w:p>
        </w:tc>
        <w:tc>
          <w:tcPr>
            <w:tcW w:w="1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(2,595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6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w:t>
            </w:r>
          </w:p>
        </w:tc>
        <w:tc>
          <w:tcPr>
            <w:tcW w:w="1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3,080</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(loss) from equity method investments</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952</w:t>
            </w:r>
          </w:p>
        </w:tc>
        <w:tc>
          <w:tcPr>
            <w:tcW w:w="13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675"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Income before income taxes</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27,166</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26,461</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(2,153</w:t>
            </w:r>
          </w:p>
        </w:tc>
        <w:tc>
          <w:tcPr>
            <w:tcW w:w="1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(4,369</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675"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Net income</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25,013</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22,092</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4,633</w:t>
            </w:r>
          </w:p>
        </w:tc>
        <w:tc>
          <w:tcPr>
            <w:tcW w:w="13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4,659</w:t>
            </w:r>
          </w:p>
        </w:tc>
        <w:tc>
          <w:tcPr>
            <w:tcW w:w="95"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Net income attributable to ACM Research, Inc.</w:t>
            </w:r>
          </w:p>
        </w:tc>
        <w:tc>
          <w:tcPr>
            <w:tcW w:w="6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1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20,380</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1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17,433</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Comprehensive income (loss):</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25,013</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22,092</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 net of tax of nil</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1,750</w:t>
            </w:r>
          </w:p>
        </w:tc>
        <w:tc>
          <w:tcPr>
            <w:tcW w:w="13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(6,829</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675"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Comprehensive Income</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26,763</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15,263</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Less: Comprehensive income attributable to non-controlling interests</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4,957</w:t>
            </w:r>
          </w:p>
        </w:tc>
        <w:tc>
          <w:tcPr>
            <w:tcW w:w="13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3,406</w:t>
            </w:r>
          </w:p>
        </w:tc>
        <w:tc>
          <w:tcPr>
            <w:tcW w:w="95"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Comprehensive income attributable to ACM Research, Inc.</w:t>
            </w:r>
          </w:p>
        </w:tc>
        <w:tc>
          <w:tcPr>
            <w:tcW w:w="6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1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21,806</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1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11,857</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 attributable to ACM Research, Inc. per common share:</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1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0.32</w:t>
            </w:r>
          </w:p>
        </w:tc>
        <w:tc>
          <w:tcPr>
            <w:tcW w:w="13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1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0.28</w:t>
            </w:r>
          </w:p>
        </w:tc>
        <w:tc>
          <w:tcPr>
            <w:tcW w:w="95"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1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0.30</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1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0.26</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559" w:type="dxa"/>
            <w:gridSpan w:val="4"/>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used in computing per share amounts:</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61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63,267,834</w:t>
            </w:r>
          </w:p>
        </w:tc>
        <w:tc>
          <w:tcPr>
            <w:tcW w:w="13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61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61,367,184</w:t>
            </w:r>
          </w:p>
        </w:tc>
        <w:tc>
          <w:tcPr>
            <w:tcW w:w="95"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283"/>
              <w:jc w:val="left"/>
              <w:rPr/>
            </w:pPr>
            <w:r>
              <w:rPr/>
              <w:t> </w:t>
            </w:r>
          </w:p>
        </w:tc>
        <w:tc>
          <w:tcPr>
            <w:tcW w:w="161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66,952,774</w:t>
            </w:r>
          </w:p>
        </w:tc>
        <w:tc>
          <w:tcPr>
            <w:tcW w:w="13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283"/>
              <w:jc w:val="left"/>
              <w:rPr/>
            </w:pPr>
            <w:r>
              <w:rPr/>
              <w:t> </w:t>
            </w:r>
          </w:p>
        </w:tc>
        <w:tc>
          <w:tcPr>
            <w:tcW w:w="161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66,242,321</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42" w:name="Section4"/>
      <w:bookmarkEnd w:id="42"/>
      <w:r>
        <w:rPr>
          <w:rFonts w:ascii="Times New Roman" w:hAnsi="Times New Roman"/>
          <w:b/>
          <w:color w:val="000000"/>
          <w:sz w:val="20"/>
        </w:rPr>
        <w:t>ACM RESEARCH,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Total Revenue by Product Category and by Region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 w:name="z86d3dfbb456340c3917326b61dab783c"/>
      <w:bookmarkStart w:id="44" w:name="z86d3dfbb456340c3917326b61dab783c"/>
      <w:bookmarkEnd w:id="44"/>
    </w:p>
    <w:tbl>
      <w:tblPr>
        <w:tblW w:w="8290" w:type="dxa"/>
        <w:jc w:val="left"/>
        <w:tblInd w:w="0" w:type="dxa"/>
        <w:tblLayout w:type="fixed"/>
        <w:tblCellMar>
          <w:top w:w="0" w:type="dxa"/>
          <w:left w:w="0" w:type="dxa"/>
          <w:bottom w:w="0" w:type="dxa"/>
          <w:right w:w="0" w:type="dxa"/>
        </w:tblCellMar>
      </w:tblPr>
      <w:tblGrid>
        <w:gridCol w:w="5450"/>
        <w:gridCol w:w="60"/>
        <w:gridCol w:w="192"/>
        <w:gridCol w:w="1068"/>
        <w:gridCol w:w="92"/>
        <w:gridCol w:w="92"/>
        <w:gridCol w:w="192"/>
        <w:gridCol w:w="1069"/>
        <w:gridCol w:w="75"/>
      </w:tblGrid>
      <w:tr>
        <w:trPr/>
        <w:tc>
          <w:tcPr>
            <w:tcW w:w="5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75" w:type="dxa"/>
            <w:tcBorders/>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75" w:type="dxa"/>
            <w:tcBorders/>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5" w:type="dxa"/>
            <w:gridSpan w:val="6"/>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(Unaudited)</w:t>
            </w:r>
          </w:p>
        </w:tc>
        <w:tc>
          <w:tcPr>
            <w:tcW w:w="75" w:type="dxa"/>
            <w:tcBorders/>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5"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 in thousands)</w:t>
            </w:r>
          </w:p>
        </w:tc>
        <w:tc>
          <w:tcPr>
            <w:tcW w:w="75"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Single wafer cleaning, Tahoe and semi-critical cleaning equipment</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129,569</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109,470</w:t>
            </w:r>
          </w:p>
        </w:tc>
        <w:tc>
          <w:tcPr>
            <w:tcW w:w="75"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ECP (front-end and packaging), furnace and other technologies</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27,630</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25,800</w:t>
            </w:r>
          </w:p>
        </w:tc>
        <w:tc>
          <w:tcPr>
            <w:tcW w:w="75"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Advanced packaging (excluding ECP), services &amp; spares</w:t>
            </w:r>
          </w:p>
        </w:tc>
        <w:tc>
          <w:tcPr>
            <w:tcW w:w="6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15,148</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16,921</w:t>
            </w:r>
          </w:p>
        </w:tc>
        <w:tc>
          <w:tcPr>
            <w:tcW w:w="75"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 by Product Category</w:t>
            </w:r>
          </w:p>
        </w:tc>
        <w:tc>
          <w:tcPr>
            <w:tcW w:w="60"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172,347</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6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152,191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z9b646c933351461ca4e292aeee57de1f"/>
      <w:bookmarkStart w:id="46" w:name="z9b646c933351461ca4e292aeee57de1f"/>
      <w:bookmarkEnd w:id="46"/>
    </w:p>
    <w:tbl>
      <w:tblPr>
        <w:tblW w:w="5005" w:type="dxa"/>
        <w:jc w:val="left"/>
        <w:tblInd w:w="0" w:type="dxa"/>
        <w:tblLayout w:type="fixed"/>
        <w:tblCellMar>
          <w:top w:w="0" w:type="dxa"/>
          <w:left w:w="0" w:type="dxa"/>
          <w:bottom w:w="0" w:type="dxa"/>
          <w:right w:w="0" w:type="dxa"/>
        </w:tblCellMar>
      </w:tblPr>
      <w:tblGrid>
        <w:gridCol w:w="2165"/>
        <w:gridCol w:w="60"/>
        <w:gridCol w:w="192"/>
        <w:gridCol w:w="1068"/>
        <w:gridCol w:w="92"/>
        <w:gridCol w:w="92"/>
        <w:gridCol w:w="192"/>
        <w:gridCol w:w="1069"/>
        <w:gridCol w:w="75"/>
      </w:tblGrid>
      <w:tr>
        <w:trPr/>
        <w:tc>
          <w:tcPr>
            <w:tcW w:w="2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March 31,</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0" w:type="dxa"/>
            <w:gridSpan w:val="2"/>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2025</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261" w:type="dxa"/>
            <w:gridSpan w:val="2"/>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Mainland China</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169,053</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152,135</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Regions</w:t>
            </w:r>
          </w:p>
        </w:tc>
        <w:tc>
          <w:tcPr>
            <w:tcW w:w="60"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3,294</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 by Region</w:t>
            </w:r>
          </w:p>
        </w:tc>
        <w:tc>
          <w:tcPr>
            <w:tcW w:w="60" w:type="dxa"/>
            <w:tcBorders/>
            <w:shd w:fill="CCEEFF" w:val="clear"/>
            <w:vAlign w:val="bottom"/>
          </w:tcPr>
          <w:p>
            <w:pPr>
              <w:pStyle w:val="TableContents"/>
              <w:bidi w:val="0"/>
              <w:spacing w:before="0" w:after="283"/>
              <w:jc w:val="righ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6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172,347</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6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152,191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center"/>
        <w:rPr>
          <w:rFonts w:ascii="Times New Roman" w:hAnsi="Times New Roman"/>
          <w:b/>
          <w:color w:val="000000"/>
          <w:sz w:val="20"/>
        </w:rPr>
      </w:pPr>
      <w:bookmarkStart w:id="47" w:name="Section5"/>
      <w:bookmarkEnd w:id="47"/>
      <w:r>
        <w:rPr>
          <w:rFonts w:ascii="Times New Roman" w:hAnsi="Times New Roman"/>
          <w:b/>
          <w:color w:val="000000"/>
          <w:sz w:val="20"/>
        </w:rPr>
        <w:t>ACM RESEARCH,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Reconciliation of GAAP to Non-GAAP Financial Measures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(loss) on short-term investments. The following tables reconcile gross margin, operating expenses, operating income, net income attributable to ACM Research, Inc., and basic and diluted earnings per share to the related non-GAAP financial measures:</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 w:name="za725f20b02f0424db3459cc2e3a5093c"/>
      <w:bookmarkStart w:id="49" w:name="za725f20b02f0424db3459cc2e3a5093c"/>
      <w:bookmarkEnd w:id="49"/>
    </w:p>
    <w:tbl>
      <w:tblPr>
        <w:tblW w:w="13785" w:type="dxa"/>
        <w:jc w:val="left"/>
        <w:tblInd w:w="0" w:type="dxa"/>
        <w:tblLayout w:type="fixed"/>
        <w:tblCellMar>
          <w:top w:w="0" w:type="dxa"/>
          <w:left w:w="0" w:type="dxa"/>
          <w:bottom w:w="0" w:type="dxa"/>
          <w:right w:w="0" w:type="dxa"/>
        </w:tblCellMar>
      </w:tblPr>
      <w:tblGrid>
        <w:gridCol w:w="4445"/>
        <w:gridCol w:w="60"/>
        <w:gridCol w:w="125"/>
        <w:gridCol w:w="695"/>
        <w:gridCol w:w="185"/>
        <w:gridCol w:w="60"/>
        <w:gridCol w:w="125"/>
        <w:gridCol w:w="545"/>
        <w:gridCol w:w="185"/>
        <w:gridCol w:w="60"/>
        <w:gridCol w:w="227"/>
        <w:gridCol w:w="993"/>
        <w:gridCol w:w="80"/>
        <w:gridCol w:w="60"/>
        <w:gridCol w:w="156"/>
        <w:gridCol w:w="869"/>
        <w:gridCol w:w="185"/>
        <w:gridCol w:w="60"/>
        <w:gridCol w:w="125"/>
        <w:gridCol w:w="695"/>
        <w:gridCol w:w="185"/>
        <w:gridCol w:w="60"/>
        <w:gridCol w:w="125"/>
        <w:gridCol w:w="650"/>
        <w:gridCol w:w="185"/>
        <w:gridCol w:w="60"/>
        <w:gridCol w:w="227"/>
        <w:gridCol w:w="993"/>
        <w:gridCol w:w="80"/>
        <w:gridCol w:w="60"/>
        <w:gridCol w:w="156"/>
        <w:gridCol w:w="869"/>
        <w:gridCol w:w="200"/>
      </w:tblGrid>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80" w:type="dxa"/>
            <w:gridSpan w:val="3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March 31,</w:t>
            </w:r>
          </w:p>
        </w:tc>
        <w:tc>
          <w:tcPr>
            <w:tcW w:w="200"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65"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470"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200" w:type="dxa"/>
            <w:tcBorders/>
            <w:vAlign w:val="bottom"/>
          </w:tcPr>
          <w:p>
            <w:pPr>
              <w:pStyle w:val="TableContents"/>
              <w:bidi w:val="0"/>
              <w:spacing w:before="0" w:after="283"/>
              <w:jc w:val="left"/>
              <w:rPr/>
            </w:pPr>
            <w:r>
              <w:rPr/>
              <w:t> </w:t>
            </w:r>
          </w:p>
        </w:tc>
      </w:tr>
      <w:tr>
        <w:trPr/>
        <w:tc>
          <w:tcPr>
            <w:tcW w:w="444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Actual</w:t>
            </w:r>
          </w:p>
        </w:tc>
        <w:tc>
          <w:tcPr>
            <w:tcW w:w="185" w:type="dxa"/>
            <w:tcBorders/>
            <w:vAlign w:val="bottom"/>
          </w:tcPr>
          <w:p>
            <w:pPr>
              <w:pStyle w:val="TableContents"/>
              <w:bidi w:val="0"/>
              <w:spacing w:before="0" w:after="283"/>
              <w:jc w:val="left"/>
              <w:rPr/>
            </w:pPr>
            <w:r>
              <w:rPr/>
              <w:t> </w:t>
            </w:r>
          </w:p>
        </w:tc>
        <w:tc>
          <w:tcPr>
            <w:tcW w:w="60" w:type="dxa"/>
            <w:vMerge w:val="restart"/>
            <w:tcBorders>
              <w:bottom w:val="single" w:sz="12" w:space="0" w:color="000000"/>
            </w:tcBorders>
            <w:tcMar>
              <w:bottom w:w="28" w:type="dxa"/>
            </w:tcMar>
            <w:vAlign w:val="bottom"/>
          </w:tcPr>
          <w:p>
            <w:pPr>
              <w:pStyle w:val="TableContents"/>
              <w:bidi w:val="0"/>
              <w:spacing w:before="0" w:after="283"/>
              <w:jc w:val="left"/>
              <w:rPr/>
            </w:pPr>
            <w:r>
              <w:rPr/>
              <w:t> </w:t>
            </w:r>
          </w:p>
        </w:tc>
        <w:tc>
          <w:tcPr>
            <w:tcW w:w="670"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SBC</w:t>
            </w:r>
          </w:p>
        </w:tc>
        <w:tc>
          <w:tcPr>
            <w:tcW w:w="185" w:type="dxa"/>
            <w:vMerge w:val="restart"/>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 non-operating adjustments</w:t>
            </w:r>
          </w:p>
        </w:tc>
        <w:tc>
          <w:tcPr>
            <w:tcW w:w="80" w:type="dxa"/>
            <w:vMerge w:val="restart"/>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Adjusted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Actual</w:t>
            </w:r>
          </w:p>
        </w:tc>
        <w:tc>
          <w:tcPr>
            <w:tcW w:w="185" w:type="dxa"/>
            <w:tcBorders/>
            <w:vAlign w:val="bottom"/>
          </w:tcPr>
          <w:p>
            <w:pPr>
              <w:pStyle w:val="TableContents"/>
              <w:bidi w:val="0"/>
              <w:spacing w:before="0" w:after="283"/>
              <w:jc w:val="left"/>
              <w:rPr/>
            </w:pPr>
            <w:r>
              <w:rPr/>
              <w:t> </w:t>
            </w:r>
          </w:p>
        </w:tc>
        <w:tc>
          <w:tcPr>
            <w:tcW w:w="60" w:type="dxa"/>
            <w:vMerge w:val="restart"/>
            <w:tcBorders>
              <w:bottom w:val="single" w:sz="12" w:space="0" w:color="000000"/>
            </w:tcBorders>
            <w:tcMar>
              <w:bottom w:w="28" w:type="dxa"/>
            </w:tcMar>
            <w:vAlign w:val="bottom"/>
          </w:tcPr>
          <w:p>
            <w:pPr>
              <w:pStyle w:val="TableContents"/>
              <w:bidi w:val="0"/>
              <w:spacing w:before="0" w:after="283"/>
              <w:jc w:val="left"/>
              <w:rPr/>
            </w:pPr>
            <w:r>
              <w:rPr/>
              <w:t> </w:t>
            </w:r>
          </w:p>
        </w:tc>
        <w:tc>
          <w:tcPr>
            <w:tcW w:w="775"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SBC</w:t>
            </w:r>
          </w:p>
        </w:tc>
        <w:tc>
          <w:tcPr>
            <w:tcW w:w="185" w:type="dxa"/>
            <w:vMerge w:val="restart"/>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 non-operating adjustments</w:t>
            </w:r>
          </w:p>
        </w:tc>
        <w:tc>
          <w:tcPr>
            <w:tcW w:w="80" w:type="dxa"/>
            <w:vMerge w:val="restart"/>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Adjusted</w:t>
            </w:r>
          </w:p>
        </w:tc>
        <w:tc>
          <w:tcPr>
            <w:tcW w:w="200" w:type="dxa"/>
            <w:tcBorders/>
            <w:vAlign w:val="bottom"/>
          </w:tcPr>
          <w:p>
            <w:pPr>
              <w:pStyle w:val="TableContents"/>
              <w:bidi w:val="0"/>
              <w:spacing w:before="0" w:after="283"/>
              <w:jc w:val="left"/>
              <w:rPr/>
            </w:pPr>
            <w:r>
              <w:rPr/>
              <w:t> </w:t>
            </w:r>
          </w:p>
        </w:tc>
      </w:tr>
      <w:tr>
        <w:trPr/>
        <w:tc>
          <w:tcPr>
            <w:tcW w:w="444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(GAAP)</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vMerge w:val="continue"/>
            <w:tcBorders>
              <w:bottom w:val="single" w:sz="12" w:space="0" w:color="000000"/>
            </w:tcBorders>
            <w:tcMar>
              <w:bottom w:w="28" w:type="dxa"/>
            </w:tcMar>
            <w:vAlign w:val="bottom"/>
          </w:tcPr>
          <w:p>
            <w:pPr>
              <w:pStyle w:val="Normal"/>
              <w:bidi w:val="0"/>
              <w:jc w:val="left"/>
              <w:rPr/>
            </w:pPr>
            <w:r>
              <w:rPr/>
            </w:r>
          </w:p>
        </w:tc>
        <w:tc>
          <w:tcPr>
            <w:tcW w:w="670" w:type="dxa"/>
            <w:gridSpan w:val="2"/>
            <w:vMerge w:val="continue"/>
            <w:tcBorders>
              <w:bottom w:val="single" w:sz="12" w:space="0" w:color="000000"/>
            </w:tcBorders>
            <w:tcMar>
              <w:bottom w:w="28" w:type="dxa"/>
            </w:tcMar>
            <w:vAlign w:val="bottom"/>
          </w:tcPr>
          <w:p>
            <w:pPr>
              <w:pStyle w:val="Normal"/>
              <w:bidi w:val="0"/>
              <w:jc w:val="left"/>
              <w:rPr/>
            </w:pPr>
            <w:r>
              <w:rPr/>
            </w:r>
          </w:p>
        </w:tc>
        <w:tc>
          <w:tcPr>
            <w:tcW w:w="185" w:type="dxa"/>
            <w:vMerge w:val="continue"/>
            <w:tcBorders>
              <w:bottom w:val="single" w:sz="12" w:space="0" w:color="000000"/>
            </w:tcBorders>
            <w:tcMar>
              <w:bottom w:w="28" w:type="dxa"/>
            </w:tcMar>
            <w:vAlign w:val="bottom"/>
          </w:tcPr>
          <w:p>
            <w:pPr>
              <w:pStyle w:val="Normal"/>
              <w:bidi w:val="0"/>
              <w:jc w:val="left"/>
              <w:rPr/>
            </w:pPr>
            <w:r>
              <w:rPr/>
            </w:r>
          </w:p>
        </w:tc>
        <w:tc>
          <w:tcPr>
            <w:tcW w:w="60" w:type="dxa"/>
            <w:vMerge w:val="continue"/>
            <w:tcBorders>
              <w:bottom w:val="single" w:sz="12" w:space="0" w:color="000000"/>
            </w:tcBorders>
            <w:tcMar>
              <w:bottom w:w="28" w:type="dxa"/>
            </w:tcMar>
            <w:vAlign w:val="bottom"/>
          </w:tcPr>
          <w:p>
            <w:pPr>
              <w:pStyle w:val="Normal"/>
              <w:bidi w:val="0"/>
              <w:jc w:val="left"/>
              <w:rPr/>
            </w:pPr>
            <w:r>
              <w:rPr/>
            </w:r>
          </w:p>
        </w:tc>
        <w:tc>
          <w:tcPr>
            <w:tcW w:w="1220"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bottom w:val="single" w:sz="12" w:space="0" w:color="000000"/>
            </w:tcBorders>
            <w:tcMar>
              <w:bottom w:w="28" w:type="dxa"/>
            </w:tcMar>
            <w:vAlign w:val="bottom"/>
          </w:tcPr>
          <w:p>
            <w:pPr>
              <w:pStyle w:val="Normal"/>
              <w:bidi w:val="0"/>
              <w:jc w:val="left"/>
              <w:rPr/>
            </w:pPr>
            <w:r>
              <w:rPr/>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(Non-GAAP)</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(GAAP)</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vMerge w:val="continue"/>
            <w:tcBorders>
              <w:bottom w:val="single" w:sz="12" w:space="0" w:color="000000"/>
            </w:tcBorders>
            <w:tcMar>
              <w:bottom w:w="28" w:type="dxa"/>
            </w:tcMar>
            <w:vAlign w:val="bottom"/>
          </w:tcPr>
          <w:p>
            <w:pPr>
              <w:pStyle w:val="Normal"/>
              <w:bidi w:val="0"/>
              <w:jc w:val="left"/>
              <w:rPr/>
            </w:pPr>
            <w:r>
              <w:rPr/>
            </w:r>
          </w:p>
        </w:tc>
        <w:tc>
          <w:tcPr>
            <w:tcW w:w="775" w:type="dxa"/>
            <w:gridSpan w:val="2"/>
            <w:vMerge w:val="continue"/>
            <w:tcBorders>
              <w:bottom w:val="single" w:sz="12" w:space="0" w:color="000000"/>
            </w:tcBorders>
            <w:tcMar>
              <w:bottom w:w="28" w:type="dxa"/>
            </w:tcMar>
            <w:vAlign w:val="bottom"/>
          </w:tcPr>
          <w:p>
            <w:pPr>
              <w:pStyle w:val="Normal"/>
              <w:bidi w:val="0"/>
              <w:jc w:val="left"/>
              <w:rPr/>
            </w:pPr>
            <w:r>
              <w:rPr/>
            </w:r>
          </w:p>
        </w:tc>
        <w:tc>
          <w:tcPr>
            <w:tcW w:w="185" w:type="dxa"/>
            <w:vMerge w:val="continue"/>
            <w:tcBorders>
              <w:bottom w:val="single" w:sz="12" w:space="0" w:color="000000"/>
            </w:tcBorders>
            <w:tcMar>
              <w:bottom w:w="28" w:type="dxa"/>
            </w:tcMar>
            <w:vAlign w:val="bottom"/>
          </w:tcPr>
          <w:p>
            <w:pPr>
              <w:pStyle w:val="Normal"/>
              <w:bidi w:val="0"/>
              <w:jc w:val="left"/>
              <w:rPr/>
            </w:pPr>
            <w:r>
              <w:rPr/>
            </w:r>
          </w:p>
        </w:tc>
        <w:tc>
          <w:tcPr>
            <w:tcW w:w="60" w:type="dxa"/>
            <w:vMerge w:val="continue"/>
            <w:tcBorders>
              <w:bottom w:val="single" w:sz="12" w:space="0" w:color="000000"/>
            </w:tcBorders>
            <w:tcMar>
              <w:bottom w:w="28" w:type="dxa"/>
            </w:tcMar>
            <w:vAlign w:val="bottom"/>
          </w:tcPr>
          <w:p>
            <w:pPr>
              <w:pStyle w:val="Normal"/>
              <w:bidi w:val="0"/>
              <w:jc w:val="left"/>
              <w:rPr/>
            </w:pPr>
            <w:r>
              <w:rPr/>
            </w:r>
          </w:p>
        </w:tc>
        <w:tc>
          <w:tcPr>
            <w:tcW w:w="1220"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bottom w:val="single" w:sz="12" w:space="0" w:color="000000"/>
            </w:tcBorders>
            <w:tcMar>
              <w:bottom w:w="28" w:type="dxa"/>
            </w:tcMar>
            <w:vAlign w:val="bottom"/>
          </w:tcPr>
          <w:p>
            <w:pPr>
              <w:pStyle w:val="Normal"/>
              <w:bidi w:val="0"/>
              <w:jc w:val="left"/>
              <w:rPr/>
            </w:pPr>
            <w:r>
              <w:rPr/>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(Non-GAAP)</w:t>
            </w:r>
          </w:p>
        </w:tc>
        <w:tc>
          <w:tcPr>
            <w:tcW w:w="200"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80" w:type="dxa"/>
            <w:gridSpan w:val="30"/>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(In thousands)</w:t>
            </w:r>
          </w:p>
        </w:tc>
        <w:tc>
          <w:tcPr>
            <w:tcW w:w="200"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0" w:right="0" w:firstLine="181"/>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172,347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172,347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152,191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152,191</w:t>
            </w:r>
          </w:p>
        </w:tc>
        <w:tc>
          <w:tcPr>
            <w:tcW w:w="20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Cost of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(89,797</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(529</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2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(89,268</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(73,070</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(781</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2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(72,289</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45"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Gross profit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82,550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83,079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79,121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79,902</w:t>
            </w:r>
          </w:p>
        </w:tc>
        <w:tc>
          <w:tcPr>
            <w:tcW w:w="20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540" w:right="0" w:hanging="180"/>
              <w:jc w:val="left"/>
              <w:rPr>
                <w:rFonts w:ascii="Times New Roman" w:hAnsi="Times New Roman"/>
                <w:i/>
                <w:color w:val="000000"/>
                <w:sz w:val="20"/>
              </w:rPr>
            </w:pPr>
            <w:r>
              <w:rPr>
                <w:rFonts w:ascii="Times New Roman" w:hAnsi="Times New Roman"/>
                <w:i/>
                <w:color w:val="000000"/>
                <w:sz w:val="20"/>
              </w:rPr>
              <w:t>Gross margin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i/>
                <w:sz w:val="20"/>
              </w:rPr>
            </w:pPr>
            <w:r>
              <w:rPr>
                <w:rFonts w:ascii="Times New Roman" w:hAnsi="Times New Roman"/>
                <w:i/>
                <w:sz w:val="20"/>
              </w:rPr>
              <w:t>47.9</w:t>
            </w:r>
          </w:p>
        </w:tc>
        <w:tc>
          <w:tcPr>
            <w:tcW w:w="18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i/>
                <w:sz w:val="20"/>
              </w:rPr>
            </w:pPr>
            <w:r>
              <w:rPr>
                <w:rFonts w:ascii="Times New Roman" w:hAnsi="Times New Roman"/>
                <w:i/>
                <w:sz w:val="20"/>
              </w:rPr>
              <w:t>0.3</w:t>
            </w:r>
          </w:p>
        </w:tc>
        <w:tc>
          <w:tcPr>
            <w:tcW w:w="18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i/>
                <w:sz w:val="20"/>
              </w:rPr>
            </w:pPr>
            <w:r>
              <w:rPr>
                <w:rFonts w:ascii="Times New Roman" w:hAnsi="Times New Roman"/>
                <w:i/>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0"/>
              <w:jc w:val="right"/>
              <w:rPr>
                <w:rFonts w:ascii="Times New Roman" w:hAnsi="Times New Roman"/>
                <w:i/>
                <w:sz w:val="20"/>
              </w:rPr>
            </w:pPr>
            <w:r>
              <w:rPr>
                <w:rFonts w:ascii="Times New Roman" w:hAnsi="Times New Roman"/>
                <w:i/>
                <w:sz w:val="20"/>
              </w:rPr>
              <w:t>48.2</w:t>
            </w:r>
          </w:p>
        </w:tc>
        <w:tc>
          <w:tcPr>
            <w:tcW w:w="18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i/>
                <w:sz w:val="20"/>
              </w:rPr>
            </w:pPr>
            <w:r>
              <w:rPr>
                <w:rFonts w:ascii="Times New Roman" w:hAnsi="Times New Roman"/>
                <w:i/>
                <w:sz w:val="20"/>
              </w:rPr>
              <w:t>52.0</w:t>
            </w:r>
          </w:p>
        </w:tc>
        <w:tc>
          <w:tcPr>
            <w:tcW w:w="18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i/>
                <w:sz w:val="20"/>
              </w:rPr>
            </w:pPr>
            <w:r>
              <w:rPr>
                <w:rFonts w:ascii="Times New Roman" w:hAnsi="Times New Roman"/>
                <w:i/>
                <w:sz w:val="20"/>
              </w:rPr>
              <w:t>0.5</w:t>
            </w:r>
          </w:p>
        </w:tc>
        <w:tc>
          <w:tcPr>
            <w:tcW w:w="18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i/>
                <w:sz w:val="20"/>
              </w:rPr>
            </w:pPr>
            <w:r>
              <w:rPr>
                <w:rFonts w:ascii="Times New Roman" w:hAnsi="Times New Roman"/>
                <w:i/>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0"/>
              <w:jc w:val="right"/>
              <w:rPr>
                <w:rFonts w:ascii="Times New Roman" w:hAnsi="Times New Roman"/>
                <w:i/>
                <w:sz w:val="20"/>
              </w:rPr>
            </w:pPr>
            <w:r>
              <w:rPr>
                <w:rFonts w:ascii="Times New Roman" w:hAnsi="Times New Roman"/>
                <w:i/>
                <w:sz w:val="20"/>
              </w:rPr>
              <w:t>52.5</w:t>
            </w:r>
          </w:p>
        </w:tc>
        <w:tc>
          <w:tcPr>
            <w:tcW w:w="200"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w:t>
            </w:r>
          </w:p>
        </w:tc>
      </w:tr>
      <w:tr>
        <w:trPr/>
        <w:tc>
          <w:tcPr>
            <w:tcW w:w="444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Operating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Sales and marketing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(16,343</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(2,157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(14,186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(14,173</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(3,027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(11,146</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45"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(27,503</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(2,775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(24,728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(23,918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(4,503</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(19,415</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45"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(12,927</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(4,356</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2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(8,571</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(15,798</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(6,258</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2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(9,540</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45"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(56,773</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(9,288</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(47,485</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(53,889</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(13,788</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(40,101</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4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Income (loss) from operations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25,777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(9,817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35,594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25,232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(14,569</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39,801</w:t>
            </w:r>
          </w:p>
        </w:tc>
        <w:tc>
          <w:tcPr>
            <w:tcW w:w="20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Unrealized loss on short-term investments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(1,082</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(1,082</w:t>
            </w:r>
          </w:p>
        </w:tc>
        <w:tc>
          <w:tcPr>
            <w:tcW w:w="8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(2,595</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(2,595</w:t>
            </w:r>
          </w:p>
        </w:tc>
        <w:tc>
          <w:tcPr>
            <w:tcW w:w="8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0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Net income (loss) attributable to ACM Research, Inc.</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20,380</w:t>
            </w:r>
          </w:p>
        </w:tc>
        <w:tc>
          <w:tcPr>
            <w:tcW w:w="185" w:type="dxa"/>
            <w:tcBorders>
              <w:bottom w:val="double" w:sz="8" w:space="0" w:color="000000"/>
            </w:tcBorders>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(9,817</w:t>
            </w:r>
          </w:p>
        </w:tc>
        <w:tc>
          <w:tcPr>
            <w:tcW w:w="18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22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9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(1,082</w:t>
            </w:r>
          </w:p>
        </w:tc>
        <w:tc>
          <w:tcPr>
            <w:tcW w:w="8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5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6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31,279</w:t>
            </w:r>
          </w:p>
        </w:tc>
        <w:tc>
          <w:tcPr>
            <w:tcW w:w="185" w:type="dxa"/>
            <w:tcBorders>
              <w:bottom w:val="double" w:sz="8" w:space="0" w:color="000000"/>
            </w:tcBorders>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17,433</w:t>
            </w:r>
          </w:p>
        </w:tc>
        <w:tc>
          <w:tcPr>
            <w:tcW w:w="185" w:type="dxa"/>
            <w:tcBorders>
              <w:bottom w:val="double" w:sz="8" w:space="0" w:color="000000"/>
            </w:tcBorders>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(14,569</w:t>
            </w:r>
          </w:p>
        </w:tc>
        <w:tc>
          <w:tcPr>
            <w:tcW w:w="18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22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9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(2,595</w:t>
            </w:r>
          </w:p>
        </w:tc>
        <w:tc>
          <w:tcPr>
            <w:tcW w:w="8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5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6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34,597</w:t>
            </w:r>
          </w:p>
        </w:tc>
        <w:tc>
          <w:tcPr>
            <w:tcW w:w="20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Basic EPS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0.32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0.49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0.28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0.56</w:t>
            </w:r>
          </w:p>
        </w:tc>
        <w:tc>
          <w:tcPr>
            <w:tcW w:w="20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Diluted EPS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0.30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0.46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0.52</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3341</Words>
  <Characters>18933</Characters>
  <CharactersWithSpaces>22667</CharactersWithSpaces>
  <Paragraphs>1778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