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 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May 15,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ACM Research, Inc.</w:t>
      </w:r>
    </w:p>
    <w:p>
      <w:pPr>
        <w:pStyle w:val="TextBody"/>
        <w:bidi w:val="0"/>
        <w:spacing w:before="0" w:after="0"/>
        <w:jc w:val="center"/>
        <w:rPr>
          <w:rFonts w:ascii="Times New Roman" w:hAnsi="Times New Roman"/>
          <w:i/>
          <w:color w:val="000000"/>
          <w:sz w:val="20"/>
          <w:shd w:fill="FFFFFF" w:val="clear"/>
        </w:rPr>
      </w:pPr>
      <w:r>
        <w:rPr>
          <w:rFonts w:ascii="Times New Roman" w:hAnsi="Times New Roman"/>
          <w:i/>
          <w:color w:val="000000"/>
          <w:sz w:val="20"/>
          <w:shd w:fill="FFFFFF" w:val="clear"/>
        </w:rPr>
        <w:t>(Exact Name of Registrant as Specified in its Charter)</w:t>
      </w:r>
    </w:p>
    <w:p>
      <w:pPr>
        <w:pStyle w:val="TextBody"/>
        <w:bidi w:val="0"/>
        <w:spacing w:before="0" w:after="0"/>
        <w:jc w:val="left"/>
        <w:rPr/>
      </w:pPr>
      <w:r>
        <w:rPr/>
      </w:r>
    </w:p>
    <w:tbl>
      <w:tblPr>
        <w:tblW w:w="5235" w:type="dxa"/>
        <w:jc w:val="left"/>
        <w:tblInd w:w="0" w:type="dxa"/>
        <w:tblLayout w:type="fixed"/>
        <w:tblCellMar>
          <w:top w:w="0" w:type="dxa"/>
          <w:left w:w="0" w:type="dxa"/>
          <w:bottom w:w="0" w:type="dxa"/>
          <w:right w:w="0" w:type="dxa"/>
        </w:tblCellMar>
      </w:tblPr>
      <w:tblGrid>
        <w:gridCol w:w="2480"/>
        <w:gridCol w:w="60"/>
        <w:gridCol w:w="1100"/>
        <w:gridCol w:w="60"/>
        <w:gridCol w:w="1535"/>
      </w:tblGrid>
      <w:tr>
        <w:trPr/>
        <w:tc>
          <w:tcPr>
            <w:tcW w:w="248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001-38273</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94-3290283</w:t>
            </w:r>
          </w:p>
        </w:tc>
      </w:tr>
      <w:tr>
        <w:trPr/>
        <w:tc>
          <w:tcPr>
            <w:tcW w:w="248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(State or Other</w:t>
            </w:r>
          </w:p>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Jurisdiction 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(Commission</w:t>
            </w:r>
          </w:p>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(IRS Employer</w:t>
            </w:r>
          </w:p>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Identification No.)</w:t>
            </w:r>
          </w:p>
        </w:tc>
      </w:tr>
    </w:tbl>
    <w:p>
      <w:pPr>
        <w:pStyle w:val="TextBody"/>
        <w:bidi w:val="0"/>
        <w:spacing w:before="0" w:after="0"/>
        <w:jc w:val="left"/>
        <w:rPr/>
      </w:pPr>
      <w:r>
        <w:rPr/>
      </w:r>
    </w:p>
    <w:tbl>
      <w:tblPr>
        <w:tblW w:w="4225" w:type="dxa"/>
        <w:jc w:val="left"/>
        <w:tblInd w:w="0" w:type="dxa"/>
        <w:tblLayout w:type="fixed"/>
        <w:tblCellMar>
          <w:top w:w="0" w:type="dxa"/>
          <w:left w:w="0" w:type="dxa"/>
          <w:bottom w:w="0" w:type="dxa"/>
          <w:right w:w="0" w:type="dxa"/>
        </w:tblCellMar>
      </w:tblPr>
      <w:tblGrid>
        <w:gridCol w:w="3275"/>
        <w:gridCol w:w="60"/>
        <w:gridCol w:w="890"/>
      </w:tblGrid>
      <w:tr>
        <w:trPr/>
        <w:tc>
          <w:tcPr>
            <w:tcW w:w="32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42307 Osgood Road, Suite I</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Fremont, California</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94539</w:t>
            </w:r>
          </w:p>
        </w:tc>
      </w:tr>
      <w:tr>
        <w:trPr/>
        <w:tc>
          <w:tcPr>
            <w:tcW w:w="3275"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(Address of Principal Executive Offices)</w:t>
            </w:r>
          </w:p>
        </w:tc>
        <w:tc>
          <w:tcPr>
            <w:tcW w:w="6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0"/>
              <w:jc w:val="center"/>
              <w:rPr>
                <w:rFonts w:ascii="Times New Roman" w:hAnsi="Times New Roman"/>
                <w:i/>
                <w:color w:val="000000"/>
                <w:sz w:val="20"/>
              </w:rPr>
            </w:pPr>
            <w:r>
              <w:rPr>
                <w:rFonts w:ascii="Times New Roman" w:hAnsi="Times New Roman"/>
                <w:i/>
                <w:color w:val="000000"/>
                <w:sz w:val="20"/>
              </w:rPr>
              <w:t>(Zip Code)</w:t>
            </w:r>
          </w:p>
        </w:tc>
      </w:tr>
    </w:tbl>
    <w:p>
      <w:pPr>
        <w:pStyle w:val="TextBody"/>
        <w:bidi w:val="0"/>
        <w:spacing w:before="0" w:after="0"/>
        <w:jc w:val="center"/>
        <w:rPr>
          <w:rFonts w:ascii="Times New Roman" w:hAnsi="Times New Roman"/>
          <w:color w:val="000000"/>
          <w:sz w:val="20"/>
        </w:rPr>
      </w:pPr>
      <w:r>
        <w:rPr>
          <w:rFonts w:ascii="Times New Roman" w:hAnsi="Times New Roman"/>
          <w:color w:val="000000"/>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w:t>
      </w:r>
      <w:r>
        <w:rPr>
          <w:rFonts w:ascii="Times New Roman" w:hAnsi="Times New Roman"/>
          <w:b/>
          <w:color w:val="000000"/>
          <w:sz w:val="20"/>
          <w:shd w:fill="FFFFFF" w:val="clear"/>
        </w:rPr>
        <w:t>(510) 445-3700</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0"/>
              <w:jc w:val="left"/>
              <w:rPr/>
            </w:pPr>
            <w:r>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pPr>
            <w:r>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9495" w:type="dxa"/>
        <w:jc w:val="left"/>
        <w:tblInd w:w="0" w:type="dxa"/>
        <w:tblLayout w:type="fixed"/>
        <w:tblCellMar>
          <w:top w:w="0" w:type="dxa"/>
          <w:left w:w="0" w:type="dxa"/>
          <w:bottom w:w="28" w:type="dxa"/>
          <w:right w:w="0" w:type="dxa"/>
        </w:tblCellMar>
      </w:tblPr>
      <w:tblGrid>
        <w:gridCol w:w="4280"/>
        <w:gridCol w:w="60"/>
        <w:gridCol w:w="1385"/>
        <w:gridCol w:w="60"/>
        <w:gridCol w:w="3710"/>
      </w:tblGrid>
      <w:tr>
        <w:trPr/>
        <w:tc>
          <w:tcPr>
            <w:tcW w:w="4280" w:type="dxa"/>
            <w:tcBorders>
              <w:bottom w:val="single" w:sz="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4280" w:type="dxa"/>
            <w:tcBorders/>
            <w:tcMar>
              <w:bottom w:w="0"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Class A Common Stock, par value $0.0001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ACMR</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or Rule 12b-2 of the Securities Exchange Act of 1934:          </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Item 8.01   Other Events.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previously disclosed, on May 12, 2026, ACM Research, Inc. (the “Company”) entered into a Securities Purchase Agreement (the “Purchase Agreement”) with certain investors named therein (the “Investors”). Pursuant to the Purchase Agreement, the Company agreed to issue and sell to the Investors in a registered direct offering (the “Offering”) an aggregate of 2,884,615 shares (the “Shares”) of Class A common stock, par value $0.0001 per share (“Common Stock”) at an offering price of $52.00 per Share pursuant to an effective shelf registration statement on Form S-3 (File No. 333-278041) and a related prospectus supplement filed with the U.S. Securities and Exchange Commission on May 12, 2026.</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May 15, 2026, the Company consummated the Offering and received net proceeds of approximately $149,849,980, after deducting estimated offering expenses payable by the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Current Report on Form 8-K shall not constitute an offer to sell or the solicitation of any offer to buy the securities discussed herein, nor shall there be any offer, solicitation or sale of the securities in any state in which such offer, solicitation or sale would be unlawful prior to registration or qualification under the securities laws of any such state.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3460" w:type="dxa"/>
        <w:jc w:val="left"/>
        <w:tblInd w:w="0" w:type="dxa"/>
        <w:tblLayout w:type="fixed"/>
        <w:tblCellMar>
          <w:top w:w="0" w:type="dxa"/>
          <w:left w:w="0" w:type="dxa"/>
          <w:bottom w:w="0" w:type="dxa"/>
          <w:right w:w="0" w:type="dxa"/>
        </w:tblCellMar>
      </w:tblPr>
      <w:tblGrid>
        <w:gridCol w:w="60"/>
        <w:gridCol w:w="320"/>
        <w:gridCol w:w="3020"/>
        <w:gridCol w:w="60"/>
      </w:tblGrid>
      <w:tr>
        <w:trPr/>
        <w:tc>
          <w:tcPr>
            <w:tcW w:w="60" w:type="dxa"/>
            <w:tcBorders/>
            <w:vAlign w:val="center"/>
          </w:tcPr>
          <w:p>
            <w:pPr>
              <w:pStyle w:val="TableContents"/>
              <w:bidi w:val="0"/>
              <w:spacing w:before="0" w:after="283"/>
              <w:jc w:val="left"/>
              <w:rPr/>
            </w:pPr>
            <w:r>
              <w:rPr/>
              <w:t> </w:t>
            </w:r>
          </w:p>
        </w:tc>
        <w:tc>
          <w:tcPr>
            <w:tcW w:w="3340" w:type="dxa"/>
            <w:gridSpan w:val="2"/>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ACM RESEARCH, INC.</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3020" w:type="dxa"/>
            <w:tcBorders>
              <w:bottom w:val="single" w:sz="2" w:space="0" w:color="000000"/>
            </w:tcBorders>
            <w:tcMar>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 Mark McKechnie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McKechnie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Chief Financial Officer and Treasurer</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Dated: May 15,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3</w:t>
      </w:r>
      <w:r>
        <w:rPr>
          <w:rFonts w:ascii="Times New Roman" w:hAnsi="Times New Roman"/>
          <w:color w:val="000000"/>
          <w:sz w:val="20"/>
          <w:shd w:fill="FFFFFF" w:val="clear"/>
        </w:rPr>
        <w:t xml:space="preserve"> </w:t>
      </w:r>
    </w:p>
    <w:p>
      <w:pPr>
        <w:pStyle w:val="HorizontalLine"/>
        <w:bidi w:val="0"/>
        <w:spacing w:before="0" w:after="283"/>
        <w:jc w:val="center"/>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536</Words>
  <Characters>2902</Characters>
  <CharactersWithSpaces>3430</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