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Tracy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ACM RESEARCH,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42307 OSGOOD ROAD, SUITE 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81.26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96.13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will vest and become exercisable immediately prior to the 2027 annual meeting of stockholders of the issuer, subject to continued service through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per restricted stock unit is based on the average closing market price of the Issuer's common stock for the 30 trading days preceding the grant day.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should be vested immediately prior to the 2027 annual meeting of stockholders of the issuer, subject to continued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McKechnie, Attorney-in-Fact for Tracy Liu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1299" TargetMode="External"/><Relationship Id="rId5" Type="http://schemas.openxmlformats.org/officeDocument/2006/relationships/hyperlink" Target="http://www.sec.gov/cgi-bin/browse-edgar?action=getcompany&amp;CIK=00016800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672</Words>
  <Characters>3597</Characters>
  <CharactersWithSpaces>4184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