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Dun Haiping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ACM Research,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42307 OSGOOD ROAD, SUITE I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119.98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-2942590</wp:posOffset>
            </wp:positionV>
            <wp:extent cx="7033260" cy="2985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8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and become exercisable immediately prior to the 2022 Annual Meeting of Stockholders of the Issuer, subject to continued service through the vesting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L. Johnson,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0388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581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2021-03-03T16:44:20Z</dcterms:created>
  <dcterms:modified xsi:type="dcterms:W3CDTF">2021-03-03T16:44:20Z</dcterms:modified>
</cp:coreProperties>
</file>