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0001680062</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ACM Research,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CALIFORNIA</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jc w:val="center"/>
        <w:ind w:left="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ACM Research,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42307 OSGOOD ROAD, SUITE I</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FREMONT</w:t>
      </w:r>
      <w:r>
        <w:rPr>
          <w:sz w:val="20"/>
          <w:szCs w:val="20"/>
          <w:color w:val="auto"/>
        </w:rPr>
        <w:tab/>
      </w:r>
      <w:r>
        <w:rPr>
          <w:rFonts w:ascii="Arial" w:cs="Arial" w:eastAsia="Arial" w:hAnsi="Arial"/>
          <w:sz w:val="22"/>
          <w:szCs w:val="22"/>
          <w:color w:val="auto"/>
        </w:rPr>
        <w:t>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94539</w:t>
      </w:r>
      <w:r>
        <w:rPr>
          <w:sz w:val="20"/>
          <w:szCs w:val="20"/>
          <w:color w:val="auto"/>
        </w:rPr>
        <w:tab/>
      </w:r>
      <w:r>
        <w:rPr>
          <w:rFonts w:ascii="Arial" w:cs="Arial" w:eastAsia="Arial" w:hAnsi="Arial"/>
          <w:sz w:val="22"/>
          <w:szCs w:val="22"/>
          <w:color w:val="auto"/>
        </w:rPr>
        <w:t>510-445-3700</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Wang</w:t>
            </w:r>
          </w:p>
        </w:tc>
        <w:tc>
          <w:tcPr>
            <w:tcW w:w="1240" w:type="dxa"/>
            <w:vAlign w:val="bottom"/>
          </w:tcPr>
          <w:p>
            <w:pPr>
              <w:ind w:left="500"/>
              <w:spacing w:after="0"/>
              <w:rPr>
                <w:sz w:val="20"/>
                <w:szCs w:val="20"/>
                <w:color w:val="auto"/>
              </w:rPr>
            </w:pPr>
            <w:r>
              <w:rPr>
                <w:rFonts w:ascii="Arial" w:cs="Arial" w:eastAsia="Arial" w:hAnsi="Arial"/>
                <w:sz w:val="22"/>
                <w:szCs w:val="22"/>
                <w:color w:val="auto"/>
              </w:rPr>
              <w:t>David</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c/o ACM Research,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42307 Osgood Road, Suite I</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Fremont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94539</w:t>
            </w: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4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Dun</w:t>
            </w:r>
          </w:p>
        </w:tc>
        <w:tc>
          <w:tcPr>
            <w:tcW w:w="1240" w:type="dxa"/>
            <w:vAlign w:val="bottom"/>
          </w:tcPr>
          <w:p>
            <w:pPr>
              <w:ind w:left="500"/>
              <w:spacing w:after="0"/>
              <w:rPr>
                <w:sz w:val="20"/>
                <w:szCs w:val="20"/>
                <w:color w:val="auto"/>
              </w:rPr>
            </w:pPr>
            <w:r>
              <w:rPr>
                <w:rFonts w:ascii="Arial" w:cs="Arial" w:eastAsia="Arial" w:hAnsi="Arial"/>
                <w:sz w:val="22"/>
                <w:szCs w:val="22"/>
                <w:color w:val="auto"/>
                <w:w w:val="96"/>
              </w:rPr>
              <w:t>Haiping</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c/o ACM Research,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42307 Osgood Road, Suite I</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Fremont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94539</w:t>
            </w: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Chiao</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Stephen</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ACM Research,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42307 Osgood Road, Suite I</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Fremont</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94539</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Arthur</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84"/>
              </w:rPr>
              <w:t>Robert</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T.</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ACM Research,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42307 Osgood Road, Suite I</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Fremont</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94539</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99"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340" w:type="dxa"/>
            <w:vAlign w:val="bottom"/>
          </w:tcPr>
          <w:p>
            <w:pPr>
              <w:spacing w:after="0"/>
              <w:rPr>
                <w:sz w:val="20"/>
                <w:szCs w:val="20"/>
                <w:color w:val="auto"/>
              </w:rPr>
            </w:pPr>
            <w:r>
              <w:rPr>
                <w:rFonts w:ascii="Arial" w:cs="Arial" w:eastAsia="Arial" w:hAnsi="Arial"/>
                <w:sz w:val="22"/>
                <w:szCs w:val="22"/>
                <w:color w:val="auto"/>
              </w:rPr>
              <w:t>Health Care</w:t>
            </w:r>
          </w:p>
        </w:tc>
        <w:tc>
          <w:tcPr>
            <w:tcW w:w="2900" w:type="dxa"/>
            <w:vAlign w:val="bottom"/>
          </w:tcPr>
          <w:p>
            <w:pPr>
              <w:ind w:left="36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900" w:type="dxa"/>
            <w:vAlign w:val="bottom"/>
            <w:vMerge w:val="restart"/>
          </w:tcPr>
          <w:p>
            <w:pPr>
              <w:ind w:left="36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900" w:type="dxa"/>
            <w:vAlign w:val="bottom"/>
          </w:tcPr>
          <w:p>
            <w:pPr>
              <w:ind w:left="36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340" w:type="dxa"/>
            <w:vAlign w:val="bottom"/>
          </w:tcPr>
          <w:p>
            <w:pPr>
              <w:ind w:left="200"/>
              <w:spacing w:after="0"/>
              <w:rPr>
                <w:sz w:val="20"/>
                <w:szCs w:val="20"/>
                <w:color w:val="auto"/>
              </w:rPr>
            </w:pPr>
            <w:r>
              <w:rPr>
                <w:rFonts w:ascii="Arial" w:cs="Arial" w:eastAsia="Arial" w:hAnsi="Arial"/>
                <w:sz w:val="22"/>
                <w:szCs w:val="22"/>
                <w:color w:val="auto"/>
                <w:w w:val="95"/>
              </w:rPr>
              <w:t>Hospitals &amp; Physicians</w:t>
            </w:r>
          </w:p>
        </w:tc>
        <w:tc>
          <w:tcPr>
            <w:tcW w:w="2900" w:type="dxa"/>
            <w:vAlign w:val="bottom"/>
          </w:tcPr>
          <w:p>
            <w:pPr>
              <w:ind w:left="56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900" w:type="dxa"/>
            <w:vAlign w:val="bottom"/>
          </w:tcPr>
          <w:p>
            <w:pPr>
              <w:ind w:left="56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900" w:type="dxa"/>
            <w:vAlign w:val="bottom"/>
          </w:tcPr>
          <w:p>
            <w:pPr>
              <w:ind w:left="56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Manufacturing</w:t>
            </w:r>
          </w:p>
        </w:tc>
        <w:tc>
          <w:tcPr>
            <w:tcW w:w="2900" w:type="dxa"/>
            <w:vAlign w:val="bottom"/>
          </w:tcPr>
          <w:p>
            <w:pPr>
              <w:ind w:left="36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Real Estate</w:t>
            </w:r>
          </w:p>
        </w:tc>
        <w:tc>
          <w:tcPr>
            <w:tcW w:w="2900" w:type="dxa"/>
            <w:vAlign w:val="bottom"/>
          </w:tcPr>
          <w:p>
            <w:pPr>
              <w:ind w:left="56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00" w:type="dxa"/>
            <w:vAlign w:val="bottom"/>
            <w:vMerge w:val="restart"/>
          </w:tcPr>
          <w:p>
            <w:pPr>
              <w:ind w:left="100"/>
              <w:spacing w:after="0"/>
              <w:rPr>
                <w:sz w:val="20"/>
                <w:szCs w:val="20"/>
                <w:color w:val="auto"/>
              </w:rPr>
            </w:pPr>
            <w:r>
              <w:rPr>
                <w:rFonts w:ascii="Arial" w:cs="Arial" w:eastAsia="Arial" w:hAnsi="Arial"/>
                <w:sz w:val="22"/>
                <w:szCs w:val="22"/>
                <w:color w:val="auto"/>
              </w:rPr>
              <w:t>X Other</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ectPr>
          <w:pgSz w:w="11900" w:h="16899" w:orient="portrait"/>
          <w:cols w:equalWidth="0" w:num="2">
            <w:col w:w="3600" w:space="340"/>
            <w:col w:w="7480"/>
          </w:cols>
          <w:pgMar w:left="240" w:top="153" w:right="239" w:bottom="0" w:gutter="0" w:footer="0" w:header="0"/>
          <w:type w:val="continuous"/>
        </w:sectPr>
      </w:pPr>
    </w:p>
    <w:bookmarkStart w:id="2" w:name="page3"/>
    <w:bookmarkEnd w:id="2"/>
    <w:p>
      <w:pPr>
        <w:ind w:left="40"/>
        <w:spacing w:after="0"/>
        <w:tabs>
          <w:tab w:leader="none" w:pos="4280" w:val="left"/>
        </w:tabs>
        <w:rPr>
          <w:sz w:val="20"/>
          <w:szCs w:val="20"/>
          <w:color w:val="auto"/>
        </w:rPr>
      </w:pPr>
      <w:r>
        <w:rPr>
          <w:rFonts w:ascii="Arial" w:cs="Arial" w:eastAsia="Arial" w:hAnsi="Arial"/>
          <w:sz w:val="22"/>
          <w:szCs w:val="22"/>
          <w:color w:val="auto"/>
        </w:rPr>
        <w:t>X Decline to Disclose</w:t>
      </w:r>
      <w:r>
        <w:rPr>
          <w:sz w:val="20"/>
          <w:szCs w:val="20"/>
          <w:color w:val="auto"/>
        </w:rPr>
        <w:tab/>
      </w:r>
      <w:r>
        <w:rPr>
          <w:rFonts w:ascii="Arial" w:cs="Arial" w:eastAsia="Arial" w:hAnsi="Arial"/>
          <w:sz w:val="19"/>
          <w:szCs w:val="19"/>
          <w:color w:val="auto"/>
        </w:rPr>
        <w:t>Decline to Disclose</w:t>
      </w:r>
    </w:p>
    <w:p>
      <w:pPr>
        <w:spacing w:after="0" w:line="44" w:lineRule="exact"/>
        <w:rPr>
          <w:sz w:val="20"/>
          <w:szCs w:val="20"/>
          <w:color w:val="auto"/>
        </w:rPr>
      </w:pPr>
    </w:p>
    <w:p>
      <w:pPr>
        <w:ind w:left="260"/>
        <w:spacing w:after="0"/>
        <w:tabs>
          <w:tab w:leader="none" w:pos="4280" w:val="left"/>
        </w:tabs>
        <w:rPr>
          <w:sz w:val="20"/>
          <w:szCs w:val="20"/>
          <w:color w:val="auto"/>
        </w:rPr>
      </w:pPr>
      <w:r>
        <w:rPr>
          <w:rFonts w:ascii="Arial" w:cs="Arial" w:eastAsia="Arial" w:hAnsi="Arial"/>
          <w:sz w:val="22"/>
          <w:szCs w:val="22"/>
          <w:color w:val="auto"/>
        </w:rPr>
        <w:t>Not Applicable</w:t>
      </w:r>
      <w:r>
        <w:rPr>
          <w:sz w:val="20"/>
          <w:szCs w:val="20"/>
          <w:color w:val="auto"/>
        </w:rPr>
        <w:tab/>
      </w:r>
      <w:r>
        <w:rPr>
          <w:rFonts w:ascii="Arial" w:cs="Arial" w:eastAsia="Arial" w:hAnsi="Arial"/>
          <w:sz w:val="19"/>
          <w:szCs w:val="19"/>
          <w:color w:val="auto"/>
        </w:rPr>
        <w:t>Not Applicable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92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920"/>
          </w:cols>
          <w:pgMar w:left="240" w:top="172" w:right="739"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6280"/>
          </w:cols>
          <w:pgMar w:left="240" w:top="172" w:right="739" w:bottom="0" w:gutter="0" w:footer="0" w:header="0"/>
          <w:type w:val="continuous"/>
        </w:sectPr>
      </w:pPr>
    </w:p>
    <w:p>
      <w:pPr>
        <w:spacing w:after="0" w:line="47" w:lineRule="exact"/>
        <w:rPr>
          <w:sz w:val="20"/>
          <w:szCs w:val="20"/>
          <w:color w:val="auto"/>
        </w:rPr>
      </w:pPr>
    </w:p>
    <w:p>
      <w:pPr>
        <w:ind w:left="40"/>
        <w:spacing w:after="0"/>
        <w:tabs>
          <w:tab w:leader="none" w:pos="4300" w:val="left"/>
        </w:tabs>
        <w:rPr>
          <w:sz w:val="20"/>
          <w:szCs w:val="20"/>
          <w:color w:val="auto"/>
        </w:rPr>
      </w:pPr>
      <w:r>
        <w:rPr>
          <w:rFonts w:ascii="Arial" w:cs="Arial" w:eastAsia="Arial" w:hAnsi="Arial"/>
          <w:sz w:val="22"/>
          <w:szCs w:val="22"/>
          <w:color w:val="auto"/>
        </w:rPr>
        <w:t>X New Notice  Date of First Sale 2016-08-01</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Amendment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p>
      <w:pPr>
        <w:ind w:left="40"/>
        <w:spacing w:after="0"/>
        <w:tabs>
          <w:tab w:leader="none" w:pos="5900" w:val="left"/>
        </w:tabs>
        <w:rPr>
          <w:sz w:val="20"/>
          <w:szCs w:val="20"/>
          <w:color w:val="auto"/>
        </w:rPr>
      </w:pPr>
      <w:r>
        <w:rPr>
          <w:rFonts w:ascii="Arial" w:cs="Arial" w:eastAsia="Arial" w:hAnsi="Arial"/>
          <w:sz w:val="22"/>
          <w:szCs w:val="22"/>
          <w:color w:val="auto"/>
        </w:rPr>
        <w:t>X Equity</w:t>
      </w:r>
      <w:r>
        <w:rPr>
          <w:sz w:val="20"/>
          <w:szCs w:val="20"/>
          <w:color w:val="auto"/>
        </w:rPr>
        <w:tab/>
      </w:r>
      <w:r>
        <w:rPr>
          <w:rFonts w:ascii="Arial" w:cs="Arial" w:eastAsia="Arial" w:hAnsi="Arial"/>
          <w:sz w:val="19"/>
          <w:szCs w:val="19"/>
          <w:color w:val="auto"/>
        </w:rPr>
        <w:t>Pooled Investment Fund Interests</w:t>
      </w:r>
    </w:p>
    <w:p>
      <w:pPr>
        <w:spacing w:after="0" w:line="44"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22"/>
          <w:szCs w:val="22"/>
          <w:color w:val="auto"/>
        </w:rPr>
        <w:t>Debt</w:t>
      </w:r>
      <w:r>
        <w:rPr>
          <w:sz w:val="20"/>
          <w:szCs w:val="20"/>
          <w:color w:val="auto"/>
        </w:rPr>
        <w:tab/>
      </w:r>
      <w:r>
        <w:rPr>
          <w:rFonts w:ascii="Arial" w:cs="Arial" w:eastAsia="Arial" w:hAnsi="Arial"/>
          <w:sz w:val="22"/>
          <w:szCs w:val="22"/>
          <w:color w:val="auto"/>
        </w:rPr>
        <w:t>Tenant-in-Common Securities</w:t>
      </w:r>
    </w:p>
    <w:p>
      <w:pPr>
        <w:spacing w:after="0" w:line="44"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22"/>
          <w:szCs w:val="22"/>
          <w:color w:val="auto"/>
        </w:rPr>
        <w:t>Option, Warrant or Other Right to Acquire Another Security</w:t>
      </w:r>
      <w:r>
        <w:rPr>
          <w:sz w:val="20"/>
          <w:szCs w:val="20"/>
          <w:color w:val="auto"/>
        </w:rPr>
        <w:tab/>
      </w:r>
      <w:r>
        <w:rPr>
          <w:rFonts w:ascii="Arial" w:cs="Arial" w:eastAsia="Arial" w:hAnsi="Arial"/>
          <w:sz w:val="19"/>
          <w:szCs w:val="19"/>
          <w:color w:val="auto"/>
        </w:rPr>
        <w:t>Mineral Property Securities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40" w:type="dxa"/>
            <w:vAlign w:val="bottom"/>
          </w:tcPr>
          <w:p>
            <w:pPr>
              <w:ind w:left="260"/>
              <w:spacing w:after="0"/>
              <w:rPr>
                <w:sz w:val="20"/>
                <w:szCs w:val="20"/>
                <w:color w:val="auto"/>
              </w:rPr>
            </w:pPr>
            <w:r>
              <w:rPr>
                <w:rFonts w:ascii="Arial" w:cs="Arial" w:eastAsia="Arial" w:hAnsi="Arial"/>
                <w:sz w:val="22"/>
                <w:szCs w:val="22"/>
                <w:color w:val="auto"/>
                <w:w w:val="94"/>
              </w:rPr>
              <w:t>Security to be Acquired Upon Exercise of Option, Warrant or</w:t>
            </w:r>
          </w:p>
        </w:tc>
        <w:tc>
          <w:tcPr>
            <w:tcW w:w="2180" w:type="dxa"/>
            <w:vAlign w:val="bottom"/>
            <w:vMerge w:val="restart"/>
          </w:tcPr>
          <w:p>
            <w:pPr>
              <w:ind w:left="80"/>
              <w:spacing w:after="0"/>
              <w:rPr>
                <w:sz w:val="20"/>
                <w:szCs w:val="20"/>
                <w:color w:val="auto"/>
              </w:rPr>
            </w:pPr>
            <w:r>
              <w:rPr>
                <w:rFonts w:ascii="Arial" w:cs="Arial" w:eastAsia="Arial" w:hAnsi="Arial"/>
                <w:sz w:val="22"/>
                <w:szCs w:val="22"/>
                <w:color w:val="auto"/>
              </w:rPr>
              <w:t>Other (describe)</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8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1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840" w:type="dxa"/>
            <w:vAlign w:val="bottom"/>
            <w:vMerge w:val="continue"/>
          </w:tcPr>
          <w:p>
            <w:pPr>
              <w:spacing w:after="0"/>
              <w:rPr>
                <w:sz w:val="10"/>
                <w:szCs w:val="10"/>
                <w:color w:val="auto"/>
              </w:rPr>
            </w:pPr>
          </w:p>
        </w:tc>
        <w:tc>
          <w:tcPr>
            <w:tcW w:w="2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58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020" w:type="dxa"/>
            <w:vAlign w:val="bottom"/>
            <w:gridSpan w:val="2"/>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8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1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840" w:type="dxa"/>
            <w:vAlign w:val="bottom"/>
            <w:vMerge w:val="continue"/>
          </w:tcPr>
          <w:p>
            <w:pPr>
              <w:spacing w:after="0"/>
              <w:rPr>
                <w:sz w:val="10"/>
                <w:szCs w:val="10"/>
                <w:color w:val="auto"/>
              </w:rPr>
            </w:pPr>
          </w:p>
        </w:tc>
        <w:tc>
          <w:tcPr>
            <w:tcW w:w="2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58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40" w:type="dxa"/>
            <w:vAlign w:val="bottom"/>
          </w:tcPr>
          <w:p>
            <w:pPr>
              <w:spacing w:after="0"/>
              <w:rPr>
                <w:sz w:val="20"/>
                <w:szCs w:val="20"/>
                <w:color w:val="auto"/>
              </w:rPr>
            </w:pPr>
            <w:r>
              <w:rPr>
                <w:rFonts w:ascii="Arial" w:cs="Arial" w:eastAsia="Arial" w:hAnsi="Arial"/>
                <w:sz w:val="22"/>
                <w:szCs w:val="22"/>
                <w:color w:val="auto"/>
              </w:rPr>
              <w:t>11. Minimum Investment</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20"/>
          </w:cols>
          <w:pgMar w:left="240" w:top="172" w:right="739" w:bottom="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jc w:val="right"/>
        <w:ind w:left="80" w:right="480"/>
        <w:spacing w:after="0" w:line="416" w:lineRule="auto"/>
        <w:rPr>
          <w:sz w:val="20"/>
          <w:szCs w:val="20"/>
          <w:color w:val="auto"/>
        </w:rPr>
      </w:pPr>
      <w:r>
        <w:rPr>
          <w:rFonts w:ascii="Arial" w:cs="Arial" w:eastAsia="Arial" w:hAnsi="Arial"/>
          <w:sz w:val="22"/>
          <w:szCs w:val="22"/>
          <w:color w:val="auto"/>
        </w:rPr>
        <w:t xml:space="preserve">(Associated) Broker or Dealer X None </w:t>
      </w:r>
      <w:r>
        <w:rPr>
          <w:rFonts w:ascii="Arial" w:cs="Arial" w:eastAsia="Arial" w:hAnsi="Arial"/>
          <w:sz w:val="22"/>
          <w:szCs w:val="22"/>
          <w:b w:val="1"/>
          <w:bCs w:val="1"/>
          <w:color w:val="auto"/>
        </w:rPr>
        <w:t>Street Address 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jc w:val="both"/>
        <w:ind w:left="80"/>
        <w:spacing w:after="0" w:line="247" w:lineRule="auto"/>
        <w:rPr>
          <w:sz w:val="20"/>
          <w:szCs w:val="20"/>
          <w:color w:val="auto"/>
        </w:rPr>
      </w:pPr>
      <w:r>
        <w:rPr>
          <w:rFonts w:ascii="Arial" w:cs="Arial" w:eastAsia="Arial" w:hAnsi="Arial"/>
          <w:sz w:val="22"/>
          <w:szCs w:val="22"/>
          <w:color w:val="auto"/>
        </w:rPr>
        <w:t>State(s) of Solicitation (select all that apply) Check â€œAll Statesâ€ or check individual States</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 CRD Number X None</w:t>
      </w:r>
    </w:p>
    <w:p>
      <w:pPr>
        <w:spacing w:after="0" w:line="125" w:lineRule="exact"/>
        <w:rPr>
          <w:sz w:val="20"/>
          <w:szCs w:val="20"/>
          <w:color w:val="auto"/>
        </w:rPr>
      </w:pPr>
    </w:p>
    <w:p>
      <w:pPr>
        <w:ind w:left="40"/>
        <w:spacing w:after="0" w:line="251" w:lineRule="auto"/>
        <w:rPr>
          <w:sz w:val="20"/>
          <w:szCs w:val="20"/>
          <w:color w:val="auto"/>
        </w:rPr>
      </w:pPr>
      <w:r>
        <w:rPr>
          <w:rFonts w:ascii="Arial" w:cs="Arial" w:eastAsia="Arial" w:hAnsi="Arial"/>
          <w:sz w:val="22"/>
          <w:szCs w:val="22"/>
          <w:color w:val="auto"/>
        </w:rPr>
        <w:t>(Associated) Broker or Dealer CRD Number</w:t>
      </w:r>
    </w:p>
    <w:p>
      <w:pPr>
        <w:spacing w:after="0" w:line="46" w:lineRule="exact"/>
        <w:rPr>
          <w:sz w:val="20"/>
          <w:szCs w:val="20"/>
          <w:color w:val="auto"/>
        </w:rPr>
      </w:pPr>
    </w:p>
    <w:p>
      <w:pPr>
        <w:ind w:right="140" w:firstLine="1490"/>
        <w:spacing w:after="0" w:line="454" w:lineRule="auto"/>
        <w:rPr>
          <w:sz w:val="20"/>
          <w:szCs w:val="20"/>
          <w:color w:val="auto"/>
        </w:rPr>
      </w:pPr>
      <w:r>
        <w:rPr>
          <w:rFonts w:ascii="Arial" w:cs="Arial" w:eastAsia="Arial" w:hAnsi="Arial"/>
          <w:sz w:val="21"/>
          <w:szCs w:val="21"/>
          <w:b w:val="1"/>
          <w:bCs w:val="1"/>
          <w:color w:val="auto"/>
        </w:rPr>
        <w:t xml:space="preserve">Street Address 2 </w:t>
      </w:r>
      <w:r>
        <w:rPr>
          <w:rFonts w:ascii="Arial" w:cs="Arial" w:eastAsia="Arial" w:hAnsi="Arial"/>
          <w:sz w:val="21"/>
          <w:szCs w:val="21"/>
          <w:color w:val="auto"/>
        </w:rPr>
        <w:t>State/Province/Country</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1559" w:lineRule="exact"/>
        <w:rPr>
          <w:sz w:val="20"/>
          <w:szCs w:val="20"/>
          <w:color w:val="auto"/>
        </w:rPr>
      </w:pPr>
    </w:p>
    <w:p>
      <w:pPr>
        <w:sectPr>
          <w:pgSz w:w="11900" w:h="16838" w:orient="portrait"/>
          <w:cols w:equalWidth="0" w:num="4">
            <w:col w:w="3960" w:space="580"/>
            <w:col w:w="520" w:space="400"/>
            <w:col w:w="3140" w:space="620"/>
            <w:col w:w="1700"/>
          </w:cols>
          <w:pgMar w:left="240" w:top="172" w:right="739" w:bottom="0" w:gutter="0" w:footer="0" w:header="0"/>
          <w:type w:val="continuous"/>
        </w:sectPr>
      </w:pP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220" w:type="dxa"/>
            <w:vAlign w:val="bottom"/>
          </w:tcPr>
          <w:p>
            <w:pPr>
              <w:spacing w:after="0"/>
              <w:rPr>
                <w:sz w:val="20"/>
                <w:szCs w:val="20"/>
                <w:color w:val="auto"/>
              </w:rPr>
            </w:pPr>
            <w:r>
              <w:rPr>
                <w:rFonts w:ascii="Arial" w:cs="Arial" w:eastAsia="Arial" w:hAnsi="Arial"/>
                <w:sz w:val="22"/>
                <w:szCs w:val="22"/>
                <w:color w:val="auto"/>
              </w:rPr>
              <w:t>Total Offering Amount</w:t>
            </w:r>
          </w:p>
        </w:tc>
        <w:tc>
          <w:tcPr>
            <w:tcW w:w="1320" w:type="dxa"/>
            <w:vAlign w:val="bottom"/>
          </w:tcPr>
          <w:p>
            <w:pPr>
              <w:jc w:val="right"/>
              <w:spacing w:after="0"/>
              <w:rPr>
                <w:sz w:val="20"/>
                <w:szCs w:val="20"/>
                <w:color w:val="auto"/>
              </w:rPr>
            </w:pPr>
            <w:r>
              <w:rPr>
                <w:rFonts w:ascii="Arial" w:cs="Arial" w:eastAsia="Arial" w:hAnsi="Arial"/>
                <w:sz w:val="22"/>
                <w:szCs w:val="22"/>
                <w:color w:val="auto"/>
              </w:rPr>
              <w:t>$15,000,000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1300" w:type="dxa"/>
            <w:vAlign w:val="bottom"/>
          </w:tcPr>
          <w:p>
            <w:pPr>
              <w:ind w:left="60"/>
              <w:spacing w:after="0"/>
              <w:rPr>
                <w:sz w:val="20"/>
                <w:szCs w:val="20"/>
                <w:color w:val="auto"/>
              </w:rPr>
            </w:pPr>
            <w:r>
              <w:rPr>
                <w:rFonts w:ascii="Arial" w:cs="Arial" w:eastAsia="Arial" w:hAnsi="Arial"/>
                <w:sz w:val="22"/>
                <w:szCs w:val="22"/>
                <w:color w:val="auto"/>
              </w:rPr>
              <w:t>or  Indefinite</w:t>
            </w:r>
          </w:p>
        </w:tc>
      </w:tr>
      <w:tr>
        <w:trPr>
          <w:trHeight w:val="338"/>
        </w:trPr>
        <w:tc>
          <w:tcPr>
            <w:tcW w:w="2220" w:type="dxa"/>
            <w:vAlign w:val="bottom"/>
          </w:tcPr>
          <w:p>
            <w:pPr>
              <w:spacing w:after="0"/>
              <w:rPr>
                <w:sz w:val="20"/>
                <w:szCs w:val="20"/>
                <w:color w:val="auto"/>
              </w:rPr>
            </w:pPr>
            <w:r>
              <w:rPr>
                <w:rFonts w:ascii="Arial" w:cs="Arial" w:eastAsia="Arial" w:hAnsi="Arial"/>
                <w:sz w:val="22"/>
                <w:szCs w:val="22"/>
                <w:color w:val="auto"/>
              </w:rPr>
              <w:t>Total Amount Sold</w:t>
            </w:r>
          </w:p>
        </w:tc>
        <w:tc>
          <w:tcPr>
            <w:tcW w:w="1320" w:type="dxa"/>
            <w:vAlign w:val="bottom"/>
          </w:tcPr>
          <w:p>
            <w:pPr>
              <w:jc w:val="right"/>
              <w:spacing w:after="0"/>
              <w:rPr>
                <w:sz w:val="20"/>
                <w:szCs w:val="20"/>
                <w:color w:val="auto"/>
              </w:rPr>
            </w:pPr>
            <w:r>
              <w:rPr>
                <w:rFonts w:ascii="Arial" w:cs="Arial" w:eastAsia="Arial" w:hAnsi="Arial"/>
                <w:sz w:val="22"/>
                <w:szCs w:val="22"/>
                <w:color w:val="auto"/>
              </w:rPr>
              <w:t>$15,000,000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1300" w:type="dxa"/>
            <w:vAlign w:val="bottom"/>
          </w:tcPr>
          <w:p>
            <w:pPr>
              <w:spacing w:after="0"/>
              <w:rPr>
                <w:sz w:val="24"/>
                <w:szCs w:val="24"/>
                <w:color w:val="auto"/>
              </w:rPr>
            </w:pPr>
          </w:p>
        </w:tc>
      </w:tr>
    </w:tbl>
    <w:p>
      <w:pPr>
        <w:sectPr>
          <w:pgSz w:w="11900" w:h="16838" w:orient="portrait"/>
          <w:cols w:equalWidth="0" w:num="1">
            <w:col w:w="10920"/>
          </w:cols>
          <w:pgMar w:left="240" w:top="172" w:right="739" w:bottom="0" w:gutter="0" w:footer="0" w:header="0"/>
          <w:type w:val="continuous"/>
        </w:sectPr>
      </w:pPr>
    </w:p>
    <w:bookmarkStart w:id="3" w:name="page4"/>
    <w:bookmarkEnd w:id="3"/>
    <w:p>
      <w:pPr>
        <w:ind w:left="40"/>
        <w:spacing w:after="0"/>
        <w:tabs>
          <w:tab w:leader="none" w:pos="3320" w:val="left"/>
          <w:tab w:leader="none" w:pos="4540" w:val="left"/>
        </w:tabs>
        <w:rPr>
          <w:sz w:val="20"/>
          <w:szCs w:val="20"/>
          <w:color w:val="auto"/>
        </w:rPr>
      </w:pPr>
      <w:r>
        <w:rPr>
          <w:rFonts w:ascii="Arial" w:cs="Arial" w:eastAsia="Arial" w:hAnsi="Arial"/>
          <w:sz w:val="22"/>
          <w:szCs w:val="22"/>
          <w:color w:val="auto"/>
        </w:rPr>
        <w:t>Total Remaining to be Sold</w:t>
      </w:r>
      <w:r>
        <w:rPr>
          <w:sz w:val="20"/>
          <w:szCs w:val="20"/>
          <w:color w:val="auto"/>
        </w:rPr>
        <w:tab/>
      </w:r>
      <w:r>
        <w:rPr>
          <w:rFonts w:ascii="Arial" w:cs="Arial" w:eastAsia="Arial" w:hAnsi="Arial"/>
          <w:sz w:val="22"/>
          <w:szCs w:val="22"/>
          <w:color w:val="auto"/>
        </w:rPr>
        <w:t>$0 USD or</w:t>
      </w:r>
      <w:r>
        <w:rPr>
          <w:sz w:val="20"/>
          <w:szCs w:val="20"/>
          <w:color w:val="auto"/>
        </w:rPr>
        <w:tab/>
      </w:r>
      <w:r>
        <w:rPr>
          <w:rFonts w:ascii="Arial" w:cs="Arial" w:eastAsia="Arial" w:hAnsi="Arial"/>
          <w:sz w:val="19"/>
          <w:szCs w:val="19"/>
          <w:color w:val="auto"/>
        </w:rPr>
        <w:t>Indefinite</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27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117"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117"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117"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100" w:type="dxa"/>
            <w:vAlign w:val="bottom"/>
            <w:tcBorders>
              <w:top w:val="single" w:sz="8" w:color="2C2C2C"/>
              <w:bottom w:val="single" w:sz="8" w:color="808080"/>
            </w:tcBorders>
          </w:tcPr>
          <w:p>
            <w:pPr>
              <w:ind w:left="12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380" w:type="dxa"/>
            <w:vAlign w:val="bottom"/>
            <w:tcBorders>
              <w:top w:val="single" w:sz="8" w:color="2C2C2C"/>
              <w:bottom w:val="single" w:sz="8" w:color="808080"/>
            </w:tcBorders>
          </w:tcPr>
          <w:p>
            <w:pPr>
              <w:ind w:left="74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500" w:type="dxa"/>
            <w:vAlign w:val="bottom"/>
            <w:tcBorders>
              <w:top w:val="single" w:sz="8" w:color="2C2C2C"/>
              <w:bottom w:val="single" w:sz="8" w:color="808080"/>
            </w:tcBorders>
          </w:tcPr>
          <w:p>
            <w:pPr>
              <w:ind w:left="54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1460" w:type="dxa"/>
            <w:vAlign w:val="bottom"/>
            <w:tcBorders>
              <w:top w:val="single" w:sz="8" w:color="2C2C2C"/>
              <w:bottom w:val="single" w:sz="8" w:color="808080"/>
            </w:tcBorders>
          </w:tcPr>
          <w:p>
            <w:pPr>
              <w:ind w:left="52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820" w:type="dxa"/>
            <w:vAlign w:val="bottom"/>
            <w:tcBorders>
              <w:top w:val="single" w:sz="8" w:color="2C2C2C"/>
              <w:bottom w:val="single" w:sz="8" w:color="808080"/>
            </w:tcBorders>
          </w:tcPr>
          <w:p>
            <w:pPr>
              <w:jc w:val="right"/>
              <w:ind w:right="5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1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ACM Research, Inc.</w:t>
            </w:r>
          </w:p>
        </w:tc>
        <w:tc>
          <w:tcPr>
            <w:tcW w:w="20" w:type="dxa"/>
            <w:vAlign w:val="bottom"/>
          </w:tcPr>
          <w:p>
            <w:pPr>
              <w:spacing w:after="0"/>
              <w:rPr>
                <w:sz w:val="22"/>
                <w:szCs w:val="22"/>
                <w:color w:val="auto"/>
              </w:rPr>
            </w:pPr>
          </w:p>
        </w:tc>
        <w:tc>
          <w:tcPr>
            <w:tcW w:w="23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David Wang</w:t>
            </w:r>
          </w:p>
        </w:tc>
        <w:tc>
          <w:tcPr>
            <w:tcW w:w="20" w:type="dxa"/>
            <w:vAlign w:val="bottom"/>
          </w:tcPr>
          <w:p>
            <w:pPr>
              <w:spacing w:after="0"/>
              <w:rPr>
                <w:sz w:val="22"/>
                <w:szCs w:val="22"/>
                <w:color w:val="auto"/>
              </w:rPr>
            </w:pPr>
          </w:p>
        </w:tc>
        <w:tc>
          <w:tcPr>
            <w:tcW w:w="25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David Wang</w:t>
            </w:r>
          </w:p>
        </w:tc>
        <w:tc>
          <w:tcPr>
            <w:tcW w:w="20" w:type="dxa"/>
            <w:vAlign w:val="bottom"/>
          </w:tcPr>
          <w:p>
            <w:pPr>
              <w:spacing w:after="0"/>
              <w:rPr>
                <w:sz w:val="22"/>
                <w:szCs w:val="22"/>
                <w:color w:val="auto"/>
              </w:rPr>
            </w:pPr>
          </w:p>
        </w:tc>
        <w:tc>
          <w:tcPr>
            <w:tcW w:w="14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President</w:t>
            </w:r>
          </w:p>
        </w:tc>
        <w:tc>
          <w:tcPr>
            <w:tcW w:w="20" w:type="dxa"/>
            <w:vAlign w:val="bottom"/>
          </w:tcPr>
          <w:p>
            <w:pPr>
              <w:spacing w:after="0"/>
              <w:rPr>
                <w:sz w:val="22"/>
                <w:szCs w:val="22"/>
                <w:color w:val="auto"/>
              </w:rPr>
            </w:pPr>
          </w:p>
        </w:tc>
        <w:tc>
          <w:tcPr>
            <w:tcW w:w="1820" w:type="dxa"/>
            <w:vAlign w:val="bottom"/>
            <w:tcBorders>
              <w:top w:val="single" w:sz="8" w:color="2C2C2C"/>
              <w:bottom w:val="single" w:sz="8" w:color="808080"/>
            </w:tcBorders>
          </w:tcPr>
          <w:p>
            <w:pPr>
              <w:jc w:val="right"/>
              <w:ind w:right="672"/>
              <w:spacing w:after="0"/>
              <w:rPr>
                <w:sz w:val="20"/>
                <w:szCs w:val="20"/>
                <w:color w:val="auto"/>
              </w:rPr>
            </w:pPr>
            <w:r>
              <w:rPr>
                <w:rFonts w:ascii="Arial" w:cs="Arial" w:eastAsia="Arial" w:hAnsi="Arial"/>
                <w:sz w:val="22"/>
                <w:szCs w:val="22"/>
                <w:color w:val="auto"/>
                <w:w w:val="90"/>
              </w:rPr>
              <w:t>2016-08-15</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3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ectPr>
          <w:pgSz w:w="11900" w:h="16838" w:orient="portrait"/>
          <w:cols w:equalWidth="0" w:num="1">
            <w:col w:w="11420"/>
          </w:cols>
          <w:pgMar w:left="240" w:top="118" w:right="239" w:bottom="117" w:gutter="0" w:footer="0" w:header="0"/>
          <w:type w:val="continuous"/>
        </w:sectPr>
      </w:pPr>
    </w:p>
    <w:bookmarkStart w:id="4" w:name="page5"/>
    <w:bookmarkEnd w:id="4"/>
    <w:p>
      <w:pPr>
        <w:ind w:right="4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4" w:lineRule="exact"/>
        <w:rPr>
          <w:sz w:val="20"/>
          <w:szCs w:val="20"/>
          <w:color w:val="auto"/>
        </w:rPr>
      </w:pPr>
    </w:p>
    <w:p>
      <w:pPr>
        <w:ind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280"/>
      </w:cols>
      <w:pgMar w:left="24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12"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2019-12-09T02:37:44Z</dcterms:created>
  <dcterms:modified xsi:type="dcterms:W3CDTF">2019-12-09T02:37:44Z</dcterms:modified>
</cp:coreProperties>
</file>