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 2022</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i w:val="1"/>
          <w:i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00" w:lineRule="exact"/>
        <w:rPr>
          <w:sz w:val="24"/>
          <w:szCs w:val="24"/>
          <w:color w:val="auto"/>
        </w:rPr>
      </w:pPr>
    </w:p>
    <w:p>
      <w:pPr>
        <w:sectPr>
          <w:pgSz w:w="11900" w:h="16838" w:orient="portrait"/>
          <w:cols w:equalWidth="0" w:num="3">
            <w:col w:w="4460" w:space="720"/>
            <w:col w:w="2900" w:space="720"/>
            <w:col w:w="2440"/>
          </w:cols>
          <w:pgMar w:left="320" w:top="529"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29"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right="2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or ACM Shanghai, are listed on the Sci-Tech innovation board, or the STAR Market, of the Shanghai Stock Exchange, or the SSE. In accordance with the SSE’s rules governing the STAR Market, ACM Shanghai filed with the SSE a Record of August 2022 Investor Relations Activity, or the Record. The SSE posted the Record to the SSE’s website on September 2, 2022. A copy of the Record is included as exhibit 99.01 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080" w:hanging="888"/>
        <w:spacing w:after="0" w:line="282" w:lineRule="auto"/>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99.01*</w:t>
      </w:r>
      <w:r>
        <w:rPr>
          <w:sz w:val="20"/>
          <w:szCs w:val="20"/>
          <w:color w:val="auto"/>
        </w:rPr>
        <w:tab/>
      </w:r>
      <w:r>
        <w:rPr>
          <w:rFonts w:ascii="Times New Roman" w:cs="Times New Roman" w:eastAsia="Times New Roman" w:hAnsi="Times New Roman"/>
          <w:sz w:val="18"/>
          <w:szCs w:val="18"/>
          <w:color w:val="auto"/>
        </w:rPr>
        <w:t>Record of August 2022 Investor Relations Activity filed by ACM Research (Shanghai), Inc. with the Shanghai Stock Exchange on September 2, 2022</w:t>
      </w:r>
    </w:p>
    <w:p>
      <w:pPr>
        <w:spacing w:after="0" w:line="162" w:lineRule="exact"/>
        <w:rPr>
          <w:sz w:val="20"/>
          <w:szCs w:val="20"/>
          <w:color w:val="auto"/>
        </w:rPr>
      </w:pPr>
    </w:p>
    <w:p>
      <w:pPr>
        <w:ind w:right="4860" w:firstLine="298"/>
        <w:spacing w:after="0" w:line="578" w:lineRule="auto"/>
        <w:tabs>
          <w:tab w:leader="none" w:pos="1066"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XBRL document) * Unofficial English translation of original document prepared in Mandarin Chinese.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26035</wp:posOffset>
            </wp:positionV>
            <wp:extent cx="33343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2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020" w:type="dxa"/>
            <w:vAlign w:val="bottom"/>
          </w:tcPr>
          <w:p>
            <w:pPr>
              <w:spacing w:after="0"/>
              <w:rPr>
                <w:sz w:val="20"/>
                <w:szCs w:val="20"/>
                <w:color w:val="auto"/>
              </w:rPr>
            </w:pPr>
          </w:p>
        </w:tc>
        <w:tc>
          <w:tcPr>
            <w:tcW w:w="4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Stock Code: 688082</w:t>
            </w:r>
          </w:p>
        </w:tc>
        <w:tc>
          <w:tcPr>
            <w:tcW w:w="900" w:type="dxa"/>
            <w:vAlign w:val="bottom"/>
          </w:tcPr>
          <w:p>
            <w:pPr>
              <w:spacing w:after="0"/>
              <w:rPr>
                <w:sz w:val="20"/>
                <w:szCs w:val="20"/>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Short Name: ACMSH</w:t>
            </w: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560" w:type="dxa"/>
            <w:vAlign w:val="bottom"/>
            <w:gridSpan w:val="4"/>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ACM Research (Shanghai), Inc.</w:t>
            </w:r>
          </w:p>
        </w:tc>
        <w:tc>
          <w:tcPr>
            <w:tcW w:w="0" w:type="dxa"/>
            <w:vAlign w:val="bottom"/>
          </w:tcPr>
          <w:p>
            <w:pPr>
              <w:spacing w:after="0"/>
              <w:rPr>
                <w:sz w:val="1"/>
                <w:szCs w:val="1"/>
                <w:color w:val="auto"/>
              </w:rPr>
            </w:pPr>
          </w:p>
        </w:tc>
      </w:tr>
      <w:tr>
        <w:trPr>
          <w:trHeight w:val="432"/>
        </w:trPr>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560" w:type="dxa"/>
            <w:vAlign w:val="bottom"/>
            <w:gridSpan w:val="4"/>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Records of Investor Relation Activities in August 2022</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2"/>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20" w:type="dxa"/>
            <w:vAlign w:val="bottom"/>
            <w:tcBorders>
              <w:left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Categories of investor</w:t>
            </w:r>
          </w:p>
        </w:tc>
        <w:tc>
          <w:tcPr>
            <w:tcW w:w="260" w:type="dxa"/>
            <w:vAlign w:val="bottom"/>
            <w:tcBorders>
              <w:right w:val="single" w:sz="8" w:color="auto"/>
            </w:tcBorders>
          </w:tcPr>
          <w:p>
            <w:pPr>
              <w:spacing w:after="0"/>
              <w:rPr>
                <w:sz w:val="17"/>
                <w:szCs w:val="17"/>
                <w:color w:val="auto"/>
              </w:rPr>
            </w:pPr>
          </w:p>
        </w:tc>
        <w:tc>
          <w:tcPr>
            <w:tcW w:w="4360" w:type="dxa"/>
            <w:vAlign w:val="bottom"/>
            <w:gridSpan w:val="2"/>
          </w:tcPr>
          <w:p>
            <w:pPr>
              <w:spacing w:after="0" w:line="203" w:lineRule="exact"/>
              <w:rPr>
                <w:sz w:val="20"/>
                <w:szCs w:val="20"/>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Specific object survey</w:t>
            </w:r>
          </w:p>
        </w:tc>
        <w:tc>
          <w:tcPr>
            <w:tcW w:w="4600" w:type="dxa"/>
            <w:vAlign w:val="bottom"/>
            <w:tcBorders>
              <w:right w:val="single" w:sz="8" w:color="auto"/>
            </w:tcBorders>
            <w:gridSpan w:val="3"/>
          </w:tcPr>
          <w:p>
            <w:pPr>
              <w:ind w:left="100"/>
              <w:spacing w:after="0" w:line="20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Analyst meeting</w:t>
            </w:r>
          </w:p>
        </w:tc>
        <w:tc>
          <w:tcPr>
            <w:tcW w:w="0" w:type="dxa"/>
            <w:vAlign w:val="bottom"/>
          </w:tcPr>
          <w:p>
            <w:pPr>
              <w:spacing w:after="0"/>
              <w:rPr>
                <w:sz w:val="1"/>
                <w:szCs w:val="1"/>
                <w:color w:val="auto"/>
              </w:rPr>
            </w:pPr>
          </w:p>
        </w:tc>
      </w:tr>
      <w:tr>
        <w:trPr>
          <w:trHeight w:val="223"/>
        </w:trPr>
        <w:tc>
          <w:tcPr>
            <w:tcW w:w="20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relation activities</w:t>
            </w:r>
          </w:p>
        </w:tc>
        <w:tc>
          <w:tcPr>
            <w:tcW w:w="260" w:type="dxa"/>
            <w:vAlign w:val="bottom"/>
            <w:tcBorders>
              <w:right w:val="single" w:sz="8" w:color="auto"/>
            </w:tcBorders>
          </w:tcPr>
          <w:p>
            <w:pPr>
              <w:spacing w:after="0"/>
              <w:rPr>
                <w:sz w:val="19"/>
                <w:szCs w:val="19"/>
                <w:color w:val="auto"/>
              </w:rPr>
            </w:pPr>
          </w:p>
        </w:tc>
        <w:tc>
          <w:tcPr>
            <w:tcW w:w="43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Media interview</w:t>
            </w:r>
          </w:p>
        </w:tc>
        <w:tc>
          <w:tcPr>
            <w:tcW w:w="460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Performance briefing</w:t>
            </w: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3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Press conference</w:t>
            </w:r>
          </w:p>
        </w:tc>
        <w:tc>
          <w:tcPr>
            <w:tcW w:w="460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Roadshow</w:t>
            </w:r>
          </w:p>
        </w:tc>
        <w:tc>
          <w:tcPr>
            <w:tcW w:w="0" w:type="dxa"/>
            <w:vAlign w:val="bottom"/>
          </w:tcPr>
          <w:p>
            <w:pPr>
              <w:spacing w:after="0"/>
              <w:rPr>
                <w:sz w:val="1"/>
                <w:szCs w:val="1"/>
                <w:color w:val="auto"/>
              </w:rPr>
            </w:pPr>
          </w:p>
        </w:tc>
      </w:tr>
      <w:tr>
        <w:trPr>
          <w:trHeight w:val="222"/>
        </w:trPr>
        <w:tc>
          <w:tcPr>
            <w:tcW w:w="2020" w:type="dxa"/>
            <w:vAlign w:val="bottom"/>
            <w:tcBorders>
              <w:left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436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Site visit</w:t>
            </w:r>
          </w:p>
        </w:tc>
        <w:tc>
          <w:tcPr>
            <w:tcW w:w="4600" w:type="dxa"/>
            <w:vAlign w:val="bottom"/>
            <w:tcBorders>
              <w:right w:val="single" w:sz="8" w:color="auto"/>
            </w:tcBorders>
            <w:gridSpan w:val="3"/>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Others (investor presentation)</w:t>
            </w:r>
          </w:p>
        </w:tc>
        <w:tc>
          <w:tcPr>
            <w:tcW w:w="0" w:type="dxa"/>
            <w:vAlign w:val="bottom"/>
          </w:tcPr>
          <w:p>
            <w:pPr>
              <w:spacing w:after="0"/>
              <w:rPr>
                <w:sz w:val="1"/>
                <w:szCs w:val="1"/>
                <w:color w:val="auto"/>
              </w:rPr>
            </w:pPr>
          </w:p>
        </w:tc>
      </w:tr>
      <w:tr>
        <w:trPr>
          <w:trHeight w:val="28"/>
        </w:trPr>
        <w:tc>
          <w:tcPr>
            <w:tcW w:w="2020" w:type="dxa"/>
            <w:vAlign w:val="bottom"/>
            <w:tcBorders>
              <w:left w:val="single" w:sz="8" w:color="auto"/>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6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August 2022</w:t>
            </w: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Place</w:t>
            </w:r>
          </w:p>
        </w:tc>
        <w:tc>
          <w:tcPr>
            <w:tcW w:w="260" w:type="dxa"/>
            <w:vAlign w:val="bottom"/>
            <w:tcBorders>
              <w:bottom w:val="single" w:sz="8" w:color="auto"/>
              <w:right w:val="single" w:sz="8" w:color="auto"/>
            </w:tcBorders>
          </w:tcPr>
          <w:p>
            <w:pPr>
              <w:spacing w:after="0"/>
              <w:rPr>
                <w:sz w:val="19"/>
                <w:szCs w:val="19"/>
                <w:color w:val="auto"/>
              </w:rPr>
            </w:pPr>
          </w:p>
        </w:tc>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Conference call</w:t>
            </w: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20" w:type="dxa"/>
            <w:vAlign w:val="bottom"/>
            <w:tcBorders>
              <w:left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Receptionists of the listed</w:t>
            </w:r>
          </w:p>
        </w:tc>
        <w:tc>
          <w:tcPr>
            <w:tcW w:w="260" w:type="dxa"/>
            <w:vAlign w:val="bottom"/>
            <w:tcBorders>
              <w:right w:val="single" w:sz="8" w:color="auto"/>
            </w:tcBorders>
          </w:tcPr>
          <w:p>
            <w:pPr>
              <w:spacing w:after="0"/>
              <w:rPr>
                <w:sz w:val="16"/>
                <w:szCs w:val="16"/>
                <w:color w:val="auto"/>
              </w:rPr>
            </w:pPr>
          </w:p>
        </w:tc>
        <w:tc>
          <w:tcPr>
            <w:tcW w:w="4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Chairman: HUI WANG</w:t>
            </w: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60" w:type="dxa"/>
            <w:vAlign w:val="bottom"/>
            <w:tcBorders>
              <w:right w:val="single" w:sz="8" w:color="auto"/>
            </w:tcBorders>
          </w:tcPr>
          <w:p>
            <w:pPr>
              <w:spacing w:after="0"/>
              <w:rPr>
                <w:sz w:val="19"/>
                <w:szCs w:val="19"/>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Manager: JIAN WANG</w:t>
            </w: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 in Charge of Financial Matters: LISA YI LU FENG</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Finance Director: LAN WANG</w:t>
            </w: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20" w:type="dxa"/>
            <w:vAlign w:val="bottom"/>
            <w:tcBorders>
              <w:left w:val="single" w:sz="8" w:color="auto"/>
            </w:tcBorders>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8960" w:type="dxa"/>
            <w:vAlign w:val="bottom"/>
            <w:tcBorders>
              <w:right w:val="single" w:sz="8" w:color="auto"/>
            </w:tcBorders>
            <w:gridSpan w:val="5"/>
          </w:tcPr>
          <w:p>
            <w:pPr>
              <w:spacing w:after="0" w:line="198" w:lineRule="exact"/>
              <w:rPr>
                <w:sz w:val="20"/>
                <w:szCs w:val="20"/>
                <w:color w:val="auto"/>
              </w:rPr>
            </w:pPr>
            <w:r>
              <w:rPr>
                <w:rFonts w:ascii="Times New Roman" w:cs="Times New Roman" w:eastAsia="Times New Roman" w:hAnsi="Times New Roman"/>
                <w:sz w:val="18"/>
                <w:szCs w:val="18"/>
                <w:color w:val="auto"/>
              </w:rPr>
              <w:t>Leaders of ACM Research (Shanghai), Inc. (the “Company”) described the semi-annual performance of the Company, and</w:t>
            </w:r>
          </w:p>
        </w:tc>
        <w:tc>
          <w:tcPr>
            <w:tcW w:w="0" w:type="dxa"/>
            <w:vAlign w:val="bottom"/>
          </w:tcPr>
          <w:p>
            <w:pPr>
              <w:spacing w:after="0"/>
              <w:rPr>
                <w:sz w:val="1"/>
                <w:szCs w:val="1"/>
                <w:color w:val="auto"/>
              </w:rPr>
            </w:pPr>
          </w:p>
        </w:tc>
      </w:tr>
      <w:tr>
        <w:trPr>
          <w:trHeight w:val="234"/>
        </w:trPr>
        <w:tc>
          <w:tcPr>
            <w:tcW w:w="2020" w:type="dxa"/>
            <w:vAlign w:val="bottom"/>
            <w:tcBorders>
              <w:lef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answered questions of concern by investors.</w:t>
            </w: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2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Q&amp;A:</w:t>
            </w: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2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Summary of investor</w:t>
            </w:r>
          </w:p>
        </w:tc>
        <w:tc>
          <w:tcPr>
            <w:tcW w:w="26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85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1. How about the reliance on parts overseas? Will the reliance affect delivery?</w:t>
            </w:r>
          </w:p>
        </w:tc>
        <w:tc>
          <w:tcPr>
            <w:tcW w:w="0" w:type="dxa"/>
            <w:vAlign w:val="bottom"/>
          </w:tcPr>
          <w:p>
            <w:pPr>
              <w:spacing w:after="0"/>
              <w:rPr>
                <w:sz w:val="1"/>
                <w:szCs w:val="1"/>
                <w:color w:val="auto"/>
              </w:rPr>
            </w:pPr>
          </w:p>
        </w:tc>
      </w:tr>
      <w:tr>
        <w:trPr>
          <w:trHeight w:val="104"/>
        </w:trPr>
        <w:tc>
          <w:tcPr>
            <w:tcW w:w="2020" w:type="dxa"/>
            <w:vAlign w:val="bottom"/>
            <w:tcBorders>
              <w:left w:val="single" w:sz="8" w:color="auto"/>
            </w:tcBorders>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896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A: Standard parts are mainly imported, and domestic parts are mostly workpieces. The Company is also cultivating</w:t>
            </w:r>
          </w:p>
        </w:tc>
        <w:tc>
          <w:tcPr>
            <w:tcW w:w="0" w:type="dxa"/>
            <w:vAlign w:val="bottom"/>
          </w:tcPr>
          <w:p>
            <w:pPr>
              <w:spacing w:after="0"/>
              <w:rPr>
                <w:sz w:val="1"/>
                <w:szCs w:val="1"/>
                <w:color w:val="auto"/>
              </w:rPr>
            </w:pPr>
          </w:p>
        </w:tc>
      </w:tr>
      <w:tr>
        <w:trPr>
          <w:trHeight w:val="112"/>
        </w:trPr>
        <w:tc>
          <w:tcPr>
            <w:tcW w:w="202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relation activities</w:t>
            </w:r>
          </w:p>
        </w:tc>
        <w:tc>
          <w:tcPr>
            <w:tcW w:w="260" w:type="dxa"/>
            <w:vAlign w:val="bottom"/>
            <w:tcBorders>
              <w:right w:val="single" w:sz="8" w:color="auto"/>
            </w:tcBorders>
          </w:tcPr>
          <w:p>
            <w:pPr>
              <w:spacing w:after="0"/>
              <w:rPr>
                <w:sz w:val="9"/>
                <w:szCs w:val="9"/>
                <w:color w:val="auto"/>
              </w:rPr>
            </w:pPr>
          </w:p>
        </w:tc>
        <w:tc>
          <w:tcPr>
            <w:tcW w:w="8960" w:type="dxa"/>
            <w:vAlign w:val="bottom"/>
            <w:tcBorders>
              <w:right w:val="single" w:sz="8" w:color="auto"/>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20" w:type="dxa"/>
            <w:vAlign w:val="bottom"/>
            <w:tcBorders>
              <w:left w:val="single" w:sz="8" w:color="auto"/>
            </w:tcBorders>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8960" w:type="dxa"/>
            <w:vAlign w:val="bottom"/>
            <w:tcBorders>
              <w:right w:val="single" w:sz="8" w:color="auto"/>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domestic suppliers, especially those on wet process parts. Meanwhile, the Company is considering introducing some</w:t>
            </w:r>
          </w:p>
        </w:tc>
        <w:tc>
          <w:tcPr>
            <w:tcW w:w="0" w:type="dxa"/>
            <w:vAlign w:val="bottom"/>
          </w:tcPr>
          <w:p>
            <w:pPr>
              <w:spacing w:after="0"/>
              <w:rPr>
                <w:sz w:val="1"/>
                <w:szCs w:val="1"/>
                <w:color w:val="auto"/>
              </w:rPr>
            </w:pPr>
          </w:p>
        </w:tc>
      </w:tr>
      <w:tr>
        <w:trPr>
          <w:trHeight w:val="90"/>
        </w:trPr>
        <w:tc>
          <w:tcPr>
            <w:tcW w:w="2020" w:type="dxa"/>
            <w:vAlign w:val="bottom"/>
            <w:tcBorders>
              <w:left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896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overseas suppliers to China for domestic production. As a leading wet process equipment supplier in China, the Company</w:t>
            </w: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assumes the responsibility of parts localization. However, the localization will still take some time and also any significant</w:t>
            </w:r>
          </w:p>
        </w:tc>
        <w:tc>
          <w:tcPr>
            <w:tcW w:w="0" w:type="dxa"/>
            <w:vAlign w:val="bottom"/>
          </w:tcPr>
          <w:p>
            <w:pPr>
              <w:spacing w:after="0"/>
              <w:rPr>
                <w:sz w:val="1"/>
                <w:szCs w:val="1"/>
                <w:color w:val="auto"/>
              </w:rPr>
            </w:pPr>
          </w:p>
        </w:tc>
      </w:tr>
      <w:tr>
        <w:trPr>
          <w:trHeight w:val="216"/>
        </w:trPr>
        <w:tc>
          <w:tcPr>
            <w:tcW w:w="2020" w:type="dxa"/>
            <w:vAlign w:val="bottom"/>
            <w:tcBorders>
              <w:lef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changes to suppliers will need to be qualified by the Company’s customers. In general, reliability needs to be proved by</w:t>
            </w:r>
          </w:p>
        </w:tc>
        <w:tc>
          <w:tcPr>
            <w:tcW w:w="0" w:type="dxa"/>
            <w:vAlign w:val="bottom"/>
          </w:tcPr>
          <w:p>
            <w:pPr>
              <w:spacing w:after="0"/>
              <w:rPr>
                <w:sz w:val="1"/>
                <w:szCs w:val="1"/>
                <w:color w:val="auto"/>
              </w:rPr>
            </w:pPr>
          </w:p>
        </w:tc>
      </w:tr>
      <w:tr>
        <w:trPr>
          <w:trHeight w:val="241"/>
        </w:trPr>
        <w:tc>
          <w:tcPr>
            <w:tcW w:w="202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w:t>
            </w:r>
          </w:p>
        </w:tc>
        <w:tc>
          <w:tcPr>
            <w:tcW w:w="3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2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9" w:right="339" w:bottom="1440" w:gutter="0" w:footer="0" w:header="0"/>
        </w:sectPr>
      </w:pPr>
    </w:p>
    <w:bookmarkStart w:id="4" w:name="page5"/>
    <w:bookmarkEnd w:id="4"/>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357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357755"/>
                    </a:xfrm>
                    <a:prstGeom prst="rect">
                      <a:avLst/>
                    </a:prstGeom>
                    <a:noFill/>
                  </pic:spPr>
                </pic:pic>
              </a:graphicData>
            </a:graphic>
          </wp:anchor>
        </w:drawing>
        <w:t>2. Why does the Company have a negative non-recurring profit and loss?</w:t>
      </w:r>
    </w:p>
    <w:p>
      <w:pPr>
        <w:spacing w:after="0" w:line="31" w:lineRule="exact"/>
        <w:rPr>
          <w:sz w:val="20"/>
          <w:szCs w:val="20"/>
          <w:color w:val="auto"/>
        </w:rPr>
      </w:pPr>
    </w:p>
    <w:p>
      <w:pPr>
        <w:ind w:left="1160" w:firstLine="428"/>
        <w:spacing w:after="0" w:line="260" w:lineRule="auto"/>
        <w:tabs>
          <w:tab w:leader="none" w:pos="18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non-recurring profit and loss is due to the Company’s ownership of SMIC shares which are marked to market.</w:t>
      </w:r>
    </w:p>
    <w:p>
      <w:pPr>
        <w:spacing w:after="0" w:line="17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3. Why is there a larger number of orders for wet bench cleaners?</w:t>
      </w:r>
    </w:p>
    <w:p>
      <w:pPr>
        <w:spacing w:after="0" w:line="31" w:lineRule="exact"/>
        <w:rPr>
          <w:sz w:val="20"/>
          <w:szCs w:val="20"/>
          <w:color w:val="auto"/>
        </w:rPr>
      </w:pPr>
    </w:p>
    <w:p>
      <w:pPr>
        <w:jc w:val="both"/>
        <w:ind w:left="1160" w:firstLine="428"/>
        <w:spacing w:after="0" w:line="253" w:lineRule="auto"/>
        <w:tabs>
          <w:tab w:leader="none" w:pos="18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larger number of orders for wet bench cleaners was attributed to, to some extent, the current global supply chain tightness. There are only 3 global suppliers, namely DNS, TEL and the Company, that can produce a full range of 12-inch wet bench cleaners. DNS and TEL generally focus their production capacities on supplying overseas customers, which provides a good opportunity to the Company. The Company has also obtained a large number of orders from second-tier companies with rapid growth.</w:t>
      </w:r>
    </w:p>
    <w:p>
      <w:pPr>
        <w:spacing w:after="0" w:line="1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4. What are the proportions of the Company’s front-end orders and back-end orders?</w:t>
      </w:r>
    </w:p>
    <w:p>
      <w:pPr>
        <w:spacing w:after="0" w:line="31" w:lineRule="exact"/>
        <w:rPr>
          <w:sz w:val="20"/>
          <w:szCs w:val="20"/>
          <w:color w:val="auto"/>
        </w:rPr>
      </w:pPr>
    </w:p>
    <w:p>
      <w:pPr>
        <w:jc w:val="both"/>
        <w:ind w:left="1160" w:firstLine="428"/>
        <w:spacing w:after="0" w:line="253" w:lineRule="auto"/>
        <w:tabs>
          <w:tab w:leader="none" w:pos="18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front-end equipment orders account for approximately 85%, while the back-end packaging, large wafer manufacturing and after-sales orders account for approximately 15%. The order structure will change in response to the demand of customers. Since the customers’ demand for equipment will not show concurrently, the orders may fluctuate to some extent. Nevertheless, the logic and strategic objectives of production expansion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6" w:right="359" w:bottom="1440" w:gutter="0" w:footer="0" w:header="0"/>
        </w:sectPr>
      </w:pPr>
    </w:p>
    <w:bookmarkStart w:id="5" w:name="page6"/>
    <w:bookmarkEnd w:id="5"/>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357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357755"/>
                    </a:xfrm>
                    <a:prstGeom prst="rect">
                      <a:avLst/>
                    </a:prstGeom>
                    <a:noFill/>
                  </pic:spPr>
                </pic:pic>
              </a:graphicData>
            </a:graphic>
          </wp:anchor>
        </w:drawing>
        <w:t>5. How many orders from overseas customers?</w:t>
      </w:r>
    </w:p>
    <w:p>
      <w:pPr>
        <w:spacing w:after="0" w:line="31" w:lineRule="exact"/>
        <w:rPr>
          <w:sz w:val="20"/>
          <w:szCs w:val="20"/>
          <w:color w:val="auto"/>
        </w:rPr>
      </w:pPr>
    </w:p>
    <w:p>
      <w:pPr>
        <w:jc w:val="both"/>
        <w:ind w:left="1160" w:right="20" w:firstLine="428"/>
        <w:spacing w:after="0" w:line="255" w:lineRule="auto"/>
        <w:tabs>
          <w:tab w:leader="none" w:pos="18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Semiconductor equipment is a global industry. We expect that the differentiated products developed and produced by the Company can be sold to customers worldwide. ACM Research, Inc.’s sales and marketing team is actively marketing the Company’s products to additional markets beyond mainland China.</w:t>
      </w:r>
    </w:p>
    <w:p>
      <w:pPr>
        <w:spacing w:after="0" w:line="18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6. Please briefly describe the localization of parts?</w:t>
      </w:r>
    </w:p>
    <w:p>
      <w:pPr>
        <w:spacing w:after="0" w:line="31" w:lineRule="exact"/>
        <w:rPr>
          <w:sz w:val="20"/>
          <w:szCs w:val="20"/>
          <w:color w:val="auto"/>
        </w:rPr>
      </w:pPr>
    </w:p>
    <w:p>
      <w:pPr>
        <w:jc w:val="both"/>
        <w:ind w:left="1160" w:firstLine="428"/>
        <w:spacing w:after="0" w:line="253" w:lineRule="auto"/>
        <w:tabs>
          <w:tab w:leader="none" w:pos="18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hard to quantify this issue, but generally speaking, more and more domestic parts are used. Except for some products which are subject to compulsory standards, the Company is actively applying domestic products. Previously, some customers were concerned about replacing suppliers of core parts that have been verified at the client side. However, against a background of the tight global supply chain, more and more customers can understand the replacement of suppliers and support the use of domestic parts, which also help promote the diversification and localization of parts.</w:t>
      </w:r>
    </w:p>
    <w:p>
      <w:pPr>
        <w:spacing w:after="0" w:line="18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7. Will the delivery of parts have an impact on the Company’s performance recognition?</w:t>
      </w:r>
    </w:p>
    <w:p>
      <w:pPr>
        <w:spacing w:after="0" w:line="31" w:lineRule="exact"/>
        <w:rPr>
          <w:sz w:val="20"/>
          <w:szCs w:val="20"/>
          <w:color w:val="auto"/>
        </w:rPr>
      </w:pPr>
    </w:p>
    <w:p>
      <w:pPr>
        <w:jc w:val="both"/>
        <w:ind w:left="1160" w:right="20" w:firstLine="428"/>
        <w:spacing w:after="0" w:line="255" w:lineRule="auto"/>
        <w:tabs>
          <w:tab w:leader="none" w:pos="1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adopts a diversified strategy and selects different suppliers in the procurement of parts. Meanwhile, to facilitate taking domestic parts as an alternative, the Company will actively use parts from domestic suppliers as long as they can meet the Company’s need. At present, some parts from domestic suppliers are ready for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283845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6" w:right="359" w:bottom="1440" w:gutter="0" w:footer="0" w:header="0"/>
        </w:sectPr>
      </w:pPr>
    </w:p>
    <w:bookmarkStart w:id="6" w:name="page7"/>
    <w:bookmarkEnd w:id="6"/>
    <w:p>
      <w:pPr>
        <w:ind w:left="1160" w:firstLine="430"/>
        <w:spacing w:after="0" w:line="263" w:lineRule="auto"/>
        <w:tabs>
          <w:tab w:leader="none" w:pos="1817"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220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t>How did the Company develop furnace tubes while having recorded a good performance in cleaning equipment?</w:t>
      </w:r>
    </w:p>
    <w:p>
      <w:pPr>
        <w:jc w:val="both"/>
        <w:ind w:left="1160" w:right="20" w:firstLine="43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On the one hand, the Chairman is experienced in developing furnace tubes. On the other hand, the furnace tubes are jointly developed by the Company and its wholly-owned subsidiary ACM Korea, with better effect than doing it individually.</w:t>
      </w:r>
    </w:p>
    <w:p>
      <w:pPr>
        <w:spacing w:after="0" w:line="181" w:lineRule="exact"/>
        <w:rPr>
          <w:rFonts w:ascii="Times New Roman" w:cs="Times New Roman" w:eastAsia="Times New Roman" w:hAnsi="Times New Roman"/>
          <w:sz w:val="18"/>
          <w:szCs w:val="18"/>
          <w:b w:val="1"/>
          <w:bCs w:val="1"/>
          <w:color w:val="auto"/>
        </w:rPr>
      </w:pPr>
    </w:p>
    <w:p>
      <w:pPr>
        <w:jc w:val="both"/>
        <w:ind w:left="1160" w:right="20" w:firstLine="430"/>
        <w:spacing w:after="0" w:line="259" w:lineRule="auto"/>
        <w:tabs>
          <w:tab w:leader="none" w:pos="180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the first half of the year, the Company’s shipment volume increased significantly. Can the Company successfully accomplish the original shipment plan in the second half of the year under such an increase? What is the expected production capacity of the Company in the second half of the year?</w:t>
      </w:r>
    </w:p>
    <w:p>
      <w:pPr>
        <w:jc w:val="both"/>
        <w:ind w:left="1160" w:firstLine="432"/>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In the first quarter, the Company was hindered to a certain extent by the pandemic as to the delivery of equipment. Nevertheless, the equipment whose delivery was affected in the first quarter was duly delivered in the second quarter with the gradual work resumption and the easing of pandemic tension. At this stage, the production capacity has been fully restored to normal and even improved. In the second half of the year, the Company plans to focus on production by further improving supply chain management, improving production efficiency of workshops and introducing new production systems to facilitate its shipment thereby meeting its order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286385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6" w:right="359" w:bottom="1440" w:gutter="0" w:footer="0" w:header="0"/>
        </w:sectPr>
      </w:pPr>
    </w:p>
    <w:bookmarkStart w:id="7" w:name="page8"/>
    <w:bookmarkEnd w:id="7"/>
    <w:p>
      <w:pPr>
        <w:ind w:left="1160" w:right="20" w:firstLine="430"/>
        <w:spacing w:after="0" w:line="263" w:lineRule="auto"/>
        <w:tabs>
          <w:tab w:leader="none" w:pos="1866"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494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494280"/>
                    </a:xfrm>
                    <a:prstGeom prst="rect">
                      <a:avLst/>
                    </a:prstGeom>
                    <a:noFill/>
                  </pic:spPr>
                </pic:pic>
              </a:graphicData>
            </a:graphic>
          </wp:anchor>
        </w:drawing>
        <w:t>What is the Company’s difference in the R&amp;D mode, R&amp;D team construction, and technical talent reserve, etc. compared with the Company’s previous ones and those of other companies?</w:t>
      </w:r>
    </w:p>
    <w:p>
      <w:pPr>
        <w:jc w:val="both"/>
        <w:ind w:left="1160" w:firstLine="428"/>
        <w:spacing w:after="0" w:line="252" w:lineRule="auto"/>
        <w:tabs>
          <w:tab w:leader="none" w:pos="18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broad R&amp;D activities with constantly innovating technology. Since entering Shanghai in 2006, the R&amp;D team has been pursuing differentiation and integrating new elements into the development process. After more than ten years of team training, the team members have become very familiar with the ideas and schemes of differentiation research. Besides, most of the semiconductor equipment shows certain commonality for being designed to have the characteristics of uniformity and repeatability. The Company will also continue its focus on product differentiation and technical characteristics, and maintain the pursuit of original innovation, in the hope of leapfrogging large factories overseas in the future, which also embodies its R&amp;D ideas.</w:t>
      </w:r>
    </w:p>
    <w:p>
      <w:pPr>
        <w:spacing w:after="0" w:line="184" w:lineRule="exact"/>
        <w:rPr>
          <w:rFonts w:ascii="Times New Roman" w:cs="Times New Roman" w:eastAsia="Times New Roman" w:hAnsi="Times New Roman"/>
          <w:sz w:val="18"/>
          <w:szCs w:val="18"/>
          <w:color w:val="auto"/>
        </w:rPr>
      </w:pPr>
    </w:p>
    <w:p>
      <w:pPr>
        <w:ind w:left="1160" w:right="20" w:firstLine="430"/>
        <w:spacing w:after="0" w:line="263" w:lineRule="auto"/>
        <w:tabs>
          <w:tab w:leader="none" w:pos="1866"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Company’s definition of the coverage of its equipment? What kind of platform model will be formed and what fields will be involved?</w:t>
      </w:r>
    </w:p>
    <w:p>
      <w:pPr>
        <w:jc w:val="both"/>
        <w:ind w:left="1160" w:firstLine="428"/>
        <w:spacing w:after="0" w:line="253" w:lineRule="auto"/>
        <w:tabs>
          <w:tab w:leader="none" w:pos="18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address all segments of the semiconductor capital equipment market. It is a major transition from wet process to dry process. The Company will continue its efforts in these two fields first, without focus on the rest including measuring instruments at this stage. Centering on the supply of equipment, the Company will, in the next two or three years, be committed to improving the market coverage of existing equipment, increasing the corresponding market share, and promoting the differentiated equipment to the world, so as to grow its existing products with every endeavor.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6" w:right="359" w:bottom="1440" w:gutter="0" w:footer="0" w:header="0"/>
        </w:sectPr>
      </w:pPr>
    </w:p>
    <w:bookmarkStart w:id="8" w:name="page9"/>
    <w:bookmarkEnd w:id="8"/>
    <w:p>
      <w:pPr>
        <w:ind w:left="1160" w:right="20" w:firstLine="430"/>
        <w:spacing w:after="0" w:line="263" w:lineRule="auto"/>
        <w:tabs>
          <w:tab w:leader="none" w:pos="1879"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90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06395"/>
                    </a:xfrm>
                    <a:prstGeom prst="rect">
                      <a:avLst/>
                    </a:prstGeom>
                    <a:noFill/>
                  </pic:spPr>
                </pic:pic>
              </a:graphicData>
            </a:graphic>
          </wp:anchor>
        </w:drawing>
        <w:t>How about the Company’s shipment overseas and future prospect on this regard? What are the types of overseas customers?</w:t>
      </w:r>
    </w:p>
    <w:p>
      <w:pPr>
        <w:jc w:val="both"/>
        <w:ind w:left="1160" w:firstLine="428"/>
        <w:spacing w:after="0" w:line="251" w:lineRule="auto"/>
        <w:tabs>
          <w:tab w:leader="none" w:pos="18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year, two tools have been delivered to an American customer. In the future, the equipment used by the major American customer may attract the attention of customers in other regions, such as Singapore and Europe. However, it will take time for overseas sales to improve. The overseas market accounts for more than 70% of the market in the semiconductor industry, representing the potential for significant growth for the Company. The Company intends to balance its domestic and international sales over the long-term. Adhering to the ultimate goal of becoming a global platform-based semiconductor equipment enterprise, the Company aims at contributing the differentiated equipment developed by it to the world, which is supported by the special structure of its listing on the exchanges of both U.S. and China. The Company’s multiple product offerings that have been scaled with major customers in mainland China is applicable to a range of major potential overseas customers.</w:t>
      </w:r>
    </w:p>
    <w:p>
      <w:pPr>
        <w:spacing w:after="0" w:line="189" w:lineRule="exact"/>
        <w:rPr>
          <w:rFonts w:ascii="Times New Roman" w:cs="Times New Roman" w:eastAsia="Times New Roman" w:hAnsi="Times New Roman"/>
          <w:sz w:val="18"/>
          <w:szCs w:val="18"/>
          <w:color w:val="auto"/>
        </w:rPr>
      </w:pPr>
    </w:p>
    <w:p>
      <w:pPr>
        <w:ind w:left="1160" w:right="20" w:firstLine="430"/>
        <w:spacing w:after="0" w:line="263" w:lineRule="auto"/>
        <w:tabs>
          <w:tab w:leader="none" w:pos="1875"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gross profit margin of the Company in the second quarter and the first half of the year exceeded the expected level. What are the gross profit margin of each business line of the Company and their differences?</w:t>
      </w:r>
    </w:p>
    <w:p>
      <w:pPr>
        <w:jc w:val="both"/>
        <w:ind w:left="1160" w:firstLine="428"/>
        <w:spacing w:after="0" w:line="252" w:lineRule="auto"/>
        <w:tabs>
          <w:tab w:leader="none" w:pos="18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of each business varies from each other, with the overall gross profit margin mainly depending on the product portfolio. There is a positive correlation between the complexity of product technology and the gross profit margin that the higher the technical level and complexity is, the higher the gross profit margin is. Products with simple technology and intense market competition record a low gross profit margin. At this stage, the Company will take 40% - 45% as the benchmark for gross profit margin. After some products enter the international market in the future and the advantages of product differentiation are shown, the gross profit margin has the potential to exceed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286385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6" w:right="359" w:bottom="1440" w:gutter="0" w:footer="0" w:header="0"/>
        </w:sectPr>
      </w:pPr>
    </w:p>
    <w:bookmarkStart w:id="9" w:name="page10"/>
    <w:bookmarkEnd w:id="9"/>
    <w:p>
      <w:pPr>
        <w:ind w:left="1160" w:right="20" w:firstLine="430"/>
        <w:spacing w:after="0" w:line="263" w:lineRule="auto"/>
        <w:tabs>
          <w:tab w:leader="none" w:pos="186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357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357755"/>
                    </a:xfrm>
                    <a:prstGeom prst="rect">
                      <a:avLst/>
                    </a:prstGeom>
                    <a:noFill/>
                  </pic:spPr>
                </pic:pic>
              </a:graphicData>
            </a:graphic>
          </wp:anchor>
        </w:drawing>
        <w:t>How about the Company’s shipment volume in the first half of the year under the influence of the COVID-19 pandemic? What is the expected production capacity of the Company in the second half of the year?</w:t>
      </w:r>
    </w:p>
    <w:p>
      <w:pPr>
        <w:jc w:val="both"/>
        <w:ind w:left="1160" w:firstLine="428"/>
        <w:spacing w:after="0" w:line="252" w:lineRule="auto"/>
        <w:tabs>
          <w:tab w:leader="none" w:pos="18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the Company was hindered to a certain extent by the pandemic as to the delivery of equipment. Nevertheless, the equipment whose delivery was affected in the first quarter was duly delivered in the second quarter with the gradual work resumption and the easing of pandemic tension. At this stage, the production capacity has been fully restored to normal and even improved. In the second half of the year, the Company will focus on production in the third and fourth quarters by stepping up supply chain management, improving production efficiency of workshops and introducing new production systems to facilitate its shipment thereby meeting its order requirements.</w:t>
      </w:r>
    </w:p>
    <w:p>
      <w:pPr>
        <w:spacing w:after="0" w:line="185" w:lineRule="exact"/>
        <w:rPr>
          <w:rFonts w:ascii="Times New Roman" w:cs="Times New Roman" w:eastAsia="Times New Roman" w:hAnsi="Times New Roman"/>
          <w:sz w:val="18"/>
          <w:szCs w:val="18"/>
          <w:color w:val="auto"/>
        </w:rPr>
      </w:pPr>
    </w:p>
    <w:p>
      <w:pPr>
        <w:ind w:left="1860" w:hanging="270"/>
        <w:spacing w:after="0"/>
        <w:tabs>
          <w:tab w:leader="none" w:pos="186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you introduce the Company’s situation in respect of customer acquisition?</w:t>
      </w:r>
    </w:p>
    <w:p>
      <w:pPr>
        <w:spacing w:after="0" w:line="31" w:lineRule="exact"/>
        <w:rPr>
          <w:sz w:val="20"/>
          <w:szCs w:val="20"/>
          <w:color w:val="auto"/>
        </w:rPr>
      </w:pPr>
    </w:p>
    <w:p>
      <w:pPr>
        <w:jc w:val="both"/>
        <w:ind w:left="1160" w:firstLine="428"/>
        <w:spacing w:after="0" w:line="252" w:lineRule="auto"/>
        <w:tabs>
          <w:tab w:leader="none" w:pos="18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had a good performance in customer acquisition. In addition to such major customers as Yangtze Memory, Huahong Group, Hynix, SMIC, CXMT, JCET, TFME, SJsemi, Nepes, JRH, Wafer Works, IMECAS, ICRD, NCAP, Silan, XinEn Semiconductor, Nexchip, CASMeit and JSSI who have repeated their orders, the Company has acquired several new customers at home and abroad through its effort. The R&amp;D achievements of the Company on its products have been recognized by mainstream customers in the industry, with a satisfactory client-side validation, enhancing the competitiveness of the Company’s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286385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6" w:right="359" w:bottom="1440" w:gutter="0" w:footer="0" w:header="0"/>
        </w:sectPr>
      </w:pPr>
    </w:p>
    <w:bookmarkStart w:id="10" w:name="page11"/>
    <w:bookmarkEnd w:id="10"/>
    <w:p>
      <w:pPr>
        <w:jc w:val="both"/>
        <w:ind w:left="1160" w:right="20" w:firstLine="430"/>
        <w:spacing w:after="0" w:line="259" w:lineRule="auto"/>
        <w:tabs>
          <w:tab w:leader="none" w:pos="1895"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317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317240"/>
                    </a:xfrm>
                    <a:prstGeom prst="rect">
                      <a:avLst/>
                    </a:prstGeom>
                    <a:noFill/>
                  </pic:spPr>
                </pic:pic>
              </a:graphicData>
            </a:graphic>
          </wp:anchor>
        </w:drawing>
        <w:t>The barrier of wet bench equipment is lower than that of single wafer equipment, and there are also domestic companies engaged in the manufacturing of wet bench equipment. Will the Company be under great competition pressure in such context?</w:t>
      </w:r>
    </w:p>
    <w:p>
      <w:pPr>
        <w:jc w:val="both"/>
        <w:ind w:left="1160" w:firstLine="428"/>
        <w:spacing w:after="0" w:line="250" w:lineRule="auto"/>
        <w:tabs>
          <w:tab w:leader="none" w:pos="18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Wet bench equipment is subject to a certain technical threshold, to which reliability is very critical because it will be used for cleaning 25 to 50 pieces at a time. The Company is the only company that can provide a full range of 12-inch wet bench cleaning equipment in China.</w:t>
      </w:r>
    </w:p>
    <w:p>
      <w:pPr>
        <w:spacing w:after="0" w:line="1" w:lineRule="exact"/>
        <w:rPr>
          <w:rFonts w:ascii="Times New Roman" w:cs="Times New Roman" w:eastAsia="Times New Roman" w:hAnsi="Times New Roman"/>
          <w:sz w:val="18"/>
          <w:szCs w:val="18"/>
          <w:color w:val="auto"/>
        </w:rPr>
      </w:pPr>
    </w:p>
    <w:p>
      <w:pPr>
        <w:jc w:val="both"/>
        <w:ind w:left="1160" w:firstLine="432"/>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present, high-end 12-inch equipment still requires great process difficulties from part design to manufacturing, which is not something that can be easily developed. More difficulties will follow in case of stricter particle requirements. Currently, the Company has covered all processes for wet bench equipment, and is also taking market share from overseas competitors.</w:t>
      </w:r>
    </w:p>
    <w:p>
      <w:pPr>
        <w:spacing w:after="0" w:line="184" w:lineRule="exact"/>
        <w:rPr>
          <w:rFonts w:ascii="Times New Roman" w:cs="Times New Roman" w:eastAsia="Times New Roman" w:hAnsi="Times New Roman"/>
          <w:sz w:val="18"/>
          <w:szCs w:val="18"/>
          <w:color w:val="auto"/>
        </w:rPr>
      </w:pPr>
    </w:p>
    <w:p>
      <w:pPr>
        <w:ind w:left="1860" w:hanging="270"/>
        <w:spacing w:after="0"/>
        <w:tabs>
          <w:tab w:leader="none" w:pos="186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processes can the Company cover with its technical capacity currently?</w:t>
      </w:r>
    </w:p>
    <w:p>
      <w:pPr>
        <w:spacing w:after="0" w:line="31" w:lineRule="exact"/>
        <w:rPr>
          <w:sz w:val="20"/>
          <w:szCs w:val="20"/>
          <w:color w:val="auto"/>
        </w:rPr>
      </w:pPr>
    </w:p>
    <w:p>
      <w:pPr>
        <w:jc w:val="both"/>
        <w:ind w:left="1160" w:right="20" w:firstLine="428"/>
        <w:spacing w:after="0" w:line="255" w:lineRule="auto"/>
        <w:tabs>
          <w:tab w:leader="none" w:pos="186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from the perspective of process deployment, the Company’s technology can cover 80% of the processes. This year, supercritical CO2 drying and cleaning equipment as well as edge cleaning equipment will be launched, after the launch of which, more than 90% of the cleaning processes will be covered.</w:t>
      </w:r>
    </w:p>
    <w:p>
      <w:pPr>
        <w:spacing w:after="0" w:line="181" w:lineRule="exact"/>
        <w:rPr>
          <w:rFonts w:ascii="Times New Roman" w:cs="Times New Roman" w:eastAsia="Times New Roman" w:hAnsi="Times New Roman"/>
          <w:sz w:val="18"/>
          <w:szCs w:val="18"/>
          <w:color w:val="auto"/>
        </w:rPr>
      </w:pPr>
    </w:p>
    <w:p>
      <w:pPr>
        <w:ind w:left="1160" w:right="20" w:firstLine="430"/>
        <w:spacing w:after="0" w:line="263" w:lineRule="auto"/>
        <w:tabs>
          <w:tab w:leader="none" w:pos="1883"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the first half of this year, some of the Company’s R&amp;D expenses were capitalized. Will capitalization become the norm in the future?</w:t>
      </w:r>
    </w:p>
    <w:p>
      <w:pPr>
        <w:jc w:val="both"/>
        <w:ind w:left="1160" w:firstLine="428"/>
        <w:spacing w:after="0" w:line="253" w:lineRule="auto"/>
        <w:tabs>
          <w:tab w:leader="none" w:pos="18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Company’s R&amp;D expense rate this year is mainly attributable to the R&amp;D expense capitalization strategy implemented since this year for which the Company has also taken reasonable measures. Currently, the capitalization is relatively sound, only accounting for 17%. Meanwhile, we will continue to invest in R&amp;D, expecting to maintain the expensing at a level of about 14% - 15%, with the total investment accounting for about 17% - 18% of the R&amp;D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284480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6" w:right="359" w:bottom="1440" w:gutter="0" w:footer="0" w:header="0"/>
        </w:sectPr>
      </w:pPr>
    </w:p>
    <w:bookmarkStart w:id="11" w:name="page12"/>
    <w:bookmarkEnd w:id="11"/>
    <w:p>
      <w:pPr>
        <w:jc w:val="both"/>
        <w:ind w:left="1160" w:firstLine="430"/>
        <w:spacing w:after="0" w:line="259" w:lineRule="auto"/>
        <w:tabs>
          <w:tab w:leader="none" w:pos="1887"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994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994410"/>
                    </a:xfrm>
                    <a:prstGeom prst="rect">
                      <a:avLst/>
                    </a:prstGeom>
                    <a:noFill/>
                  </pic:spPr>
                </pic:pic>
              </a:graphicData>
            </a:graphic>
          </wp:anchor>
        </w:drawing>
        <w:t>What is the impact of the pandemic in Jiangsu Semiconductor Packaging and Testing Plant in the first quarter on the overall acceptance and shipment of packaging and testing equipment this year? What is the Company’s expectation of shipment next year?</w:t>
      </w:r>
    </w:p>
    <w:p>
      <w:pPr>
        <w:jc w:val="both"/>
        <w:ind w:left="1160" w:firstLine="428"/>
        <w:spacing w:after="0" w:line="253" w:lineRule="auto"/>
        <w:tabs>
          <w:tab w:leader="none" w:pos="18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little impact on us thus far overall. The Company’s packaging machine and associated services are in a normal state. The shipment next year will depend on the consumer market development, given the 12-inch production line in China is under construction. After the construction is completed for production, most packaging will be conducted in mainland China. We remain optimistic for the future packaging market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285750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80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Encl.: List of Participants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Artisan Partners Limited Partnership - Artisan Partners Funds, Inc - Artisan Global Equity Fund-QFII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Bellevue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BRILLIANCE - BRILLIANT PARTNERS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Southern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CICC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Coalescence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Partners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Essence Securities Asset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Fountain Cap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Court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 VED CAPITAL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JF Asset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longrising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LYGH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Marco Polo Pure Asset Management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Mighty Divine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Millennium Capital Management (Hong Kong) Limited</w:t>
      </w:r>
    </w:p>
    <w:p>
      <w:pPr>
        <w:spacing w:after="0" w:line="9" w:lineRule="exact"/>
        <w:rPr>
          <w:sz w:val="20"/>
          <w:szCs w:val="20"/>
          <w:color w:val="auto"/>
        </w:rPr>
      </w:pPr>
    </w:p>
    <w:p>
      <w:pPr>
        <w:ind w:right="1919"/>
        <w:spacing w:after="0" w:line="250" w:lineRule="auto"/>
        <w:rPr>
          <w:sz w:val="20"/>
          <w:szCs w:val="20"/>
          <w:color w:val="auto"/>
        </w:rPr>
      </w:pPr>
      <w:r>
        <w:rPr>
          <w:rFonts w:ascii="Times New Roman" w:cs="Times New Roman" w:eastAsia="Times New Roman" w:hAnsi="Times New Roman"/>
          <w:sz w:val="18"/>
          <w:szCs w:val="18"/>
          <w:color w:val="auto"/>
        </w:rPr>
        <w:t>MINDHAND FUND SPC ACTING FOR AND IN RESPECT OF MINDHAND EQUITY FUND SP (MARGIN) Mountain capital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Asset Management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Parantoux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PICC Property and Casualty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Picea Investment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Pinpoint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Point72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QUAERO CAPITAL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INVESTMENT SERVICES (ASIA)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Rheos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Shandao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Shuang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TAIKANG INSURANCE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TB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TEMASEK FULLERTON ALPHA PTE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Tiger Pacific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Willing Capital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Winfor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YUNQI PATH CAPITAL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Aijian Securities Business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Essence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Essence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Baoying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Pacific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Fengpei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Suncapital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Jingxing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Nuochang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Shennong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Yutian Capital Management Co., Ltd.-Yutian Harvest No. 5 Private Equity Investment Fund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 Court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Bosera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Boyuan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Caitong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Zen Dragon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Chiyue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Chuangjin Hexin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Purekind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Dacheng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Dajia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Dapu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Springs Capital (Beijing)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Tebon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DingCheng Life Insurance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Northeast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Oriental Alpha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Orient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Soochow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Fubon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FuJian Rongxin Huida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Fuanda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Fullerton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Fullgoal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Templeton SinoAm Investment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FORTUNE &amp; ROYAL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Perseverance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SUNRISE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Credit Suisse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Granford (Beijing) Capital Management Co., Ltd.-Granford Fengyue Securities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Everbright Pramerica Fund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Everbright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FUNG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CGB Wealth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Guangzhou Hangchang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Guojun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Sinolink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CPIC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Life AMP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Guotai Jun’an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SDIC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Guosen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HFT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Omnilux Private Equity Fund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Tuopu Private Equity Fund Management Co., Ltd. - Tuopu Haiyue Growth Private Equity Securities Investment Master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International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Haitong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Management Subsidiary of Hangzhou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Aerospace Science &amp; Technology Finance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Haojun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TRIVEST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Hengshi Capital Management (Shanghai)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Hengtai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HOTEON Capital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HENGSHENG ASSET MANAGEMENT(Shanghai)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HONY HORIZON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Sequoia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Hwabao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Fortune Sg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Huafu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China Yongchang Securities Investment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Huarong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Merchants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Huatai-Pinebridge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Huatai Securities (Shanghai)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Wealth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Everwin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China Future Capital Group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Jintrust Fund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Amundi BOC Wealth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Huisheng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Harvest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CCB Principal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Jiangxi Bide Mingqi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Communications Schroder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Communications Schroder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Genius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Jinxin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Evolution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Invesco Great Wall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Everbloom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JT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JIU GE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Kaiyuan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Kunming Huachen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Kunming Yunneng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Royal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Minsheng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River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Huaxin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Huijin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ABC-CA Fund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Lion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Lord Abbert China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Penghua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PENGYANG AMC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Fortune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Ping An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BOTONG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XA SPDB Investment Managers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Qianhai Dengcheng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Foresea Life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Chaser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PICC Pension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MagniFount (Zhuhai)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Richen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Rongtong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Samsung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Sanya Hongsheng Private Fund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Xiamen Zhihao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Xiamen Shuanghongyuan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Shanxi SECURITIES Co., Ltd.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Banyan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Bohong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Daweide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Dingtian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International Trust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Colight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Hexi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Heou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HeXi Youfang Investing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Hongshang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Eureka Investment Partner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Kandao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Blueink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Regan Asset Management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Liuhe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Mingyu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Minghe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Hainan Ping An Private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Pawoof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Qinchen Private Equity Fund Management Partnership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Qingfund Asset Management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Tinnyinvestment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Xitai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Xiangchu Capital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 SHARE ASSET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Yongxing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Yude Capital Management Center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Primewaters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Shagnhai Zhongyu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BOSC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Shenwan Hongyuan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SZITIC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Dahao Holding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Depu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Duliang Capital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Foxon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Qisheng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Shenzhen Qianhai Chengshi Fund Management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Guhe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Haiya Financial HOLDINGS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Qianhai Junguan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Shangdao Investment Fund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HighGear Investment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Shangcheng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Songhe Growth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Weiming Hengyuan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Kwt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Enjoy Equity Investment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Yuanwangjiao Partnership - Yuanwangjiao Rongyuan Phase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Shenzhen Zoomtrend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Taimeng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Taiping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Taikang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Tailin Private Equity Fund Management (Hainan)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Tiancheng Holdings (Beijing)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Tianhong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Tianjin STATE-OWNED CAPITAL Investment and Management Co.,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Nature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Tongben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Sunsource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 World Games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Vanho Securities Co., Ltd. Private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Wanjia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Wellington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Minmetals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Xi'an Waterfall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Western Leadbank Fund Management Company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Dongcai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Hezhong Yisheng Investment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Tibet Cathay Fortune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SHIVA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Xiniu Investment Management (Beijing)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China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Xinhua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Xincheng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Cinda Fund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Industrial Bank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SECURITIES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Aegon-industrial Fund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Securities Asset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Xuanyuan investment</w:t>
      </w:r>
    </w:p>
    <w:p>
      <w:pPr>
        <w:spacing w:after="0" w:line="9" w:lineRule="exact"/>
        <w:rPr>
          <w:sz w:val="20"/>
          <w:szCs w:val="20"/>
          <w:color w:val="auto"/>
        </w:rPr>
      </w:pPr>
    </w:p>
    <w:p>
      <w:pPr>
        <w:ind w:right="9159" w:firstLine="8"/>
        <w:spacing w:after="0" w:line="250" w:lineRule="auto"/>
        <w:tabs>
          <w:tab w:leader="none" w:pos="1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Yimi Fund Galaxy Asset Yinhua Fund</w:t>
      </w:r>
    </w:p>
    <w:p>
      <w:pPr>
        <w:spacing w:after="0" w:line="1" w:lineRule="exact"/>
        <w:rPr>
          <w:rFonts w:ascii="Times New Roman" w:cs="Times New Roman" w:eastAsia="Times New Roman" w:hAnsi="Times New Roman"/>
          <w:sz w:val="18"/>
          <w:szCs w:val="18"/>
          <w:color w:val="auto"/>
        </w:rPr>
      </w:pPr>
    </w:p>
    <w:p>
      <w:pPr>
        <w:ind w:right="74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Yingda Insurance Asset Management Infore Capital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Maxwealth Fund</w:t>
      </w:r>
    </w:p>
    <w:p>
      <w:pPr>
        <w:spacing w:after="0" w:line="9" w:lineRule="exact"/>
        <w:rPr>
          <w:rFonts w:ascii="Times New Roman" w:cs="Times New Roman" w:eastAsia="Times New Roman" w:hAnsi="Times New Roman"/>
          <w:sz w:val="18"/>
          <w:szCs w:val="18"/>
          <w:color w:val="auto"/>
        </w:rPr>
      </w:pPr>
    </w:p>
    <w:p>
      <w:pPr>
        <w:ind w:right="73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Finsights Fund Managemant Co., Ltd. DMJ Capital Limited</w:t>
      </w:r>
    </w:p>
    <w:p>
      <w:pPr>
        <w:jc w:val="both"/>
        <w:ind w:right="87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Yuance Investment Sino-Ocean Capital Yuexi Fund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Zeyuan Asset Management Co., Ltd.</w:t>
      </w:r>
    </w:p>
    <w:p>
      <w:pPr>
        <w:spacing w:after="0" w:line="9" w:lineRule="exact"/>
        <w:rPr>
          <w:rFonts w:ascii="Times New Roman" w:cs="Times New Roman" w:eastAsia="Times New Roman" w:hAnsi="Times New Roman"/>
          <w:sz w:val="18"/>
          <w:szCs w:val="18"/>
          <w:color w:val="auto"/>
        </w:rPr>
      </w:pPr>
    </w:p>
    <w:p>
      <w:pPr>
        <w:ind w:right="59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 Wall Wealth Insurance Asset Management Co., Ltd. Changjiang Machinery</w:t>
      </w:r>
    </w:p>
    <w:p>
      <w:pPr>
        <w:ind w:right="70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CHANGJIANG ASSET MANAGEMENT Changsheng Fund Management Co., Ltd. Changxin Fund</w:t>
      </w:r>
    </w:p>
    <w:p>
      <w:pPr>
        <w:spacing w:after="0" w:line="1" w:lineRule="exact"/>
        <w:rPr>
          <w:rFonts w:ascii="Times New Roman" w:cs="Times New Roman" w:eastAsia="Times New Roman" w:hAnsi="Times New Roman"/>
          <w:sz w:val="18"/>
          <w:szCs w:val="18"/>
          <w:color w:val="auto"/>
        </w:rPr>
      </w:pPr>
    </w:p>
    <w:p>
      <w:pPr>
        <w:ind w:right="68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Merchants Fund Management Co., Ltd. Zoomtrend Investment</w:t>
      </w:r>
    </w:p>
    <w:p>
      <w:pPr>
        <w:ind w:right="66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Zhejiang Houxin Asset Management Co., Ltd. Zhejiang Jiuzhang Asset Management Co., Ltd. Zheshang Fund Management Co., Ltd. Zheshang Securities Co., Ltd.</w:t>
      </w:r>
    </w:p>
    <w:p>
      <w:pPr>
        <w:spacing w:after="0" w:line="1" w:lineRule="exact"/>
        <w:rPr>
          <w:rFonts w:ascii="Times New Roman" w:cs="Times New Roman" w:eastAsia="Times New Roman" w:hAnsi="Times New Roman"/>
          <w:sz w:val="18"/>
          <w:szCs w:val="18"/>
          <w:color w:val="auto"/>
        </w:rPr>
      </w:pPr>
    </w:p>
    <w:p>
      <w:pPr>
        <w:ind w:right="78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 Valley Capital Zhengyuan Investment Zhong Chuan Finance Co., Ltd.</w:t>
      </w:r>
    </w:p>
    <w:p>
      <w:pPr>
        <w:spacing w:after="0" w:line="1" w:lineRule="exact"/>
        <w:rPr>
          <w:rFonts w:ascii="Times New Roman" w:cs="Times New Roman" w:eastAsia="Times New Roman" w:hAnsi="Times New Roman"/>
          <w:sz w:val="18"/>
          <w:szCs w:val="18"/>
          <w:color w:val="auto"/>
        </w:rPr>
      </w:pPr>
    </w:p>
    <w:p>
      <w:pPr>
        <w:ind w:right="65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Picc Asset Management Company Limited China Life Asset Management Company Limited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CPIC</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Galaxy Securities Co., Ltd.</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RE</w:t>
      </w:r>
    </w:p>
    <w:p>
      <w:pPr>
        <w:spacing w:after="0" w:line="9" w:lineRule="exact"/>
        <w:rPr>
          <w:rFonts w:ascii="Times New Roman" w:cs="Times New Roman" w:eastAsia="Times New Roman" w:hAnsi="Times New Roman"/>
          <w:sz w:val="18"/>
          <w:szCs w:val="18"/>
          <w:color w:val="auto"/>
        </w:rPr>
      </w:pPr>
    </w:p>
    <w:p>
      <w:pPr>
        <w:ind w:right="73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Zhonghai Fund Management Co., Ltd. Bank of Beijing Scotiabank</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CICC</w:t>
      </w:r>
    </w:p>
    <w:p>
      <w:pPr>
        <w:spacing w:after="0" w:line="9" w:lineRule="exact"/>
        <w:rPr>
          <w:rFonts w:ascii="Times New Roman" w:cs="Times New Roman" w:eastAsia="Times New Roman" w:hAnsi="Times New Roman"/>
          <w:sz w:val="18"/>
          <w:szCs w:val="18"/>
          <w:color w:val="auto"/>
        </w:rPr>
      </w:pPr>
    </w:p>
    <w:p>
      <w:pPr>
        <w:ind w:right="76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CICC Fund Management Co., Ltd. CICC Asset Management COFCO Trust Co.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Lombarda China Fund Management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Zhongrong International Trust Co.,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Zhongtai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Prudential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Private Equity Funds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Trust PE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CITIC BANK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Citic Asset Management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Fund Management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CITIC BANK Corporation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Life Insurance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Post Securities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Chongyang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Zige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Zijin Mining Group Capital Investment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Palm Bay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83" w:right="1440" w:bottom="1440" w:gutter="0" w:footer="0" w:header="0"/>
        </w:sectPr>
      </w:pPr>
    </w:p>
    <w:bookmarkStart w:id="20" w:name="page21"/>
    <w:bookmarkEnd w:id="20"/>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Record of August 2022 Investor Relation Activity of ACM Research (Shanghai), Inc. (the “Record”) pursuant to the Current Report on Form 8-K reporting requirements of ACM Research,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currency fluctuations, political instability and war may materially adversely affect ACMSH due to its substantial non-U.S. customer and supplier base and its substantial non-U.S. manufacturing operations.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Letter"/>
      <w:start w:val="4"/>
    </w:lvl>
  </w:abstractNum>
  <w:abstractNum w:abstractNumId="2">
    <w:nsid w:val="7FDCC233"/>
    <w:multiLevelType w:val="hybridMultilevel"/>
    <w:lvl w:ilvl="0">
      <w:lvlJc w:val="left"/>
      <w:lvlText w:val="*"/>
      <w:numFmt w:val="bullet"/>
      <w:start w:val="1"/>
    </w:lvl>
    <w:lvl w:ilvl="1">
      <w:lvlJc w:val="left"/>
      <w:lvlText w:val="%2"/>
      <w:numFmt w:val="decimal"/>
      <w:start w:val="104"/>
    </w:lvl>
  </w:abstractNum>
  <w:abstractNum w:abstractNumId="3">
    <w:nsid w:val="1BEFD79F"/>
    <w:multiLevelType w:val="hybridMultilevel"/>
    <w:lvl w:ilvl="0">
      <w:lvlJc w:val="left"/>
      <w:lvlText w:val="%1:"/>
      <w:numFmt w:val="upperLetter"/>
      <w:start w:val="1"/>
    </w:lvl>
  </w:abstractNum>
  <w:abstractNum w:abstractNumId="4">
    <w:nsid w:val="41A7C4C9"/>
    <w:multiLevelType w:val="hybridMultilevel"/>
    <w:lvl w:ilvl="0">
      <w:lvlJc w:val="left"/>
      <w:lvlText w:val="%1:"/>
      <w:numFmt w:val="upperLetter"/>
      <w:start w:val="1"/>
    </w:lvl>
  </w:abstractNum>
  <w:abstractNum w:abstractNumId="5">
    <w:nsid w:val="6B68079A"/>
    <w:multiLevelType w:val="hybridMultilevel"/>
    <w:lvl w:ilvl="0">
      <w:lvlJc w:val="left"/>
      <w:lvlText w:val="%1:"/>
      <w:numFmt w:val="upperLetter"/>
      <w:start w:val="1"/>
    </w:lvl>
  </w:abstractNum>
  <w:abstractNum w:abstractNumId="6">
    <w:nsid w:val="4E6AFB66"/>
    <w:multiLevelType w:val="hybridMultilevel"/>
    <w:lvl w:ilvl="0">
      <w:lvlJc w:val="left"/>
      <w:lvlText w:val="%1:"/>
      <w:numFmt w:val="upperLetter"/>
      <w:start w:val="1"/>
    </w:lvl>
  </w:abstractNum>
  <w:abstractNum w:abstractNumId="7">
    <w:nsid w:val="25E45D32"/>
    <w:multiLevelType w:val="hybridMultilevel"/>
    <w:lvl w:ilvl="0">
      <w:lvlJc w:val="left"/>
      <w:lvlText w:val="%1:"/>
      <w:numFmt w:val="upperLetter"/>
      <w:start w:val="1"/>
    </w:lvl>
  </w:abstractNum>
  <w:abstractNum w:abstractNumId="8">
    <w:nsid w:val="519B500D"/>
    <w:multiLevelType w:val="hybridMultilevel"/>
    <w:lvl w:ilvl="0">
      <w:lvlJc w:val="left"/>
      <w:lvlText w:val="%1:"/>
      <w:numFmt w:val="upperLetter"/>
      <w:start w:val="1"/>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upperLetter"/>
      <w:start w:val="1"/>
    </w:lvl>
    <w:lvl w:ilvl="1">
      <w:lvlJc w:val="left"/>
      <w:lvlText w:val="%2."/>
      <w:numFmt w:val="decimal"/>
      <w:start w:val="10"/>
    </w:lvl>
  </w:abstractNum>
  <w:abstractNum w:abstractNumId="11">
    <w:nsid w:val="7C83E458"/>
    <w:multiLevelType w:val="hybridMultilevel"/>
    <w:lvl w:ilvl="0">
      <w:lvlJc w:val="left"/>
      <w:lvlText w:val="%1:"/>
      <w:numFmt w:val="upperLetter"/>
      <w:start w:val="1"/>
    </w:lvl>
    <w:lvl w:ilvl="1">
      <w:lvlJc w:val="left"/>
      <w:lvlText w:val="%2."/>
      <w:numFmt w:val="decimal"/>
      <w:start w:val="11"/>
    </w:lvl>
  </w:abstractNum>
  <w:abstractNum w:abstractNumId="12">
    <w:nsid w:val="257130A3"/>
    <w:multiLevelType w:val="hybridMultilevel"/>
    <w:lvl w:ilvl="0">
      <w:lvlJc w:val="left"/>
      <w:lvlText w:val="%1:"/>
      <w:numFmt w:val="upperLetter"/>
      <w:start w:val="1"/>
    </w:lvl>
    <w:lvl w:ilvl="1">
      <w:lvlJc w:val="left"/>
      <w:lvlText w:val="%2"/>
      <w:numFmt w:val="decimal"/>
      <w:start w:val="1"/>
    </w:lvl>
  </w:abstractNum>
  <w:abstractNum w:abstractNumId="13">
    <w:nsid w:val="62BBD95A"/>
    <w:multiLevelType w:val="hybridMultilevel"/>
    <w:lvl w:ilvl="0">
      <w:lvlJc w:val="left"/>
      <w:lvlText w:val="%1"/>
      <w:numFmt w:val="upperLetter"/>
      <w:start w:val="1"/>
    </w:lvl>
    <w:lvl w:ilvl="1">
      <w:lvlJc w:val="left"/>
      <w:lvlText w:val="%2."/>
      <w:numFmt w:val="decimal"/>
      <w:start w:val="12"/>
    </w:lvl>
  </w:abstractNum>
  <w:abstractNum w:abstractNumId="14">
    <w:nsid w:val="436C6125"/>
    <w:multiLevelType w:val="hybridMultilevel"/>
    <w:lvl w:ilvl="0">
      <w:lvlJc w:val="left"/>
      <w:lvlText w:val="%1:"/>
      <w:numFmt w:val="upperLetter"/>
      <w:start w:val="1"/>
    </w:lvl>
    <w:lvl w:ilvl="1">
      <w:lvlJc w:val="left"/>
      <w:lvlText w:val="%2."/>
      <w:numFmt w:val="decimal"/>
      <w:start w:val="13"/>
    </w:lvl>
  </w:abstractNum>
  <w:abstractNum w:abstractNumId="15">
    <w:nsid w:val="628C895D"/>
    <w:multiLevelType w:val="hybridMultilevel"/>
    <w:lvl w:ilvl="0">
      <w:lvlJc w:val="left"/>
      <w:lvlText w:val="%1:"/>
      <w:numFmt w:val="upperLetter"/>
      <w:start w:val="1"/>
    </w:lvl>
    <w:lvl w:ilvl="1">
      <w:lvlJc w:val="left"/>
      <w:lvlText w:val="%2"/>
      <w:numFmt w:val="decimal"/>
      <w:start w:val="1"/>
    </w:lvl>
  </w:abstractNum>
  <w:abstractNum w:abstractNumId="16">
    <w:nsid w:val="333AB105"/>
    <w:multiLevelType w:val="hybridMultilevel"/>
    <w:lvl w:ilvl="0">
      <w:lvlJc w:val="left"/>
      <w:lvlText w:val="%1"/>
      <w:numFmt w:val="upperLetter"/>
      <w:start w:val="1"/>
    </w:lvl>
    <w:lvl w:ilvl="1">
      <w:lvlJc w:val="left"/>
      <w:lvlText w:val="%2."/>
      <w:numFmt w:val="decimal"/>
      <w:start w:val="14"/>
    </w:lvl>
  </w:abstractNum>
  <w:abstractNum w:abstractNumId="17">
    <w:nsid w:val="721DA317"/>
    <w:multiLevelType w:val="hybridMultilevel"/>
    <w:lvl w:ilvl="0">
      <w:lvlJc w:val="left"/>
      <w:lvlText w:val="%1:"/>
      <w:numFmt w:val="upperLetter"/>
      <w:start w:val="1"/>
    </w:lvl>
    <w:lvl w:ilvl="1">
      <w:lvlJc w:val="left"/>
      <w:lvlText w:val="%2."/>
      <w:numFmt w:val="decimal"/>
      <w:start w:val="15"/>
    </w:lvl>
  </w:abstractNum>
  <w:abstractNum w:abstractNumId="18">
    <w:nsid w:val="2443A858"/>
    <w:multiLevelType w:val="hybridMultilevel"/>
    <w:lvl w:ilvl="0">
      <w:lvlJc w:val="left"/>
      <w:lvlText w:val="%1:"/>
      <w:numFmt w:val="upperLetter"/>
      <w:start w:val="1"/>
    </w:lvl>
  </w:abstractNum>
  <w:abstractNum w:abstractNumId="19">
    <w:nsid w:val="2D1D5AE9"/>
    <w:multiLevelType w:val="hybridMultilevel"/>
    <w:lvl w:ilvl="0">
      <w:lvlJc w:val="left"/>
      <w:lvlText w:val="%1"/>
      <w:numFmt w:val="upperLetter"/>
      <w:start w:val="1"/>
    </w:lvl>
    <w:lvl w:ilvl="1">
      <w:lvlJc w:val="left"/>
      <w:lvlText w:val="%2."/>
      <w:numFmt w:val="decimal"/>
      <w:start w:val="16"/>
    </w:lvl>
  </w:abstractNum>
  <w:abstractNum w:abstractNumId="20">
    <w:nsid w:val="6763845E"/>
    <w:multiLevelType w:val="hybridMultilevel"/>
    <w:lvl w:ilvl="0">
      <w:lvlJc w:val="left"/>
      <w:lvlText w:val="%1:"/>
      <w:numFmt w:val="upperLetter"/>
      <w:start w:val="1"/>
    </w:lvl>
    <w:lvl w:ilvl="1">
      <w:lvlJc w:val="left"/>
      <w:lvlText w:val="%2."/>
      <w:numFmt w:val="decimal"/>
      <w:start w:val="17"/>
    </w:lvl>
  </w:abstractNum>
  <w:abstractNum w:abstractNumId="21">
    <w:nsid w:val="75A2A8D4"/>
    <w:multiLevelType w:val="hybridMultilevel"/>
    <w:lvl w:ilvl="0">
      <w:lvlJc w:val="left"/>
      <w:lvlText w:val="%1:"/>
      <w:numFmt w:val="upperLetter"/>
      <w:start w:val="1"/>
    </w:lvl>
    <w:lvl w:ilvl="1">
      <w:lvlJc w:val="left"/>
      <w:lvlText w:val="%2."/>
      <w:numFmt w:val="decimal"/>
      <w:start w:val="18"/>
    </w:lvl>
  </w:abstractNum>
  <w:abstractNum w:abstractNumId="22">
    <w:nsid w:val="8EDBDAB"/>
    <w:multiLevelType w:val="hybridMultilevel"/>
    <w:lvl w:ilvl="0">
      <w:lvlJc w:val="left"/>
      <w:lvlText w:val="%1:"/>
      <w:numFmt w:val="upperLetter"/>
      <w:start w:val="1"/>
    </w:lvl>
    <w:lvl w:ilvl="1">
      <w:lvlJc w:val="left"/>
      <w:lvlText w:val="%2"/>
      <w:numFmt w:val="decimal"/>
      <w:start w:val="1"/>
    </w:lvl>
  </w:abstractNum>
  <w:abstractNum w:abstractNumId="23">
    <w:nsid w:val="79838CB2"/>
    <w:multiLevelType w:val="hybridMultilevel"/>
    <w:lvl w:ilvl="0">
      <w:lvlJc w:val="left"/>
      <w:lvlText w:val="%1"/>
      <w:numFmt w:val="upperLetter"/>
      <w:start w:val="1"/>
    </w:lvl>
    <w:lvl w:ilvl="1">
      <w:lvlJc w:val="left"/>
      <w:lvlText w:val="%2."/>
      <w:numFmt w:val="decimal"/>
      <w:start w:val="19"/>
    </w:lvl>
  </w:abstractNum>
  <w:abstractNum w:abstractNumId="24">
    <w:nsid w:val="4353D0CD"/>
    <w:multiLevelType w:val="hybridMultilevel"/>
    <w:lvl w:ilvl="0">
      <w:lvlJc w:val="left"/>
      <w:lvlText w:val="%1:"/>
      <w:numFmt w:val="upperLetter"/>
      <w:start w:val="1"/>
    </w:lvl>
    <w:lvl w:ilvl="1">
      <w:lvlJc w:val="left"/>
      <w:lvlText w:val="%2"/>
      <w:numFmt w:val="decimal"/>
      <w:start w:val="1"/>
    </w:lvl>
  </w:abstractNum>
  <w:abstractNum w:abstractNumId="25">
    <w:nsid w:val="B03E0C6"/>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2022-09-06T16:18:30Z</dcterms:created>
  <dcterms:modified xsi:type="dcterms:W3CDTF">2022-09-06T16:18:30Z</dcterms:modified>
</cp:coreProperties>
</file>