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890" cy="5257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25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Dun Haiping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ACM RESEARCH, INC.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42307 OSGOOD ROAD, SUITE I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ACM Research,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ACMR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0.5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890,090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05/14/2024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761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889,329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04/30/2025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95,001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-2009775</wp:posOffset>
            </wp:positionV>
            <wp:extent cx="29210" cy="20148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4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14, 2024, the reporting person exercised, by net exercise, a previously issued stock option to purchase 35,000 shares of Class A Common Stock of the Issuer. The reporting person paid the exercise price on a cashless basis, resulting in the Issuer withholding 761 shares of Class A Common Stock for payment of the exercise price, based on the closing price of the Issuer's Class A Common Stock on May 13, 2024 of $23.02, and issuing to the reporting person the remaining 34,239 shares of Class A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is fully vested and exercisable.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Mark McKechnie,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05/16/2024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481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Haiping Dun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318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18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21581" TargetMode="External"/><Relationship Id="rId13" Type="http://schemas.openxmlformats.org/officeDocument/2006/relationships/hyperlink" Target="http://www.sec.gov/cgi-bin/browse-edgar?action=getcompany&amp;CIK=00016800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2024-05-16T08:04:27Z</dcterms:created>
  <dcterms:modified xsi:type="dcterms:W3CDTF">2024-05-16T08:04:27Z</dcterms:modified>
</cp:coreProperties>
</file>