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4D4D4F"/>
        </w:rPr>
        <w:t>SCHEDULE 14A</w:t>
      </w:r>
    </w:p>
    <w:p>
      <w:pPr>
        <w:spacing w:after="0" w:line="1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4D4D4F"/>
        </w:rPr>
        <w:t>Proxy Statement Pursuant to</w:t>
      </w:r>
    </w:p>
    <w:p>
      <w:pPr>
        <w:jc w:val="center"/>
        <w:spacing w:after="0"/>
        <w:rPr>
          <w:sz w:val="20"/>
          <w:szCs w:val="20"/>
          <w:color w:val="auto"/>
        </w:rPr>
      </w:pPr>
      <w:r>
        <w:rPr>
          <w:rFonts w:ascii="Arial" w:cs="Arial" w:eastAsia="Arial" w:hAnsi="Arial"/>
          <w:sz w:val="22"/>
          <w:szCs w:val="22"/>
          <w:b w:val="1"/>
          <w:bCs w:val="1"/>
          <w:color w:val="4D4D4F"/>
        </w:rPr>
        <w:t>Section 14(a) of the Securities Exchange Act of 1934</w:t>
      </w:r>
    </w:p>
    <w:p>
      <w:pPr>
        <w:spacing w:after="0" w:line="203" w:lineRule="exact"/>
        <w:rPr>
          <w:sz w:val="24"/>
          <w:szCs w:val="24"/>
          <w:color w:val="auto"/>
        </w:rPr>
      </w:pPr>
    </w:p>
    <w:p>
      <w:pPr>
        <w:spacing w:after="0" w:line="207" w:lineRule="exact"/>
        <w:tabs>
          <w:tab w:leader="none" w:pos="728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8"/>
          <w:szCs w:val="18"/>
          <w:color w:val="4D4D4F"/>
        </w:rPr>
        <w:t xml:space="preserve">Filed by a Party other than the Registrant </w:t>
      </w:r>
      <w:r>
        <w:rPr>
          <w:rFonts w:ascii="MS PGothic" w:cs="MS PGothic" w:eastAsia="MS PGothic" w:hAnsi="MS PGothic"/>
          <w:sz w:val="18"/>
          <w:szCs w:val="18"/>
          <w:color w:val="4D4D4F"/>
        </w:rPr>
        <w:t>☐</w:t>
      </w:r>
    </w:p>
    <w:p>
      <w:pPr>
        <w:spacing w:after="0" w:line="251" w:lineRule="exact"/>
        <w:rPr>
          <w:sz w:val="24"/>
          <w:szCs w:val="24"/>
          <w:color w:val="auto"/>
        </w:rPr>
      </w:pPr>
    </w:p>
    <w:p>
      <w:pPr>
        <w:spacing w:after="0"/>
        <w:rPr>
          <w:sz w:val="20"/>
          <w:szCs w:val="20"/>
          <w:color w:val="auto"/>
        </w:rPr>
      </w:pPr>
      <w:r>
        <w:rPr>
          <w:rFonts w:ascii="Arial" w:cs="Arial" w:eastAsia="Arial" w:hAnsi="Arial"/>
          <w:sz w:val="22"/>
          <w:szCs w:val="22"/>
          <w:color w:val="4D4D4F"/>
        </w:rPr>
        <w:t>Check the appropriate box:</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Preliminary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b w:val="1"/>
          <w:bCs w:val="1"/>
          <w:color w:val="4D4D4F"/>
        </w:rPr>
        <w:t>Confidential, for Use of the Commission Only (as permitted by Rule 14a-6(e)(2))</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Definitive Proxy Statement</w:t>
      </w:r>
    </w:p>
    <w:p>
      <w:pPr>
        <w:ind w:left="340" w:hanging="332"/>
        <w:spacing w:after="0" w:line="235" w:lineRule="auto"/>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Definitive Additional Materials</w:t>
      </w:r>
    </w:p>
    <w:p>
      <w:pPr>
        <w:spacing w:after="0" w:line="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163195</wp:posOffset>
            </wp:positionV>
            <wp:extent cx="97726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ACM Research, Inc.</w:t>
      </w:r>
    </w:p>
    <w:p>
      <w:pPr>
        <w:spacing w:after="0" w:line="47" w:lineRule="exact"/>
        <w:rPr>
          <w:sz w:val="24"/>
          <w:szCs w:val="24"/>
          <w:color w:val="auto"/>
        </w:rPr>
      </w:pPr>
    </w:p>
    <w:p>
      <w:pPr>
        <w:ind w:left="3060"/>
        <w:spacing w:after="0"/>
        <w:rPr>
          <w:sz w:val="20"/>
          <w:szCs w:val="20"/>
          <w:color w:val="auto"/>
        </w:rPr>
      </w:pPr>
      <w:r>
        <w:rPr>
          <w:rFonts w:ascii="Arial" w:cs="Arial" w:eastAsia="Arial" w:hAnsi="Arial"/>
          <w:sz w:val="22"/>
          <w:szCs w:val="22"/>
          <w:color w:val="4D4D4F"/>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4D4D4F"/>
        </w:rPr>
        <w:t>Payment of Filing Fee (Check the appropriate box):</w:t>
      </w:r>
    </w:p>
    <w:p>
      <w:pPr>
        <w:spacing w:after="0" w:line="3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4D4D4F"/>
        </w:rPr>
      </w:pPr>
      <w:r>
        <w:rPr>
          <w:rFonts w:ascii="Arial" w:cs="Arial" w:eastAsia="Arial" w:hAnsi="Arial"/>
          <w:sz w:val="18"/>
          <w:szCs w:val="18"/>
          <w:color w:val="4D4D4F"/>
        </w:rPr>
        <w:t>No fee required.</w:t>
      </w:r>
    </w:p>
    <w:p>
      <w:pPr>
        <w:ind w:left="340" w:hanging="332"/>
        <w:spacing w:after="0" w:line="234" w:lineRule="auto"/>
        <w:tabs>
          <w:tab w:leader="none" w:pos="340" w:val="left"/>
        </w:tabs>
        <w:numPr>
          <w:ilvl w:val="0"/>
          <w:numId w:val="5"/>
        </w:numPr>
        <w:rPr>
          <w:rFonts w:ascii="MS PGothic" w:cs="MS PGothic" w:eastAsia="MS PGothic" w:hAnsi="MS PGothic"/>
          <w:sz w:val="18"/>
          <w:szCs w:val="18"/>
          <w:color w:val="4D4D4F"/>
        </w:rPr>
      </w:pPr>
      <w:r>
        <w:rPr>
          <w:rFonts w:ascii="Arial" w:cs="Arial" w:eastAsia="Arial" w:hAnsi="Arial"/>
          <w:sz w:val="18"/>
          <w:szCs w:val="18"/>
          <w:color w:val="4D4D4F"/>
        </w:rPr>
        <w:t>Fee computed on table below per Exchange Act Rules 14a-6(i)(1) and 0-11.</w:t>
      </w: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196"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238" w:lineRule="exact"/>
        <w:rPr>
          <w:rFonts w:ascii="Arial" w:cs="Arial" w:eastAsia="Arial" w:hAnsi="Arial"/>
          <w:sz w:val="18"/>
          <w:szCs w:val="18"/>
          <w:color w:val="4D4D4F"/>
        </w:rPr>
      </w:pPr>
    </w:p>
    <w:p>
      <w:pPr>
        <w:ind w:left="920" w:hanging="575"/>
        <w:spacing w:after="0" w:line="322" w:lineRule="auto"/>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92"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238"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225" w:lineRule="exact"/>
        <w:rPr>
          <w:rFonts w:ascii="Arial" w:cs="Arial" w:eastAsia="Arial" w:hAnsi="Arial"/>
          <w:sz w:val="18"/>
          <w:szCs w:val="18"/>
          <w:color w:val="4D4D4F"/>
        </w:rPr>
      </w:pPr>
    </w:p>
    <w:p>
      <w:pPr>
        <w:ind w:left="340" w:hanging="332"/>
        <w:spacing w:after="0"/>
        <w:tabs>
          <w:tab w:leader="none" w:pos="340" w:val="left"/>
        </w:tabs>
        <w:numPr>
          <w:ilvl w:val="0"/>
          <w:numId w:val="5"/>
        </w:numPr>
        <w:rPr>
          <w:rFonts w:ascii="MS PGothic" w:cs="MS PGothic" w:eastAsia="MS PGothic" w:hAnsi="MS PGothic"/>
          <w:sz w:val="18"/>
          <w:szCs w:val="18"/>
          <w:color w:val="4D4D4F"/>
        </w:rPr>
      </w:pPr>
      <w:r>
        <w:rPr>
          <w:rFonts w:ascii="Arial" w:cs="Arial" w:eastAsia="Arial" w:hAnsi="Arial"/>
          <w:sz w:val="18"/>
          <w:szCs w:val="18"/>
          <w:color w:val="4D4D4F"/>
        </w:rPr>
        <w:t>Fee paid previously with preliminary materials.</w:t>
      </w:r>
    </w:p>
    <w:p>
      <w:pPr>
        <w:spacing w:after="0" w:line="37" w:lineRule="exact"/>
        <w:rPr>
          <w:rFonts w:ascii="MS PGothic" w:cs="MS PGothic" w:eastAsia="MS PGothic" w:hAnsi="MS PGothic"/>
          <w:sz w:val="18"/>
          <w:szCs w:val="18"/>
          <w:color w:val="4D4D4F"/>
        </w:rPr>
      </w:pPr>
    </w:p>
    <w:p>
      <w:pPr>
        <w:jc w:val="both"/>
        <w:ind w:left="340" w:hanging="332"/>
        <w:spacing w:after="0"/>
        <w:tabs>
          <w:tab w:leader="none" w:pos="340" w:val="left"/>
        </w:tabs>
        <w:numPr>
          <w:ilvl w:val="0"/>
          <w:numId w:val="5"/>
        </w:numPr>
        <w:rPr>
          <w:rFonts w:ascii="MS PGothic" w:cs="MS PGothic" w:eastAsia="MS PGothic" w:hAnsi="MS PGothic"/>
          <w:sz w:val="18"/>
          <w:szCs w:val="18"/>
          <w:color w:val="4D4D4F"/>
        </w:rPr>
      </w:pPr>
      <w:r>
        <w:rPr>
          <w:rFonts w:ascii="Arial" w:cs="Arial" w:eastAsia="Arial" w:hAnsi="Arial"/>
          <w:sz w:val="18"/>
          <w:szCs w:val="18"/>
          <w:color w:val="4D4D4F"/>
        </w:rPr>
        <w:t>Check box if any part of the fee is oﬀset as provided by Exchange Act Rule 0-11(a)(2) and identify the filing for which the oﬀsetting fee was paid previously. Identify the previous filing by registration statement number, or the Form or Schedule and the date of its filing.</w:t>
      </w:r>
    </w:p>
    <w:p>
      <w:pPr>
        <w:spacing w:after="0" w:line="193" w:lineRule="exact"/>
        <w:rPr>
          <w:rFonts w:ascii="MS PGothic" w:cs="MS PGothic" w:eastAsia="MS PGothic" w:hAnsi="MS PGothic"/>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156"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198"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198" w:lineRule="exact"/>
        <w:rPr>
          <w:rFonts w:ascii="Arial" w:cs="Arial" w:eastAsia="Arial" w:hAnsi="Arial"/>
          <w:sz w:val="18"/>
          <w:szCs w:val="18"/>
          <w:color w:val="4D4D4F"/>
        </w:rPr>
      </w:pPr>
    </w:p>
    <w:p>
      <w:pPr>
        <w:ind w:left="920" w:hanging="575"/>
        <w:spacing w:after="0"/>
        <w:tabs>
          <w:tab w:leader="none" w:pos="92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-1395095</wp:posOffset>
            </wp:positionV>
            <wp:extent cx="65576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-1678305</wp:posOffset>
            </wp:positionV>
            <wp:extent cx="65576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-1960880</wp:posOffset>
            </wp:positionV>
            <wp:extent cx="65576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-2372360</wp:posOffset>
            </wp:positionV>
            <wp:extent cx="65576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-2655570</wp:posOffset>
            </wp:positionV>
            <wp:extent cx="65576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 w:name="page2"/>
    <w:bookmarkEnd w:id="1"/>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88900</wp:posOffset>
            </wp:positionV>
            <wp:extent cx="1139825"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4D4D4F"/>
        </w:rPr>
        <w:t>S</w:t>
      </w:r>
      <w:r>
        <w:rPr>
          <w:rFonts w:ascii="Arial" w:cs="Arial" w:eastAsia="Arial" w:hAnsi="Arial"/>
          <w:sz w:val="14"/>
          <w:szCs w:val="14"/>
          <w:b w:val="1"/>
          <w:bCs w:val="1"/>
          <w:color w:val="4D4D4F"/>
        </w:rPr>
        <w:t>UPPLEMENT TO</w:t>
      </w:r>
      <w:r>
        <w:rPr>
          <w:rFonts w:ascii="Arial" w:cs="Arial" w:eastAsia="Arial" w:hAnsi="Arial"/>
          <w:sz w:val="22"/>
          <w:szCs w:val="22"/>
          <w:b w:val="1"/>
          <w:bCs w:val="1"/>
          <w:color w:val="4D4D4F"/>
        </w:rPr>
        <w:t xml:space="preserve"> P</w:t>
      </w:r>
      <w:r>
        <w:rPr>
          <w:rFonts w:ascii="Arial" w:cs="Arial" w:eastAsia="Arial" w:hAnsi="Arial"/>
          <w:sz w:val="14"/>
          <w:szCs w:val="14"/>
          <w:b w:val="1"/>
          <w:bCs w:val="1"/>
          <w:color w:val="4D4D4F"/>
        </w:rPr>
        <w:t>ROXY</w:t>
      </w:r>
      <w:r>
        <w:rPr>
          <w:rFonts w:ascii="Arial" w:cs="Arial" w:eastAsia="Arial" w:hAnsi="Arial"/>
          <w:sz w:val="22"/>
          <w:szCs w:val="22"/>
          <w:b w:val="1"/>
          <w:bCs w:val="1"/>
          <w:color w:val="4D4D4F"/>
        </w:rPr>
        <w:t xml:space="preserve"> S</w:t>
      </w:r>
      <w:r>
        <w:rPr>
          <w:rFonts w:ascii="Arial" w:cs="Arial" w:eastAsia="Arial" w:hAnsi="Arial"/>
          <w:sz w:val="14"/>
          <w:szCs w:val="14"/>
          <w:b w:val="1"/>
          <w:bCs w:val="1"/>
          <w:color w:val="4D4D4F"/>
        </w:rPr>
        <w:t>TATEMENT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D4D4F"/>
        </w:rPr>
        <w:t>F</w:t>
      </w:r>
      <w:r>
        <w:rPr>
          <w:rFonts w:ascii="Arial" w:cs="Arial" w:eastAsia="Arial" w:hAnsi="Arial"/>
          <w:sz w:val="14"/>
          <w:szCs w:val="14"/>
          <w:b w:val="1"/>
          <w:bCs w:val="1"/>
          <w:color w:val="4D4D4F"/>
        </w:rPr>
        <w:t>OR</w:t>
      </w:r>
      <w:r>
        <w:rPr>
          <w:rFonts w:ascii="Arial" w:cs="Arial" w:eastAsia="Arial" w:hAnsi="Arial"/>
          <w:sz w:val="22"/>
          <w:szCs w:val="22"/>
          <w:b w:val="1"/>
          <w:bCs w:val="1"/>
          <w:color w:val="4D4D4F"/>
        </w:rPr>
        <w:t xml:space="preserve"> 2021 A</w:t>
      </w:r>
      <w:r>
        <w:rPr>
          <w:rFonts w:ascii="Arial" w:cs="Arial" w:eastAsia="Arial" w:hAnsi="Arial"/>
          <w:sz w:val="14"/>
          <w:szCs w:val="14"/>
          <w:b w:val="1"/>
          <w:bCs w:val="1"/>
          <w:color w:val="4D4D4F"/>
        </w:rPr>
        <w:t>NNUAL</w:t>
      </w:r>
      <w:r>
        <w:rPr>
          <w:rFonts w:ascii="Arial" w:cs="Arial" w:eastAsia="Arial" w:hAnsi="Arial"/>
          <w:sz w:val="22"/>
          <w:szCs w:val="22"/>
          <w:b w:val="1"/>
          <w:bCs w:val="1"/>
          <w:color w:val="4D4D4F"/>
        </w:rPr>
        <w:t xml:space="preserve"> M</w:t>
      </w:r>
      <w:r>
        <w:rPr>
          <w:rFonts w:ascii="Arial" w:cs="Arial" w:eastAsia="Arial" w:hAnsi="Arial"/>
          <w:sz w:val="14"/>
          <w:szCs w:val="14"/>
          <w:b w:val="1"/>
          <w:bCs w:val="1"/>
          <w:color w:val="4D4D4F"/>
        </w:rPr>
        <w:t>EETING OF</w:t>
      </w:r>
      <w:r>
        <w:rPr>
          <w:rFonts w:ascii="Arial" w:cs="Arial" w:eastAsia="Arial" w:hAnsi="Arial"/>
          <w:sz w:val="22"/>
          <w:szCs w:val="22"/>
          <w:b w:val="1"/>
          <w:bCs w:val="1"/>
          <w:color w:val="4D4D4F"/>
        </w:rPr>
        <w:t xml:space="preserve"> S</w:t>
      </w:r>
      <w:r>
        <w:rPr>
          <w:rFonts w:ascii="Arial" w:cs="Arial" w:eastAsia="Arial" w:hAnsi="Arial"/>
          <w:sz w:val="14"/>
          <w:szCs w:val="14"/>
          <w:b w:val="1"/>
          <w:bCs w:val="1"/>
          <w:color w:val="4D4D4F"/>
        </w:rPr>
        <w:t>TOCKHOLDERS TO BE</w:t>
      </w:r>
      <w:r>
        <w:rPr>
          <w:rFonts w:ascii="Arial" w:cs="Arial" w:eastAsia="Arial" w:hAnsi="Arial"/>
          <w:sz w:val="22"/>
          <w:szCs w:val="22"/>
          <w:b w:val="1"/>
          <w:bCs w:val="1"/>
          <w:color w:val="4D4D4F"/>
        </w:rPr>
        <w:t xml:space="preserve"> H</w:t>
      </w:r>
      <w:r>
        <w:rPr>
          <w:rFonts w:ascii="Arial" w:cs="Arial" w:eastAsia="Arial" w:hAnsi="Arial"/>
          <w:sz w:val="14"/>
          <w:szCs w:val="14"/>
          <w:b w:val="1"/>
          <w:bCs w:val="1"/>
          <w:color w:val="4D4D4F"/>
        </w:rPr>
        <w:t>ELD ON</w:t>
      </w:r>
      <w:r>
        <w:rPr>
          <w:rFonts w:ascii="Arial" w:cs="Arial" w:eastAsia="Arial" w:hAnsi="Arial"/>
          <w:sz w:val="22"/>
          <w:szCs w:val="22"/>
          <w:b w:val="1"/>
          <w:bCs w:val="1"/>
          <w:color w:val="4D4D4F"/>
        </w:rPr>
        <w:t xml:space="preserve"> J</w:t>
      </w:r>
      <w:r>
        <w:rPr>
          <w:rFonts w:ascii="Arial" w:cs="Arial" w:eastAsia="Arial" w:hAnsi="Arial"/>
          <w:sz w:val="14"/>
          <w:szCs w:val="14"/>
          <w:b w:val="1"/>
          <w:bCs w:val="1"/>
          <w:color w:val="4D4D4F"/>
        </w:rPr>
        <w:t>UNE</w:t>
      </w:r>
      <w:r>
        <w:rPr>
          <w:rFonts w:ascii="Arial" w:cs="Arial" w:eastAsia="Arial" w:hAnsi="Arial"/>
          <w:sz w:val="22"/>
          <w:szCs w:val="22"/>
          <w:b w:val="1"/>
          <w:bCs w:val="1"/>
          <w:color w:val="4D4D4F"/>
        </w:rPr>
        <w:t xml:space="preserve"> 2, 2021</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4D4D4F"/>
        </w:rPr>
        <w:t>The following information relates to the proxy statement of ACM Research, Inc. filed with the Securities and Exchange Commission on April 23, 2021, or the Proxy Statement, in connection with the 2021 Annual Meeting of Stockholders to be held via live audio webcast on June 2, 2021 at 7:00 a.m., Pacific time. All capitalized terms used but not otherwise defined in this Supplement have the meanings ascribed to them in the Proxy Statement.</w:t>
      </w:r>
    </w:p>
    <w:p>
      <w:pPr>
        <w:spacing w:after="0" w:line="200" w:lineRule="exact"/>
        <w:rPr>
          <w:sz w:val="20"/>
          <w:szCs w:val="20"/>
          <w:color w:val="auto"/>
        </w:rPr>
      </w:pPr>
    </w:p>
    <w:p>
      <w:pPr>
        <w:spacing w:after="0" w:line="220" w:lineRule="exact"/>
        <w:rPr>
          <w:sz w:val="20"/>
          <w:szCs w:val="20"/>
          <w:color w:val="auto"/>
        </w:rPr>
      </w:pPr>
    </w:p>
    <w:p>
      <w:pPr>
        <w:jc w:val="both"/>
        <w:ind w:left="1340" w:right="1320" w:firstLine="69"/>
        <w:spacing w:after="0" w:line="326" w:lineRule="auto"/>
        <w:rPr>
          <w:sz w:val="20"/>
          <w:szCs w:val="20"/>
          <w:color w:val="auto"/>
        </w:rPr>
      </w:pPr>
      <w:r>
        <w:rPr>
          <w:rFonts w:ascii="Arial" w:cs="Arial" w:eastAsia="Arial" w:hAnsi="Arial"/>
          <w:sz w:val="22"/>
          <w:szCs w:val="22"/>
          <w:b w:val="1"/>
          <w:bCs w:val="1"/>
          <w:color w:val="4D4D4F"/>
        </w:rPr>
        <w:t>THIS SUPPLEMENT CONTAINS IMPORTANT ADDITIONAL INFORMATION AND SHOULD BE READ IN CONJUNCTION WITH THE PROXY STATEMENT.</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4D4D4F"/>
        </w:rPr>
        <w:t xml:space="preserve">The information in this Supplement modifies and supersedes any inconsistent information contained in the Proxy Statement. We urge you to read this Supplement, together with the Proxy Statement, carefully. </w:t>
      </w:r>
      <w:r>
        <w:rPr>
          <w:rFonts w:ascii="Arial" w:cs="Arial" w:eastAsia="Arial" w:hAnsi="Arial"/>
          <w:sz w:val="22"/>
          <w:szCs w:val="22"/>
          <w:i w:val="1"/>
          <w:iCs w:val="1"/>
          <w:color w:val="4D4D4F"/>
        </w:rPr>
        <w:t>The supplemental information on the following page is being provided for the purpose of</w:t>
      </w:r>
      <w:r>
        <w:rPr>
          <w:rFonts w:ascii="Arial" w:cs="Arial" w:eastAsia="Arial" w:hAnsi="Arial"/>
          <w:sz w:val="22"/>
          <w:szCs w:val="22"/>
          <w:color w:val="4D4D4F"/>
        </w:rPr>
        <w:t xml:space="preserve"> </w:t>
      </w:r>
      <w:r>
        <w:rPr>
          <w:rFonts w:ascii="Arial" w:cs="Arial" w:eastAsia="Arial" w:hAnsi="Arial"/>
          <w:sz w:val="22"/>
          <w:szCs w:val="22"/>
          <w:i w:val="1"/>
          <w:iCs w:val="1"/>
          <w:color w:val="4D4D4F"/>
        </w:rPr>
        <w:t>stating that Proposal 2, the approval of amendments to our certificate of incorporation principally to increase the numbers of authorized shares of common stock, is a routine matter, rather than a non-routine matter as previously described in the Proxy Statement. As a result, discretionary votes by brokers will be counted with respect to Proposal 2.</w:t>
      </w:r>
    </w:p>
    <w:p>
      <w:pPr>
        <w:spacing w:after="0" w:line="200" w:lineRule="exact"/>
        <w:rPr>
          <w:sz w:val="20"/>
          <w:szCs w:val="20"/>
          <w:color w:val="auto"/>
        </w:rPr>
      </w:pP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4D4D4F"/>
        </w:rPr>
        <w:t>Except as amended by information contained in this Supplement, all information set forth in the Proxy Statement remains unchanged. This Supplement does not reflect any other events occurring after the date of the Proxy Statement or modify or update disclosures that may have been aﬀected by subsequent events. From and after the date of this Supplement, any references to the “Proxy Statement” in the proxy materials for the Annual Meeting are to the Proxy Statement as supplemented by this Supplement.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D4D4F"/>
        </w:rPr>
        <w:t>The Board of Directors recommends a vote in favor of all proposals.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4D4D4F"/>
        </w:rPr>
        <w:t>If you have already voted, you do not need to vote again unless you would like to change your prior vote on any proposal. If you have already properly submitted your proxy and would like to change your vote, you may revoke your proxy before it is voted at the annual meeting by:</w:t>
      </w:r>
    </w:p>
    <w:p>
      <w:pPr>
        <w:ind w:left="660" w:hanging="328"/>
        <w:spacing w:after="0" w:line="238" w:lineRule="auto"/>
        <w:tabs>
          <w:tab w:leader="none" w:pos="66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submitting another properly completed proxy card with a later date;</w:t>
      </w:r>
    </w:p>
    <w:p>
      <w:pPr>
        <w:ind w:left="660" w:hanging="328"/>
        <w:spacing w:after="0" w:line="234" w:lineRule="auto"/>
        <w:tabs>
          <w:tab w:leader="none" w:pos="66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granting a subsequent proxy by telephone or through the Internet;</w:t>
      </w:r>
    </w:p>
    <w:p>
      <w:pPr>
        <w:ind w:left="660" w:right="220" w:hanging="328"/>
        <w:spacing w:after="0" w:line="234" w:lineRule="auto"/>
        <w:tabs>
          <w:tab w:leader="none" w:pos="66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sending a timely written notice that you are revoking your proxy to our Corporate Secretary at ACM Research, Inc., 42307 Osgood Road, Suite I, Fremont, California 94539; or</w:t>
      </w:r>
    </w:p>
    <w:p>
      <w:pPr>
        <w:spacing w:after="0" w:line="1" w:lineRule="exact"/>
        <w:rPr>
          <w:rFonts w:ascii="Arial" w:cs="Arial" w:eastAsia="Arial" w:hAnsi="Arial"/>
          <w:sz w:val="18"/>
          <w:szCs w:val="18"/>
          <w:color w:val="4D4D4F"/>
        </w:rPr>
      </w:pPr>
    </w:p>
    <w:p>
      <w:pPr>
        <w:ind w:left="660" w:right="12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4D4D4F"/>
        </w:rPr>
        <w:t>attending virtually and voting at the annual meeting (simply attending the annual meeting will not, by itself, revoke your proxy)</w:t>
      </w:r>
      <w:r>
        <w:rPr>
          <w:rFonts w:ascii="Arial" w:cs="Arial" w:eastAsia="Arial" w:hAnsi="Arial"/>
          <w:sz w:val="18"/>
          <w:szCs w:val="18"/>
          <w:color w:val="000000"/>
        </w:rPr>
        <w:t>.</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4D4D4F"/>
        </w:rPr>
        <w:t>Your most current proxy card or telephone or Internet proxy is the one that is counted. If your shares are held by your broker or bank as a nominee or agent, you should follow the instructions provided by your broker or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062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right="120"/>
        <w:spacing w:after="0" w:line="306" w:lineRule="auto"/>
        <w:rPr>
          <w:sz w:val="20"/>
          <w:szCs w:val="20"/>
          <w:color w:val="auto"/>
        </w:rPr>
      </w:pPr>
      <w:r>
        <w:rPr>
          <w:rFonts w:ascii="Arial" w:cs="Arial" w:eastAsia="Arial" w:hAnsi="Arial"/>
          <w:sz w:val="18"/>
          <w:szCs w:val="18"/>
          <w:b w:val="1"/>
          <w:bCs w:val="1"/>
          <w:i w:val="1"/>
          <w:iCs w:val="1"/>
          <w:color w:val="4D4D4F"/>
        </w:rPr>
        <w:t>Important Notice Regarding the Availability of Proxy Materials for the Annual Meeting of Stockholders to be Held on June 2, 2021 at www.virtualshareholdermeeting.com/ACMR2021:</w:t>
      </w:r>
    </w:p>
    <w:p>
      <w:pPr>
        <w:spacing w:after="0" w:line="70"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b w:val="1"/>
          <w:bCs w:val="1"/>
          <w:color w:val="4D4D4F"/>
        </w:rPr>
        <w:t>The Proxy Statement, this Supplement, the form of proxy card and our 2020 Annual Report to Stockholders are available in the “Investors” section of our website at www.acmrcsh.com and with our current proxy materials at www.proxyvote.com.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4D4D4F"/>
        </w:rPr>
        <w:t>S</w:t>
      </w:r>
      <w:r>
        <w:rPr>
          <w:rFonts w:ascii="Arial" w:cs="Arial" w:eastAsia="Arial" w:hAnsi="Arial"/>
          <w:sz w:val="14"/>
          <w:szCs w:val="14"/>
          <w:b w:val="1"/>
          <w:bCs w:val="1"/>
          <w:color w:val="4D4D4F"/>
        </w:rPr>
        <w:t>UPPLEMENTAL INFORMATION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Questions and Answers About the Annual Meeting</w:t>
      </w:r>
    </w:p>
    <w:p>
      <w:pPr>
        <w:spacing w:after="0" w:line="27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0079C0"/>
        </w:rPr>
      </w:pPr>
      <w:r>
        <w:rPr>
          <w:rFonts w:ascii="Arial" w:cs="Arial" w:eastAsia="Arial" w:hAnsi="Arial"/>
          <w:sz w:val="20"/>
          <w:szCs w:val="20"/>
          <w:b w:val="1"/>
          <w:bCs w:val="1"/>
          <w:color w:val="0079C0"/>
        </w:rPr>
        <w:t>What does it mean for a broker or other nominee to hold shares in “street name”?</w:t>
      </w:r>
    </w:p>
    <w:p>
      <w:pPr>
        <w:spacing w:after="0" w:line="252" w:lineRule="exact"/>
        <w:rPr>
          <w:sz w:val="20"/>
          <w:szCs w:val="20"/>
          <w:color w:val="auto"/>
        </w:rPr>
      </w:pPr>
    </w:p>
    <w:p>
      <w:pPr>
        <w:jc w:val="both"/>
        <w:ind w:left="340" w:hanging="332"/>
        <w:spacing w:after="0" w:line="256" w:lineRule="auto"/>
        <w:tabs>
          <w:tab w:leader="none" w:pos="340" w:val="left"/>
        </w:tabs>
        <w:numPr>
          <w:ilvl w:val="0"/>
          <w:numId w:val="8"/>
        </w:numPr>
        <w:rPr>
          <w:rFonts w:ascii="Arial" w:cs="Arial" w:eastAsia="Arial" w:hAnsi="Arial"/>
          <w:sz w:val="18"/>
          <w:szCs w:val="18"/>
          <w:color w:val="4D4D4F"/>
        </w:rPr>
      </w:pPr>
      <w:r>
        <w:rPr>
          <w:rFonts w:ascii="Arial" w:cs="Arial" w:eastAsia="Arial" w:hAnsi="Arial"/>
          <w:sz w:val="18"/>
          <w:szCs w:val="18"/>
          <w:color w:val="4D4D4F"/>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depend upon whether the proposal is considered a “routine” or a non-routine matter.</w:t>
      </w:r>
    </w:p>
    <w:p>
      <w:pPr>
        <w:spacing w:after="0" w:line="165" w:lineRule="exact"/>
        <w:rPr>
          <w:rFonts w:ascii="Arial" w:cs="Arial" w:eastAsia="Arial" w:hAnsi="Arial"/>
          <w:sz w:val="18"/>
          <w:szCs w:val="18"/>
          <w:color w:val="4D4D4F"/>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4D4D4F"/>
        </w:rPr>
      </w:pPr>
      <w:r>
        <w:rPr>
          <w:rFonts w:ascii="Arial" w:cs="Arial" w:eastAsia="Arial" w:hAnsi="Arial"/>
          <w:sz w:val="18"/>
          <w:szCs w:val="18"/>
          <w:color w:val="4D4D4F"/>
        </w:rPr>
        <w:t>The organization generally may vote your beneficially owned shares on routine items for which you have not provided voting instructions to the organization. The only routine matters expected to be voted on at the Annual Meeting are the amendment to our certificate of incorporation to increase the numbers of shares of common stock (Proposal 2) and the ratification of the appointment of our independent auditor for 2021 (Proposal 3).</w:t>
      </w:r>
    </w:p>
    <w:p>
      <w:pPr>
        <w:spacing w:after="0" w:line="155" w:lineRule="exact"/>
        <w:rPr>
          <w:rFonts w:ascii="Arial" w:cs="Arial" w:eastAsia="Arial" w:hAnsi="Arial"/>
          <w:sz w:val="18"/>
          <w:szCs w:val="18"/>
          <w:color w:val="4D4D4F"/>
        </w:rPr>
      </w:pPr>
    </w:p>
    <w:p>
      <w:pPr>
        <w:jc w:val="both"/>
        <w:ind w:left="660" w:hanging="328"/>
        <w:spacing w:after="0" w:line="291" w:lineRule="auto"/>
        <w:tabs>
          <w:tab w:leader="none" w:pos="660" w:val="left"/>
        </w:tabs>
        <w:numPr>
          <w:ilvl w:val="1"/>
          <w:numId w:val="8"/>
        </w:numPr>
        <w:rPr>
          <w:rFonts w:ascii="Arial" w:cs="Arial" w:eastAsia="Arial" w:hAnsi="Arial"/>
          <w:sz w:val="18"/>
          <w:szCs w:val="18"/>
          <w:color w:val="4D4D4F"/>
        </w:rPr>
      </w:pPr>
      <w:r>
        <w:rPr>
          <w:rFonts w:ascii="Arial" w:cs="Arial" w:eastAsia="Arial" w:hAnsi="Arial"/>
          <w:sz w:val="18"/>
          <w:szCs w:val="18"/>
          <w:color w:val="4D4D4F"/>
        </w:rPr>
        <w:t>The organization generally may not vote on non-routine matters, which consist of Proposals 1 and 4. Instead, it will inform the inspector of election that it does not have the authority to vote on those matters. This is referred to as a “broker non-vote.”</w:t>
      </w:r>
    </w:p>
    <w:p>
      <w:pPr>
        <w:spacing w:after="0" w:line="361"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4D4D4F"/>
        </w:rPr>
        <w:t>For the purpose of determining a quorum, we will treat as present at the Annual Meeting any proxies that are voted on any of the four proposals to be acted upon by the stockholders, including abstentions or proxies containing broker non-votes.</w:t>
      </w:r>
    </w:p>
    <w:p>
      <w:pPr>
        <w:spacing w:after="0" w:line="13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0079C0"/>
        </w:rPr>
      </w:pPr>
      <w:r>
        <w:rPr>
          <w:rFonts w:ascii="Arial" w:cs="Arial" w:eastAsia="Arial" w:hAnsi="Arial"/>
          <w:sz w:val="20"/>
          <w:szCs w:val="20"/>
          <w:b w:val="1"/>
          <w:bCs w:val="1"/>
          <w:color w:val="0079C0"/>
        </w:rPr>
        <w:t>What happens if I do not give specific voting instructions?</w:t>
      </w:r>
    </w:p>
    <w:p>
      <w:pPr>
        <w:spacing w:after="0" w:line="252" w:lineRule="exact"/>
        <w:rPr>
          <w:sz w:val="20"/>
          <w:szCs w:val="20"/>
          <w:color w:val="auto"/>
        </w:rPr>
      </w:pPr>
    </w:p>
    <w:p>
      <w:pPr>
        <w:jc w:val="both"/>
        <w:ind w:left="340" w:hanging="332"/>
        <w:spacing w:after="0" w:line="267" w:lineRule="auto"/>
        <w:tabs>
          <w:tab w:leader="none" w:pos="340" w:val="left"/>
        </w:tabs>
        <w:numPr>
          <w:ilvl w:val="0"/>
          <w:numId w:val="10"/>
        </w:numPr>
        <w:rPr>
          <w:rFonts w:ascii="Arial" w:cs="Arial" w:eastAsia="Arial" w:hAnsi="Arial"/>
          <w:sz w:val="18"/>
          <w:szCs w:val="18"/>
          <w:color w:val="4D4D4F"/>
        </w:rPr>
      </w:pPr>
      <w:r>
        <w:rPr>
          <w:rFonts w:ascii="Arial" w:cs="Arial" w:eastAsia="Arial" w:hAnsi="Arial"/>
          <w:sz w:val="18"/>
          <w:szCs w:val="18"/>
          <w:color w:val="4D4D4F"/>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p>
      <w:pPr>
        <w:spacing w:after="0" w:line="375" w:lineRule="exact"/>
        <w:rPr>
          <w:sz w:val="20"/>
          <w:szCs w:val="20"/>
          <w:color w:val="auto"/>
        </w:rPr>
      </w:pPr>
    </w:p>
    <w:p>
      <w:pPr>
        <w:jc w:val="both"/>
        <w:ind w:left="340"/>
        <w:spacing w:after="0" w:line="252" w:lineRule="auto"/>
        <w:rPr>
          <w:sz w:val="20"/>
          <w:szCs w:val="20"/>
          <w:color w:val="auto"/>
        </w:rPr>
      </w:pPr>
      <w:r>
        <w:rPr>
          <w:rFonts w:ascii="Arial" w:cs="Arial" w:eastAsia="Arial" w:hAnsi="Arial"/>
          <w:sz w:val="22"/>
          <w:szCs w:val="22"/>
          <w:color w:val="4D4D4F"/>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matters expected to be voted on at the Annual Meeting are the amendments to our certificate of incorporation to increase the numbers of authorized shares of common stock (Proposal</w:t>
      </w:r>
    </w:p>
    <w:p>
      <w:pPr>
        <w:spacing w:after="0" w:line="4" w:lineRule="exact"/>
        <w:rPr>
          <w:sz w:val="20"/>
          <w:szCs w:val="20"/>
          <w:color w:val="auto"/>
        </w:rPr>
      </w:pPr>
    </w:p>
    <w:p>
      <w:pPr>
        <w:jc w:val="both"/>
        <w:ind w:left="340" w:hanging="8"/>
        <w:spacing w:after="0" w:line="250" w:lineRule="auto"/>
        <w:tabs>
          <w:tab w:leader="none" w:pos="652" w:val="left"/>
        </w:tabs>
        <w:numPr>
          <w:ilvl w:val="0"/>
          <w:numId w:val="11"/>
        </w:numPr>
        <w:rPr>
          <w:rFonts w:ascii="Arial" w:cs="Arial" w:eastAsia="Arial" w:hAnsi="Arial"/>
          <w:sz w:val="22"/>
          <w:szCs w:val="22"/>
          <w:color w:val="4D4D4F"/>
        </w:rPr>
      </w:pPr>
      <w:r>
        <w:rPr>
          <w:rFonts w:ascii="Arial" w:cs="Arial" w:eastAsia="Arial" w:hAnsi="Arial"/>
          <w:sz w:val="22"/>
          <w:szCs w:val="22"/>
          <w:color w:val="4D4D4F"/>
        </w:rPr>
        <w:t>and the ratification of the appointment of our independent auditor for 2021 (Proposal 3). If the organization does not receive instructions from you on how to vote your shares on either or both of the election of directors (Proposal 1) or the advisory vote on 2020 executive compensation (Proposal 4), your shares will be subject to a broker non-vote and no vote will be cast on that proposal or proposals. See “</w:t>
      </w:r>
      <w:r>
        <w:rPr>
          <w:rFonts w:ascii="Arial" w:cs="Arial" w:eastAsia="Arial" w:hAnsi="Arial"/>
          <w:sz w:val="22"/>
          <w:szCs w:val="22"/>
          <w:color w:val="0079C0"/>
        </w:rPr>
        <w:t>Q. What does it mean for a broker or other nominee to hold shares in</w:t>
      </w:r>
      <w:r>
        <w:rPr>
          <w:rFonts w:ascii="Arial" w:cs="Arial" w:eastAsia="Arial" w:hAnsi="Arial"/>
          <w:sz w:val="22"/>
          <w:szCs w:val="22"/>
          <w:color w:val="4D4D4F"/>
        </w:rPr>
        <w:t xml:space="preserve"> </w:t>
      </w:r>
      <w:r>
        <w:rPr>
          <w:rFonts w:ascii="Arial" w:cs="Arial" w:eastAsia="Arial" w:hAnsi="Arial"/>
          <w:sz w:val="22"/>
          <w:szCs w:val="22"/>
          <w:color w:val="0079C0"/>
        </w:rPr>
        <w:t>‘street name’?</w:t>
      </w:r>
      <w:r>
        <w:rPr>
          <w:rFonts w:ascii="Arial" w:cs="Arial" w:eastAsia="Arial" w:hAnsi="Arial"/>
          <w:sz w:val="22"/>
          <w:szCs w:val="22"/>
          <w:color w:val="4D4D4F"/>
        </w:rPr>
        <w:t>” above.</w:t>
      </w:r>
    </w:p>
    <w:p>
      <w:pPr>
        <w:spacing w:after="0" w:line="200" w:lineRule="exact"/>
        <w:rPr>
          <w:sz w:val="20"/>
          <w:szCs w:val="20"/>
          <w:color w:val="auto"/>
        </w:rPr>
      </w:pPr>
    </w:p>
    <w:p>
      <w:pPr>
        <w:spacing w:after="0" w:line="212"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003E64"/>
        </w:rPr>
        <w:t>Vote Required for Election or Approval</w:t>
      </w:r>
    </w:p>
    <w:p>
      <w:pPr>
        <w:spacing w:after="0" w:line="274" w:lineRule="exact"/>
        <w:rPr>
          <w:sz w:val="20"/>
          <w:szCs w:val="20"/>
          <w:color w:val="auto"/>
        </w:rPr>
      </w:pPr>
    </w:p>
    <w:p>
      <w:pPr>
        <w:spacing w:after="0"/>
        <w:rPr>
          <w:sz w:val="20"/>
          <w:szCs w:val="20"/>
          <w:color w:val="auto"/>
        </w:rPr>
      </w:pPr>
      <w:r>
        <w:rPr>
          <w:sz w:val="1"/>
          <w:szCs w:val="1"/>
          <w:color w:val="auto"/>
        </w:rPr>
        <w:drawing>
          <wp:inline distT="0" distB="0" distL="0" distR="0">
            <wp:extent cx="342900" cy="3257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325755"/>
                    </a:xfrm>
                    <a:prstGeom prst="rect">
                      <a:avLst/>
                    </a:prstGeom>
                    <a:noFill/>
                    <a:ln>
                      <a:noFill/>
                    </a:ln>
                  </pic:spPr>
                </pic:pic>
              </a:graphicData>
            </a:graphic>
          </wp:inline>
        </w:drawing>
      </w:r>
      <w:r>
        <w:rPr>
          <w:rFonts w:ascii="Arial" w:cs="Arial" w:eastAsia="Arial" w:hAnsi="Arial"/>
          <w:sz w:val="20"/>
          <w:szCs w:val="20"/>
          <w:b w:val="1"/>
          <w:bCs w:val="1"/>
          <w:color w:val="0079C0"/>
        </w:rPr>
        <w:t xml:space="preserve"> Amendment to Certificate of Incorporation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4D4D4F"/>
        </w:rPr>
        <w:t>The amendment to our certificate of incorporation to eﬀect an increase in the authorized number of shares of common stock must be approved by the aﬃrmative vote of the stockholders representing a majority of the voting power of the outstanding capital stock, voting together as a single class on an as-converted basis. Abstentions will count as votes against this proposal. Because this proposal is considered a routine matter, discretionary votes by brokers will be counted.</w:t>
      </w:r>
    </w:p>
    <w:p>
      <w:pPr>
        <w:sectPr>
          <w:pgSz w:w="11900" w:h="16838" w:orient="portrait"/>
          <w:cols w:equalWidth="0" w:num="1">
            <w:col w:w="11240"/>
          </w:cols>
          <w:pgMar w:left="320" w:top="90" w:right="3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4D4D4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upperLetter"/>
      <w:start w:val="17"/>
    </w:lvl>
  </w:abstractNum>
  <w:abstractNum w:abstractNumId="7">
    <w:nsid w:val="12200854"/>
    <w:multiLevelType w:val="hybridMultilevel"/>
    <w:lvl w:ilvl="0">
      <w:lvlJc w:val="left"/>
      <w:lvlText w:val="%1:"/>
      <w:numFmt w:val="upperLetter"/>
      <w:start w:val="1"/>
    </w:lvl>
    <w:lvl w:ilvl="1">
      <w:lvlJc w:val="left"/>
      <w:lvlText w:val="•"/>
      <w:numFmt w:val="bullet"/>
      <w:start w:val="1"/>
    </w:lvl>
  </w:abstractNum>
  <w:abstractNum w:abstractNumId="8">
    <w:nsid w:val="4DB127F8"/>
    <w:multiLevelType w:val="hybridMultilevel"/>
    <w:lvl w:ilvl="0">
      <w:lvlJc w:val="left"/>
      <w:lvlText w:val="%1:"/>
      <w:numFmt w:val="upperLetter"/>
      <w:start w:val="17"/>
    </w:lvl>
  </w:abstractNum>
  <w:abstractNum w:abstractNumId="9">
    <w:nsid w:val="216231B"/>
    <w:multiLevelType w:val="hybridMultilevel"/>
    <w:lvl w:ilvl="0">
      <w:lvlJc w:val="left"/>
      <w:lvlText w:val="%1:"/>
      <w:numFmt w:val="upperLetter"/>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2021-05-21T16:29:52Z</dcterms:created>
  <dcterms:modified xsi:type="dcterms:W3CDTF">2021-05-21T16:29:52Z</dcterms:modified>
</cp:coreProperties>
</file>