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Cheav Sotheara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00"/>
        <w:spacing w:after="0" w:line="337"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08/23/2019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6"/>
        <w:spacing w:after="0"/>
        <w:rPr>
          <w:sz w:val="20"/>
          <w:szCs w:val="20"/>
          <w:color w:val="auto"/>
        </w:rPr>
      </w:pPr>
      <w:r>
        <w:rPr>
          <w:rFonts w:ascii="Arial" w:cs="Arial" w:eastAsia="Arial" w:hAnsi="Arial"/>
          <w:sz w:val="17"/>
          <w:szCs w:val="17"/>
          <w:color w:val="0000FF"/>
        </w:rPr>
        <w:t>See remarks</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7"/>
          </w:tcPr>
          <w:p>
            <w:pPr>
              <w:jc w:val="center"/>
              <w:ind w:right="38"/>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right"/>
              <w:ind w:right="599"/>
              <w:spacing w:after="0" w:line="180" w:lineRule="exact"/>
              <w:rPr>
                <w:sz w:val="20"/>
                <w:szCs w:val="20"/>
                <w:color w:val="auto"/>
              </w:rPr>
            </w:pPr>
            <w:r>
              <w:rPr>
                <w:rFonts w:ascii="Arial" w:cs="Arial" w:eastAsia="Arial" w:hAnsi="Arial"/>
                <w:sz w:val="17"/>
                <w:szCs w:val="17"/>
                <w:color w:val="0000FF"/>
              </w:rPr>
              <w:t>08/27/2019</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43,334</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13,393</w:t>
            </w:r>
          </w:p>
        </w:tc>
        <w:tc>
          <w:tcPr>
            <w:tcW w:w="60" w:type="dxa"/>
            <w:vAlign w:val="bottom"/>
          </w:tcPr>
          <w:p>
            <w:pPr>
              <w:spacing w:after="0"/>
              <w:rPr>
                <w:sz w:val="16"/>
                <w:szCs w:val="1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12.445</w:t>
            </w:r>
            <w:r>
              <w:rPr>
                <w:rFonts w:ascii="Arial" w:cs="Arial" w:eastAsia="Arial" w:hAnsi="Arial"/>
                <w:sz w:val="22"/>
                <w:szCs w:val="22"/>
                <w:color w:val="008000"/>
                <w:vertAlign w:val="superscript"/>
              </w:rPr>
              <w:t>(1)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0.75</w:t>
            </w:r>
          </w:p>
        </w:tc>
        <w:tc>
          <w:tcPr>
            <w:tcW w:w="140" w:type="dxa"/>
            <w:vAlign w:val="bottom"/>
          </w:tcPr>
          <w:p>
            <w:pPr>
              <w:spacing w:after="0"/>
              <w:rPr>
                <w:sz w:val="5"/>
                <w:szCs w:val="5"/>
                <w:color w:val="auto"/>
              </w:rPr>
            </w:pP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09/30/2019</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13,393</w:t>
            </w: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05/01/2021</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80"/>
              <w:spacing w:after="0" w:line="148" w:lineRule="exact"/>
              <w:rPr>
                <w:sz w:val="20"/>
                <w:szCs w:val="20"/>
                <w:color w:val="auto"/>
              </w:rPr>
            </w:pPr>
            <w:r>
              <w:rPr>
                <w:rFonts w:ascii="Arial" w:cs="Arial" w:eastAsia="Arial" w:hAnsi="Arial"/>
                <w:sz w:val="13"/>
                <w:szCs w:val="13"/>
                <w:color w:val="0000FF"/>
                <w:w w:val="92"/>
              </w:rPr>
              <w:t>9,941</w:t>
            </w:r>
          </w:p>
        </w:tc>
        <w:tc>
          <w:tcPr>
            <w:tcW w:w="30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Class A Common Stock funded by the net proceeds, if any, from the Issuer's sale of Class A Common Stock pursuant to an exercise of the underwriters' over-allotment option. The transaction date for the original Form 4 was August 23, 2019, the date of the closing of the underwriters' over-allotment option and therefore the date on which the obligations of the parties to the Equity Purchase Agreement became fixed and irrevocable. At the time of the filing of the original Form 4, it was contemplated that the reporting person would sell 13,393 of the outstanding shares of Class A Common Stock held by the reporting person in order to satisfy his obligations under the Equity Purchase Agreement and the original Form 4 accordingly reported a reduction of 13,393 in the number of shares of Class A Common Stock beneficially owned by the reporting person. Subsequent to the filing of the original Form 4, the reporting person and the Issuer agreed that the reporting person would instead satisfy his obligations under the Equity Purchase Agreement by cancelling the reporting person's rights to purchase 13,393 shares of Class A Common Stock under an outstanding stock option agreement. On September 30, 2019, such rights were cancelled in exchange for payment to the reporting person of $166,675.89 in cash, representing the purchase price due to the reporting person pursuant to the Equity Purchase Agreement net of the exercise price attributable to the 13,393 shares cancelled under the reporting person's stock option. Because no outstanding shares of Class A Common Stock were ultimately sold by the reporting person pursuant to the Equity Purchase Agreement, the reduction in the number of such shares reflected in the original Form 4 is not reflected in this amendment.</w:t>
      </w:r>
    </w:p>
    <w:p>
      <w:pPr>
        <w:spacing w:after="0" w:line="3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Manufacturing of ACM Research (Shanghai), Inc., a subsidiary of the Issuer</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Sotheara Cheav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95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5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0000FF"/>
        </w:rPr>
        <w:t>10/02/2019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4"/>
          <w:szCs w:val="24"/>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279"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2019-12-24T09:19:10Z</dcterms:created>
  <dcterms:modified xsi:type="dcterms:W3CDTF">2019-12-24T09:19:10Z</dcterms:modified>
</cp:coreProperties>
</file>