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Wang David H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740"/>
        <w:spacing w:after="0" w:line="37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C/O ACM RESEARCH, INC. 42307 OSGOOD ROAD, SUITE 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ACM Research,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ACMR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0" w:gutter="0" w:footer="0" w:header="0"/>
          <w:type w:val="continuous"/>
        </w:sectPr>
      </w:pPr>
    </w:p>
    <w:p>
      <w:pPr>
        <w:spacing w:after="0" w:line="20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94539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184150</wp:posOffset>
            </wp:positionV>
            <wp:extent cx="6968490" cy="46424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4642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08/27/2020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0.75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238,006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08/27/2020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96.05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237,459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Jing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33,334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Chen, wife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of David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H. 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Sophia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Wang,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15,279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daughter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David H.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David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Hui 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and Jing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60,000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Irrevocable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Wang-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206,667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00596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05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0.75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08/27/2020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70,000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05/01/2021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33,334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200" w:firstLine="2"/>
        <w:spacing w:after="0" w:line="238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August 27, 2020, the reporting person exercised, by net exercise, a previously issued stock option to purchase 70,000 shares of Class A Common Stock of the Issuer. The reporting person paid the exercise price on a cashless basis, resulting in the Issuer withholding 547 shares of Class A Common Stock for payment of the exercise price, based on the closing price of the Issuer's Class A Common Stock on August 26, 2020 of $96.05, and issuing to the reporting person the remaining 69,453 shares of Class A Common Stock.</w:t>
      </w:r>
    </w:p>
    <w:p>
      <w:pPr>
        <w:spacing w:after="0" w:line="3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fully vested and exercisable.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8000"/>
        </w:rPr>
        <w:t>Chief Executive Officer, President and Director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Mark L. Johnson, Attorney-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08/31/2020</w:t>
            </w:r>
          </w:p>
        </w:tc>
      </w:tr>
      <w:tr>
        <w:trPr>
          <w:trHeight w:val="186"/>
        </w:trPr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 for David H. Wang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2519" w:firstLine="2"/>
        <w:spacing w:after="0" w:line="334" w:lineRule="auto"/>
        <w:tabs>
          <w:tab w:leader="none" w:pos="13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1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21580" TargetMode="External"/><Relationship Id="rId14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2020-08-31T16:32:04Z</dcterms:created>
  <dcterms:modified xsi:type="dcterms:W3CDTF">2020-08-31T16:32:04Z</dcterms:modified>
</cp:coreProperties>
</file>