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David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ACM RESEARCH,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42307 OSGOOD ROAD, SUITE 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5"/>
        <w:gridCol w:w="937"/>
        <w:gridCol w:w="804"/>
        <w:gridCol w:w="622"/>
        <w:gridCol w:w="352"/>
        <w:gridCol w:w="794"/>
        <w:gridCol w:w="442"/>
        <w:gridCol w:w="612"/>
        <w:gridCol w:w="1158"/>
        <w:gridCol w:w="1000"/>
        <w:gridCol w:w="13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7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4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3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100,002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Jing Chen, wife of David H. Wang</w:t>
            </w:r>
          </w:p>
        </w:tc>
      </w:tr>
      <w:tr>
        <w:trPr/>
        <w:tc>
          <w:tcPr>
            <w:tcW w:w="21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45,837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Sophia Wang, daughter of David H. Wang</w:t>
            </w:r>
          </w:p>
        </w:tc>
      </w:tr>
      <w:tr>
        <w:trPr/>
        <w:tc>
          <w:tcPr>
            <w:tcW w:w="216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180,000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David Hui Wang and Jing Chen Family Irrevocable Trust for Wang Children</w:t>
            </w:r>
          </w:p>
        </w:tc>
      </w:tr>
      <w:tr>
        <w:trPr/>
        <w:tc>
          <w:tcPr>
            <w:tcW w:w="216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620,001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3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Wang-Chen Family Living Trust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Sophia Wang, daughter of David H. Wang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ACMR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number of RSUs granted will be determined by dividing the applicable annual grant value by the 30-day lookback average fair market value of the Issuer's common stock, determined to be $51.54 per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in four equal annual installments beginning May 13,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Chief Executive Officer, President and Director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McKechnie, Attorney-in-Fact for David H. Wang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1580" TargetMode="External"/><Relationship Id="rId5" Type="http://schemas.openxmlformats.org/officeDocument/2006/relationships/hyperlink" Target="http://www.sec.gov/cgi-bin/browse-edgar?action=getcompany&amp;CIK=00016800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716</Words>
  <Characters>3780</Characters>
  <CharactersWithSpaces>4413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