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Chen Fuping</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2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01/17/2018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6"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ACM Research,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ACMR</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14"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ACM RESEARCH,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42307 OSGOOD ROAD, SUITE I</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r>
      <w:tr>
        <w:trPr>
          <w:trHeight w:val="240"/>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FREMONT   CA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94539</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66"/>
        <w:spacing w:after="0"/>
        <w:rPr>
          <w:sz w:val="20"/>
          <w:szCs w:val="20"/>
          <w:color w:val="auto"/>
        </w:rPr>
      </w:pPr>
      <w:r>
        <w:rPr>
          <w:rFonts w:ascii="Times New Roman" w:cs="Times New Roman" w:eastAsia="Times New Roman" w:hAnsi="Times New Roman"/>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2020" w:type="dxa"/>
            <w:vAlign w:val="bottom"/>
          </w:tcPr>
          <w:p>
            <w:pPr>
              <w:spacing w:after="0"/>
              <w:rPr>
                <w:sz w:val="12"/>
                <w:szCs w:val="12"/>
                <w:color w:val="auto"/>
              </w:rPr>
            </w:pPr>
          </w:p>
        </w:tc>
        <w:tc>
          <w:tcPr>
            <w:tcW w:w="740" w:type="dxa"/>
            <w:vAlign w:val="bottom"/>
          </w:tcPr>
          <w:p>
            <w:pPr>
              <w:ind w:left="12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Stock Option</w:t>
            </w:r>
          </w:p>
        </w:tc>
        <w:tc>
          <w:tcPr>
            <w:tcW w:w="8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12/27/2026</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Class A Common Stock</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46,667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Stock Option</w:t>
            </w:r>
          </w:p>
        </w:tc>
        <w:tc>
          <w:tcPr>
            <w:tcW w:w="8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12/27/2026</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Class A Common Stock</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33,334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Stock Option</w:t>
            </w:r>
          </w:p>
        </w:tc>
        <w:tc>
          <w:tcPr>
            <w:tcW w:w="8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01/24/2028</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Class A Common Stock</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50,000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5.31</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34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vested and became exercisable as to 11,666 shares on June 1, 2017 and the remaining 35,001 shares vest and become exercisable in equal monthly installments over the following 36 months, subject to continued service through each vesting date.</w:t>
      </w:r>
    </w:p>
    <w:p>
      <w:pPr>
        <w:spacing w:after="0" w:line="27" w:lineRule="exact"/>
        <w:rPr>
          <w:rFonts w:ascii="Times New Roman" w:cs="Times New Roman" w:eastAsia="Times New Roman" w:hAnsi="Times New Roman"/>
          <w:sz w:val="14"/>
          <w:szCs w:val="14"/>
          <w:color w:val="008000"/>
        </w:rPr>
      </w:pPr>
    </w:p>
    <w:p>
      <w:pPr>
        <w:ind w:left="40" w:right="30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vested and became exercisable as to 8,333 shares on March 1, 2017 and the remaining 25,001 shares vest and become exercisable in equal monthly installments over the following 36 months, subject to continued service through each vesting date.</w:t>
      </w:r>
    </w:p>
    <w:p>
      <w:pPr>
        <w:spacing w:after="0" w:line="27" w:lineRule="exact"/>
        <w:rPr>
          <w:rFonts w:ascii="Times New Roman" w:cs="Times New Roman" w:eastAsia="Times New Roman" w:hAnsi="Times New Roman"/>
          <w:sz w:val="14"/>
          <w:szCs w:val="14"/>
          <w:color w:val="008000"/>
        </w:rPr>
      </w:pPr>
    </w:p>
    <w:p>
      <w:pPr>
        <w:ind w:left="40" w:right="18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vests and becomes exercisable as to 12,500 shares on January 1, 2019 and the remaining 37,500 shares vest and become exercisable in equal monthly installments over the following 36 months, subject to continued service through each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Vice President, Sales-China</w:t>
      </w:r>
    </w:p>
    <w:p>
      <w:pPr>
        <w:spacing w:after="0" w:line="30"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Mark L. Johnson,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01/25/2018</w:t>
            </w:r>
          </w:p>
        </w:tc>
        <w:tc>
          <w:tcPr>
            <w:tcW w:w="0" w:type="dxa"/>
            <w:vAlign w:val="bottom"/>
          </w:tcPr>
          <w:p>
            <w:pPr>
              <w:spacing w:after="0"/>
              <w:rPr>
                <w:sz w:val="1"/>
                <w:szCs w:val="1"/>
                <w:color w:val="auto"/>
              </w:rPr>
            </w:pPr>
          </w:p>
        </w:tc>
      </w:tr>
      <w:tr>
        <w:trPr>
          <w:trHeight w:val="88"/>
        </w:trPr>
        <w:tc>
          <w:tcPr>
            <w:tcW w:w="17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in-Fact for Fuping Chen</w:t>
            </w:r>
          </w:p>
        </w:tc>
        <w:tc>
          <w:tcPr>
            <w:tcW w:w="4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20" w:type="dxa"/>
            <w:vAlign w:val="bottom"/>
            <w:tcBorders>
              <w:bottom w:val="single" w:sz="8" w:color="auto"/>
            </w:tcBorders>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29184" TargetMode="External"/><Relationship Id="rId12"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2019-12-08T15:33:17Z</dcterms:created>
  <dcterms:modified xsi:type="dcterms:W3CDTF">2019-12-08T15:33:17Z</dcterms:modified>
</cp:coreProperties>
</file>