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29,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(State or Other</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i w:val="1"/>
          <w:iCs w:val="1"/>
          <w:color w:val="auto"/>
        </w:rPr>
        <w:t>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i w:val="1"/>
          <w:iCs w:val="1"/>
          <w:color w:val="auto"/>
        </w:rPr>
        <w:t>(Commission</w:t>
      </w:r>
    </w:p>
    <w:p>
      <w:pPr>
        <w:spacing w:after="0" w:line="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i w:val="1"/>
          <w:i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i w:val="1"/>
          <w:iCs w:val="1"/>
          <w:color w:val="auto"/>
        </w:rPr>
        <w:t>Identification No.)</w:t>
      </w:r>
    </w:p>
    <w:p>
      <w:pPr>
        <w:spacing w:after="0" w:line="200" w:lineRule="exact"/>
        <w:rPr>
          <w:sz w:val="24"/>
          <w:szCs w:val="24"/>
          <w:color w:val="auto"/>
        </w:rPr>
      </w:pPr>
    </w:p>
    <w:p>
      <w:pPr>
        <w:sectPr>
          <w:pgSz w:w="11900" w:h="16838" w:orient="portrait"/>
          <w:cols w:equalWidth="0" w:num="3">
            <w:col w:w="4460" w:space="720"/>
            <w:col w:w="2900" w:space="720"/>
            <w:col w:w="2440"/>
          </w:cols>
          <w:pgMar w:left="320" w:top="516"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6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29, 2025, we issued a press release entitled “ACM Research Announces Preliminary Unaudited Revenue and Shipments for the First Quarter 2025.” The full text of the press release is furnished as Exhibit 99.1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39" w:lineRule="exact"/>
        <w:rPr>
          <w:sz w:val="20"/>
          <w:szCs w:val="20"/>
          <w:color w:val="auto"/>
        </w:rPr>
      </w:pPr>
    </w:p>
    <w:p>
      <w:pPr>
        <w:ind w:left="18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300"/>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of ACM Research, Inc. dated April 29, 2025</w:t>
      </w:r>
    </w:p>
    <w:p>
      <w:pPr>
        <w:spacing w:after="0" w:line="27"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29, 2025</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156845</wp:posOffset>
            </wp:positionV>
            <wp:extent cx="899795" cy="5740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9979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Announces Preliminary Unaudited Revenue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Shipments for the First Quarter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Coincides with Release of ACM Shanghai First Quarter 2025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ACM Reaffirms 2025 Revenue Outlook</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FREMONT, Calif., April. 29, 2025 (GLOBE NEWSWIRE) – ACM Research, Inc. (“ACM”) (NASDAQ: ACMR), a leading supplier of wafer processing solutions for semiconductor and advanced wafer-level packaging applications, today announces expectations for preliminary unaudited revenue and total shipments for the first quarter of 2025. Today’s release coincides with the as-scheduled release of unaudited financial results by ACM Research (Shanghai), Inc., ACM’s principal operating subsidiary (“ACM Shanghai”), to the Shanghai Stock Exchange website [link to China Disclosure].</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ACM will discuss its full financial results for the first quarter 2025 and its revenue outlook for the remainder of the year on its earnings call on Thursday, May 8, 2025, at 8 a.m. Eastern Time (8 p.m. China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announces the following:</w:t>
      </w:r>
    </w:p>
    <w:p>
      <w:pPr>
        <w:spacing w:after="0" w:line="27" w:lineRule="exact"/>
        <w:rPr>
          <w:sz w:val="20"/>
          <w:szCs w:val="20"/>
          <w:color w:val="auto"/>
        </w:rPr>
      </w:pPr>
    </w:p>
    <w:p>
      <w:pPr>
        <w:ind w:left="340" w:right="8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unaudited revenue for the first quarter of 2025 is expected to be in the range of $165 million to $170 million, which would represent year-to-year growth of 8.4% to 11.7%.</w:t>
      </w:r>
    </w:p>
    <w:p>
      <w:pPr>
        <w:ind w:left="340" w:right="8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total shipments for the first quarter of 2025 are expected to be in the range of $154 million to $157 million, which would represent a year-to-year decrease of 36% to 37%. This decrease is due in part to customer pull-ins in the fourth quarter of 2024, which contributed to stronger total shipments for that period. For reference, combined total shipments for the fourth quarter of 2024 and the first quarter of 2025 are expected to grow by 8% to 9% versus the prior year periods. We anticipate a return to year-on-year growth in total shipments for the second quarter of 2025.</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re-affirms full year 2025 revenue outlook in the range of $850 million to $950 million, which would represent year-to-year growth of 9% to 21%.</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Actual unaudited first quarter 2025 results are subject to the completion of ACM’s quarter end closing procedures and review by ACM’s independent registered public accounting firm.</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ACM currently owns an 81.1% equity interest in ACM Shanghai, and a substantial majority of ACM’s consolidated revenue and net income is contributed by ACM Shanghai. The stand-alone financial results of ACM Shanghai are reported in RMB as prepared in accordance with Chinese generally accepted accounting principles,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4" w:lineRule="exact"/>
        <w:rPr>
          <w:sz w:val="20"/>
          <w:szCs w:val="20"/>
          <w:color w:val="auto"/>
        </w:rPr>
      </w:pPr>
    </w:p>
    <w:p>
      <w:pPr>
        <w:jc w:val="both"/>
        <w:ind w:right="500" w:firstLine="8"/>
        <w:spacing w:after="0" w:line="312" w:lineRule="auto"/>
        <w:tabs>
          <w:tab w:leader="none" w:pos="18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4"/>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 (360) 808-5154</w:t>
            </w:r>
          </w:p>
        </w:tc>
      </w:tr>
      <w:tr>
        <w:trPr>
          <w:trHeight w:val="236"/>
        </w:trPr>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steven@blueshirtgroup.co</w:t>
            </w:r>
          </w:p>
        </w:tc>
      </w:tr>
      <w:tr>
        <w:trPr>
          <w:trHeight w:val="391"/>
        </w:trPr>
        <w:tc>
          <w:tcPr>
            <w:tcW w:w="160" w:type="dxa"/>
            <w:vAlign w:val="bottom"/>
          </w:tcPr>
          <w:p>
            <w:pPr>
              <w:spacing w:after="0"/>
              <w:rPr>
                <w:sz w:val="24"/>
                <w:szCs w:val="24"/>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China:</w:t>
            </w: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r>
        <w:trPr>
          <w:trHeight w:val="533"/>
        </w:trPr>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2025-04-29T07:37:54Z</dcterms:created>
  <dcterms:modified xsi:type="dcterms:W3CDTF">2025-04-29T07:37:54Z</dcterms:modified>
</cp:coreProperties>
</file>