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 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8-K</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CURRENT REPORT</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Pursuant to Section 13 or 15(d) of the Securities Exchange Act of 1934</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 xml:space="preserve">Date of Report (Date of earliest event reported): </w:t>
      </w:r>
      <w:r>
        <w:rPr>
          <w:rFonts w:ascii="Times New Roman" w:hAnsi="Times New Roman"/>
          <w:b/>
          <w:color w:val="000000"/>
          <w:sz w:val="20"/>
          <w:shd w:fill="FFFFFF" w:val="clear"/>
        </w:rPr>
        <w:t>September 27, 2023</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48"/>
          <w:shd w:fill="FFFFFF" w:val="clear"/>
        </w:rPr>
      </w:pPr>
      <w:r>
        <w:rPr>
          <w:rFonts w:ascii="Times New Roman" w:hAnsi="Times New Roman"/>
          <w:b/>
          <w:color w:val="000000"/>
          <w:sz w:val="48"/>
          <w:shd w:fill="FFFFFF" w:val="clear"/>
        </w:rPr>
        <w:t>ACM Research, Inc.</w:t>
      </w:r>
    </w:p>
    <w:p>
      <w:pPr>
        <w:pStyle w:val="TextBody"/>
        <w:bidi w:val="0"/>
        <w:spacing w:before="0" w:after="0"/>
        <w:jc w:val="center"/>
        <w:rPr>
          <w:rFonts w:ascii="Times New Roman" w:hAnsi="Times New Roman"/>
          <w:i/>
          <w:color w:val="000000"/>
          <w:sz w:val="20"/>
          <w:shd w:fill="FFFFFF" w:val="clear"/>
        </w:rPr>
      </w:pPr>
      <w:r>
        <w:rPr>
          <w:rFonts w:ascii="Times New Roman" w:hAnsi="Times New Roman"/>
          <w:i/>
          <w:color w:val="000000"/>
          <w:sz w:val="20"/>
          <w:shd w:fill="FFFFFF" w:val="clear"/>
        </w:rPr>
        <w:t>(Exact Name of Registrant as Specified in its Charter)</w:t>
      </w:r>
    </w:p>
    <w:p>
      <w:pPr>
        <w:pStyle w:val="TextBody"/>
        <w:bidi w:val="0"/>
        <w:spacing w:before="0" w:after="0"/>
        <w:jc w:val="left"/>
        <w:rPr>
          <w:color w:val="000000"/>
          <w:shd w:fill="FFFFFF" w:val="clear"/>
        </w:rPr>
      </w:pPr>
      <w:r>
        <w:rPr>
          <w:color w:val="000000"/>
          <w:shd w:fill="FFFFFF" w:val="clear"/>
        </w:rPr>
        <w:t> </w:t>
      </w:r>
    </w:p>
    <w:tbl>
      <w:tblPr>
        <w:tblW w:w="8805" w:type="dxa"/>
        <w:jc w:val="left"/>
        <w:tblInd w:w="0" w:type="dxa"/>
        <w:tblLayout w:type="fixed"/>
        <w:tblCellMar>
          <w:top w:w="0" w:type="dxa"/>
          <w:left w:w="0" w:type="dxa"/>
          <w:bottom w:w="0" w:type="dxa"/>
          <w:right w:w="0" w:type="dxa"/>
        </w:tblCellMar>
      </w:tblPr>
      <w:tblGrid>
        <w:gridCol w:w="3740"/>
        <w:gridCol w:w="60"/>
        <w:gridCol w:w="2195"/>
        <w:gridCol w:w="60"/>
        <w:gridCol w:w="2750"/>
      </w:tblGrid>
      <w:tr>
        <w:trPr/>
        <w:tc>
          <w:tcPr>
            <w:tcW w:w="374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Delaware</w:t>
            </w:r>
          </w:p>
        </w:tc>
        <w:tc>
          <w:tcPr>
            <w:tcW w:w="60" w:type="dxa"/>
            <w:tcBorders/>
            <w:vAlign w:val="center"/>
          </w:tcPr>
          <w:p>
            <w:pPr>
              <w:pStyle w:val="TableContents"/>
              <w:bidi w:val="0"/>
              <w:spacing w:before="0" w:after="283"/>
              <w:jc w:val="left"/>
              <w:rPr/>
            </w:pPr>
            <w:r>
              <w:rPr/>
              <w:t> </w:t>
            </w:r>
          </w:p>
        </w:tc>
        <w:tc>
          <w:tcPr>
            <w:tcW w:w="219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001-38273</w:t>
            </w:r>
          </w:p>
        </w:tc>
        <w:tc>
          <w:tcPr>
            <w:tcW w:w="6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94-3290283</w:t>
            </w:r>
          </w:p>
        </w:tc>
      </w:tr>
      <w:tr>
        <w:trPr/>
        <w:tc>
          <w:tcPr>
            <w:tcW w:w="3740" w:type="dxa"/>
            <w:tcBorders/>
            <w:vAlign w:val="center"/>
          </w:tcPr>
          <w:p>
            <w:pPr>
              <w:pStyle w:val="TableContents"/>
              <w:bidi w:val="0"/>
              <w:spacing w:before="0" w:after="0"/>
              <w:jc w:val="center"/>
              <w:rPr>
                <w:rFonts w:ascii="Times New Roman" w:hAnsi="Times New Roman"/>
                <w:i/>
                <w:color w:val="000000"/>
                <w:sz w:val="20"/>
              </w:rPr>
            </w:pPr>
            <w:r>
              <w:rPr>
                <w:rFonts w:ascii="Times New Roman" w:hAnsi="Times New Roman"/>
                <w:i/>
                <w:color w:val="000000"/>
                <w:sz w:val="20"/>
              </w:rPr>
              <w:t>(State or Other Jurisdiction of Incorporation)</w:t>
            </w:r>
          </w:p>
        </w:tc>
        <w:tc>
          <w:tcPr>
            <w:tcW w:w="60" w:type="dxa"/>
            <w:tcBorders/>
            <w:vAlign w:val="center"/>
          </w:tcPr>
          <w:p>
            <w:pPr>
              <w:pStyle w:val="TableContents"/>
              <w:bidi w:val="0"/>
              <w:spacing w:before="0" w:after="283"/>
              <w:jc w:val="left"/>
              <w:rPr/>
            </w:pPr>
            <w:r>
              <w:rPr/>
              <w:t> </w:t>
            </w:r>
          </w:p>
        </w:tc>
        <w:tc>
          <w:tcPr>
            <w:tcW w:w="2195" w:type="dxa"/>
            <w:tcBorders/>
            <w:vAlign w:val="center"/>
          </w:tcPr>
          <w:p>
            <w:pPr>
              <w:pStyle w:val="TableContents"/>
              <w:bidi w:val="0"/>
              <w:spacing w:before="0" w:after="0"/>
              <w:jc w:val="center"/>
              <w:rPr>
                <w:rFonts w:ascii="Times New Roman" w:hAnsi="Times New Roman"/>
                <w:i/>
                <w:color w:val="000000"/>
                <w:sz w:val="20"/>
              </w:rPr>
            </w:pPr>
            <w:r>
              <w:rPr>
                <w:rFonts w:ascii="Times New Roman" w:hAnsi="Times New Roman"/>
                <w:i/>
                <w:color w:val="000000"/>
                <w:sz w:val="20"/>
              </w:rPr>
              <w:t>(Commission File Number)</w:t>
            </w:r>
          </w:p>
        </w:tc>
        <w:tc>
          <w:tcPr>
            <w:tcW w:w="6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0"/>
              <w:jc w:val="center"/>
              <w:rPr>
                <w:rFonts w:ascii="Times New Roman" w:hAnsi="Times New Roman"/>
                <w:i/>
                <w:color w:val="000000"/>
                <w:sz w:val="20"/>
              </w:rPr>
            </w:pPr>
            <w:r>
              <w:rPr>
                <w:rFonts w:ascii="Times New Roman" w:hAnsi="Times New Roman"/>
                <w:i/>
                <w:color w:val="000000"/>
                <w:sz w:val="20"/>
              </w:rPr>
              <w:t>(IRS Employer Identification No.)</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4225" w:type="dxa"/>
        <w:jc w:val="left"/>
        <w:tblInd w:w="0" w:type="dxa"/>
        <w:tblLayout w:type="fixed"/>
        <w:tblCellMar>
          <w:top w:w="0" w:type="dxa"/>
          <w:left w:w="0" w:type="dxa"/>
          <w:bottom w:w="0" w:type="dxa"/>
          <w:right w:w="0" w:type="dxa"/>
        </w:tblCellMar>
      </w:tblPr>
      <w:tblGrid>
        <w:gridCol w:w="3275"/>
        <w:gridCol w:w="60"/>
        <w:gridCol w:w="890"/>
      </w:tblGrid>
      <w:tr>
        <w:trPr/>
        <w:tc>
          <w:tcPr>
            <w:tcW w:w="327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42307 Osgood Road, Suite I</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Fremont, California</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94539</w:t>
            </w:r>
          </w:p>
        </w:tc>
      </w:tr>
      <w:tr>
        <w:trPr/>
        <w:tc>
          <w:tcPr>
            <w:tcW w:w="3275" w:type="dxa"/>
            <w:tcBorders/>
            <w:vAlign w:val="center"/>
          </w:tcPr>
          <w:p>
            <w:pPr>
              <w:pStyle w:val="TableContents"/>
              <w:bidi w:val="0"/>
              <w:spacing w:before="0" w:after="0"/>
              <w:jc w:val="center"/>
              <w:rPr>
                <w:rFonts w:ascii="Times New Roman" w:hAnsi="Times New Roman"/>
                <w:i/>
                <w:color w:val="000000"/>
                <w:sz w:val="20"/>
              </w:rPr>
            </w:pPr>
            <w:r>
              <w:rPr>
                <w:rFonts w:ascii="Times New Roman" w:hAnsi="Times New Roman"/>
                <w:i/>
                <w:color w:val="000000"/>
                <w:sz w:val="20"/>
              </w:rPr>
              <w:t>(Address of Principal Executive Offices)</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0"/>
              <w:jc w:val="center"/>
              <w:rPr>
                <w:rFonts w:ascii="Times New Roman" w:hAnsi="Times New Roman"/>
                <w:i/>
                <w:color w:val="000000"/>
                <w:sz w:val="20"/>
              </w:rPr>
            </w:pPr>
            <w:r>
              <w:rPr>
                <w:rFonts w:ascii="Times New Roman" w:hAnsi="Times New Roman"/>
                <w:i/>
                <w:color w:val="000000"/>
                <w:sz w:val="20"/>
              </w:rPr>
              <w:t>(Zip Code)</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Registrant’s telephone number, including area code: </w:t>
      </w:r>
      <w:r>
        <w:rPr>
          <w:rFonts w:ascii="Times New Roman" w:hAnsi="Times New Roman"/>
          <w:b/>
          <w:color w:val="000000"/>
          <w:sz w:val="20"/>
          <w:shd w:fill="FFFFFF" w:val="clear"/>
        </w:rPr>
        <w:t>(510) 445-3700</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Check the appropriate box below if the Form 8-K filing is intended to simultaneously satisfy the filing obligation of the registrant under any of the following provisions:</w:t>
      </w:r>
    </w:p>
    <w:p>
      <w:pPr>
        <w:pStyle w:val="TextBody"/>
        <w:bidi w:val="0"/>
        <w:spacing w:before="0" w:after="0"/>
        <w:jc w:val="left"/>
        <w:rPr>
          <w:color w:val="000000"/>
          <w:shd w:fill="FFFFFF" w:val="clear"/>
        </w:rPr>
      </w:pPr>
      <w:r>
        <w:rPr>
          <w:color w:val="000000"/>
          <w:shd w:fill="FFFFFF" w:val="clea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color w:val="000000"/>
              </w:rPr>
            </w:pPr>
            <w:r>
              <w:rPr>
                <w:color w:val="000000"/>
              </w:rPr>
              <w:t>☐</w:t>
            </w:r>
          </w:p>
        </w:tc>
        <w:tc>
          <w:tcPr>
            <w:tcW w:w="729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bl>
    <w:p>
      <w:pPr>
        <w:pStyle w:val="TextBody"/>
        <w:bidi w:val="0"/>
        <w:spacing w:before="0" w:after="0"/>
        <w:jc w:val="left"/>
        <w:rPr>
          <w:color w:val="000000"/>
          <w:shd w:fill="FFFFFF" w:val="clear"/>
        </w:rPr>
      </w:pPr>
      <w:r>
        <w:rPr>
          <w:color w:val="000000"/>
          <w:shd w:fill="FFFFFF" w:val="clea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color w:val="000000"/>
              </w:rPr>
            </w:pPr>
            <w:r>
              <w:rPr>
                <w:color w:val="000000"/>
              </w:rPr>
              <w:t>☐</w:t>
            </w:r>
          </w:p>
        </w:tc>
        <w:tc>
          <w:tcPr>
            <w:tcW w:w="732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p>
      <w:pPr>
        <w:pStyle w:val="TextBody"/>
        <w:bidi w:val="0"/>
        <w:spacing w:before="0" w:after="0"/>
        <w:jc w:val="left"/>
        <w:rPr>
          <w:color w:val="000000"/>
          <w:shd w:fill="FFFFFF" w:val="clear"/>
        </w:rPr>
      </w:pPr>
      <w:r>
        <w:rPr>
          <w:color w:val="000000"/>
          <w:shd w:fill="FFFFFF" w:val="clea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olor w:val="000000"/>
              </w:rPr>
            </w:pPr>
            <w:r>
              <w:rPr>
                <w:color w:val="000000"/>
              </w:rPr>
              <w:t>☐</w:t>
            </w:r>
          </w:p>
        </w:tc>
        <w:tc>
          <w:tcPr>
            <w:tcW w:w="9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bl>
    <w:p>
      <w:pPr>
        <w:pStyle w:val="TextBody"/>
        <w:bidi w:val="0"/>
        <w:spacing w:before="0" w:after="0"/>
        <w:jc w:val="left"/>
        <w:rPr>
          <w:color w:val="000000"/>
          <w:shd w:fill="FFFFFF" w:val="clear"/>
        </w:rPr>
      </w:pPr>
      <w:r>
        <w:rPr>
          <w:color w:val="000000"/>
          <w:shd w:fill="FFFFFF" w:val="clea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color w:val="000000"/>
              </w:rPr>
            </w:pPr>
            <w:r>
              <w:rPr>
                <w:color w:val="000000"/>
              </w:rPr>
              <w:t>☐</w:t>
            </w:r>
          </w:p>
        </w:tc>
        <w:tc>
          <w:tcPr>
            <w:tcW w:w="900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Securities registered pursuant to Section 12(b) of the Act:</w:t>
      </w:r>
    </w:p>
    <w:p>
      <w:pPr>
        <w:pStyle w:val="TextBody"/>
        <w:bidi w:val="0"/>
        <w:spacing w:before="0" w:after="0"/>
        <w:jc w:val="left"/>
        <w:rPr>
          <w:color w:val="000000"/>
          <w:shd w:fill="FFFFFF" w:val="clear"/>
        </w:rPr>
      </w:pPr>
      <w:r>
        <w:rPr>
          <w:color w:val="000000"/>
          <w:shd w:fill="FFFFFF" w:val="clear"/>
        </w:rPr>
        <w:t> </w:t>
      </w:r>
    </w:p>
    <w:tbl>
      <w:tblPr>
        <w:tblW w:w="9465" w:type="dxa"/>
        <w:jc w:val="left"/>
        <w:tblInd w:w="0" w:type="dxa"/>
        <w:tblLayout w:type="fixed"/>
        <w:tblCellMar>
          <w:top w:w="0" w:type="dxa"/>
          <w:left w:w="0" w:type="dxa"/>
          <w:bottom w:w="28" w:type="dxa"/>
          <w:right w:w="0" w:type="dxa"/>
        </w:tblCellMar>
      </w:tblPr>
      <w:tblGrid>
        <w:gridCol w:w="4265"/>
        <w:gridCol w:w="60"/>
        <w:gridCol w:w="1385"/>
        <w:gridCol w:w="60"/>
        <w:gridCol w:w="3695"/>
      </w:tblGrid>
      <w:tr>
        <w:trPr/>
        <w:tc>
          <w:tcPr>
            <w:tcW w:w="4265"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385"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Trading symbol</w:t>
            </w:r>
          </w:p>
        </w:tc>
        <w:tc>
          <w:tcPr>
            <w:tcW w:w="60" w:type="dxa"/>
            <w:tcBorders/>
            <w:tcMar>
              <w:bottom w:w="0" w:type="dxa"/>
            </w:tcMar>
            <w:vAlign w:val="center"/>
          </w:tcPr>
          <w:p>
            <w:pPr>
              <w:pStyle w:val="TableContents"/>
              <w:bidi w:val="0"/>
              <w:spacing w:before="0" w:after="283"/>
              <w:jc w:val="left"/>
              <w:rPr/>
            </w:pPr>
            <w:r>
              <w:rPr/>
              <w:t> </w:t>
            </w:r>
          </w:p>
        </w:tc>
        <w:tc>
          <w:tcPr>
            <w:tcW w:w="3695"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4265" w:type="dxa"/>
            <w:tcBorders/>
            <w:tcMar>
              <w:bottom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Class A Common Stock, par value $0.0001 per share</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ACMR</w:t>
            </w:r>
          </w:p>
        </w:tc>
        <w:tc>
          <w:tcPr>
            <w:tcW w:w="60" w:type="dxa"/>
            <w:tcBorders/>
            <w:tcMar>
              <w:bottom w:w="0" w:type="dxa"/>
            </w:tcMar>
            <w:vAlign w:val="center"/>
          </w:tcPr>
          <w:p>
            <w:pPr>
              <w:pStyle w:val="TableContents"/>
              <w:bidi w:val="0"/>
              <w:spacing w:before="0" w:after="283"/>
              <w:jc w:val="left"/>
              <w:rPr/>
            </w:pPr>
            <w:r>
              <w:rPr/>
              <w:t> </w:t>
            </w:r>
          </w:p>
        </w:tc>
        <w:tc>
          <w:tcPr>
            <w:tcW w:w="3695"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an emerging growth company as defined in Rule 405 of the Securities Act of 1933 or Rule 12b-2 of the Securities Exchange Act of 1934:      Emerging growth company  ☐</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jc w:val="left"/>
        <w:rPr/>
      </w:pPr>
      <w:r>
        <w:rPr/>
      </w:r>
    </w:p>
    <w:p>
      <w:pPr>
        <w:pStyle w:val="HorizontalLine"/>
        <w:bidi w:val="0"/>
        <w:spacing w:before="200" w:after="200"/>
        <w:jc w:val="left"/>
        <w:rPr/>
      </w:pPr>
      <w:r>
        <w:rPr/>
      </w:r>
    </w:p>
    <w:tbl>
      <w:tblPr>
        <w:tblW w:w="2020" w:type="dxa"/>
        <w:jc w:val="left"/>
        <w:tblInd w:w="0" w:type="dxa"/>
        <w:tblLayout w:type="fixed"/>
        <w:tblCellMar>
          <w:top w:w="0" w:type="dxa"/>
          <w:left w:w="0" w:type="dxa"/>
          <w:bottom w:w="0" w:type="dxa"/>
          <w:right w:w="0" w:type="dxa"/>
        </w:tblCellMar>
      </w:tblPr>
      <w:tblGrid>
        <w:gridCol w:w="830"/>
        <w:gridCol w:w="1190"/>
      </w:tblGrid>
      <w:tr>
        <w:trPr/>
        <w:tc>
          <w:tcPr>
            <w:tcW w:w="83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Item 8.01</w:t>
            </w:r>
          </w:p>
        </w:tc>
        <w:tc>
          <w:tcPr>
            <w:tcW w:w="119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Other Events.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 September 27, 2023, we issued a press release entitled “ACM Research’s Operating Subsidiary ACM Research (Shanghai) Provides Backlog Data.” The full text of the press release is furnished as Exhibit 99.1 hereto and is incorporated herein by reference.</w:t>
      </w:r>
    </w:p>
    <w:p>
      <w:pPr>
        <w:pStyle w:val="TextBody"/>
        <w:bidi w:val="0"/>
        <w:spacing w:before="0" w:after="0"/>
        <w:jc w:val="left"/>
        <w:rPr>
          <w:rFonts w:ascii="Times New Roman" w:hAnsi="Times New Roman"/>
          <w:sz w:val="20"/>
        </w:rPr>
      </w:pPr>
      <w:r>
        <w:rPr>
          <w:rFonts w:ascii="Times New Roman" w:hAnsi="Times New Roman"/>
          <w:sz w:val="20"/>
        </w:rPr>
      </w:r>
    </w:p>
    <w:tbl>
      <w:tblPr>
        <w:tblW w:w="3790" w:type="dxa"/>
        <w:jc w:val="left"/>
        <w:tblInd w:w="0" w:type="dxa"/>
        <w:tblLayout w:type="fixed"/>
        <w:tblCellMar>
          <w:top w:w="0" w:type="dxa"/>
          <w:left w:w="0" w:type="dxa"/>
          <w:bottom w:w="0" w:type="dxa"/>
          <w:right w:w="0" w:type="dxa"/>
        </w:tblCellMar>
      </w:tblPr>
      <w:tblGrid>
        <w:gridCol w:w="830"/>
        <w:gridCol w:w="2960"/>
      </w:tblGrid>
      <w:tr>
        <w:trPr/>
        <w:tc>
          <w:tcPr>
            <w:tcW w:w="83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Item 9.01</w:t>
            </w:r>
          </w:p>
        </w:tc>
        <w:tc>
          <w:tcPr>
            <w:tcW w:w="29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Financial Statements and Exhibits.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b/>
          <w:color w:val="000000"/>
          <w:sz w:val="20"/>
          <w:shd w:fill="FFFFFF" w:val="clear"/>
        </w:rPr>
        <w:t>(d)</w:t>
      </w:r>
      <w:r>
        <w:rPr>
          <w:rFonts w:ascii="Times New Roman" w:hAnsi="Times New Roman"/>
          <w:color w:val="000000"/>
          <w:sz w:val="20"/>
          <w:shd w:fill="FFFFFF" w:val="clear"/>
        </w:rPr>
        <w:t xml:space="preserve">  </w:t>
      </w:r>
      <w:r>
        <w:rPr>
          <w:rFonts w:ascii="Times New Roman" w:hAnsi="Times New Roman"/>
          <w:b/>
          <w:color w:val="000000"/>
          <w:sz w:val="20"/>
          <w:shd w:fill="FFFFFF" w:val="clear"/>
        </w:rPr>
        <w:t>Exhibits.</w:t>
      </w:r>
    </w:p>
    <w:p>
      <w:pPr>
        <w:pStyle w:val="TextBody"/>
        <w:bidi w:val="0"/>
        <w:spacing w:before="0" w:after="0"/>
        <w:jc w:val="left"/>
        <w:rPr>
          <w:color w:val="000000"/>
          <w:shd w:fill="FFFFFF" w:val="clear"/>
        </w:rPr>
      </w:pPr>
      <w:r>
        <w:rPr>
          <w:color w:val="000000"/>
          <w:shd w:fill="FFFFFF" w:val="clear"/>
        </w:rPr>
        <w:t> </w:t>
      </w:r>
    </w:p>
    <w:tbl>
      <w:tblPr>
        <w:tblW w:w="6655" w:type="dxa"/>
        <w:jc w:val="left"/>
        <w:tblInd w:w="0" w:type="dxa"/>
        <w:tblLayout w:type="fixed"/>
        <w:tblCellMar>
          <w:top w:w="0" w:type="dxa"/>
          <w:left w:w="0" w:type="dxa"/>
          <w:bottom w:w="28" w:type="dxa"/>
          <w:right w:w="0" w:type="dxa"/>
        </w:tblCellMar>
      </w:tblPr>
      <w:tblGrid>
        <w:gridCol w:w="650"/>
        <w:gridCol w:w="60"/>
        <w:gridCol w:w="5945"/>
      </w:tblGrid>
      <w:tr>
        <w:trPr/>
        <w:tc>
          <w:tcPr>
            <w:tcW w:w="650" w:type="dxa"/>
            <w:tcBorders>
              <w:bottom w:val="single" w:sz="12"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Exhibit</w:t>
            </w:r>
          </w:p>
        </w:tc>
        <w:tc>
          <w:tcPr>
            <w:tcW w:w="60" w:type="dxa"/>
            <w:tcBorders/>
            <w:tcMar>
              <w:bottom w:w="0" w:type="dxa"/>
            </w:tcMar>
            <w:vAlign w:val="center"/>
          </w:tcPr>
          <w:p>
            <w:pPr>
              <w:pStyle w:val="TableContents"/>
              <w:bidi w:val="0"/>
              <w:spacing w:before="0" w:after="283"/>
              <w:jc w:val="left"/>
              <w:rPr/>
            </w:pPr>
            <w:r>
              <w:rPr/>
              <w:t> </w:t>
            </w:r>
          </w:p>
        </w:tc>
        <w:tc>
          <w:tcPr>
            <w:tcW w:w="5945" w:type="dxa"/>
            <w:tcBorders>
              <w:bottom w:val="single" w:sz="12"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Description</w:t>
            </w:r>
          </w:p>
        </w:tc>
      </w:tr>
      <w:tr>
        <w:trPr/>
        <w:tc>
          <w:tcPr>
            <w:tcW w:w="6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945" w:type="dxa"/>
            <w:tcBorders/>
            <w:tcMar>
              <w:bottom w:w="0" w:type="dxa"/>
            </w:tcMar>
            <w:vAlign w:val="center"/>
          </w:tcPr>
          <w:p>
            <w:pPr>
              <w:pStyle w:val="TableContents"/>
              <w:bidi w:val="0"/>
              <w:spacing w:before="0" w:after="283"/>
              <w:jc w:val="left"/>
              <w:rPr/>
            </w:pPr>
            <w:r>
              <w:rPr/>
              <w:t> </w:t>
            </w:r>
          </w:p>
        </w:tc>
      </w:tr>
      <w:tr>
        <w:trPr/>
        <w:tc>
          <w:tcPr>
            <w:tcW w:w="650" w:type="dxa"/>
            <w:tcBorders/>
            <w:tcMar>
              <w:bottom w:w="0" w:type="dxa"/>
            </w:tcMar>
            <w:vAlign w:val="center"/>
          </w:tcPr>
          <w:p>
            <w:pPr>
              <w:pStyle w:val="TableContents"/>
              <w:bidi w:val="0"/>
              <w:spacing w:before="0" w:after="0"/>
              <w:jc w:val="center"/>
              <w:rPr/>
            </w:pPr>
            <w:hyperlink w:anchor="ef20011298_ex99-1.htm">
              <w:r>
                <w:rPr>
                  <w:rStyle w:val="InternetLink"/>
                  <w:rFonts w:ascii="Times New Roman" w:hAnsi="Times New Roman"/>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5945" w:type="dxa"/>
            <w:tcBorders/>
            <w:tcMar>
              <w:bottom w:w="0" w:type="dxa"/>
            </w:tcMar>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Press Release of ACM Research, Inc. dated September 27, 2023</w:t>
            </w:r>
          </w:p>
        </w:tc>
      </w:tr>
      <w:tr>
        <w:trPr/>
        <w:tc>
          <w:tcPr>
            <w:tcW w:w="6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945" w:type="dxa"/>
            <w:tcBorders/>
            <w:tcMar>
              <w:bottom w:w="0" w:type="dxa"/>
            </w:tcMar>
            <w:vAlign w:val="center"/>
          </w:tcPr>
          <w:p>
            <w:pPr>
              <w:pStyle w:val="TableContents"/>
              <w:bidi w:val="0"/>
              <w:spacing w:before="0" w:after="283"/>
              <w:jc w:val="left"/>
              <w:rPr/>
            </w:pPr>
            <w:r>
              <w:rPr/>
              <w:t> </w:t>
            </w:r>
          </w:p>
        </w:tc>
      </w:tr>
      <w:tr>
        <w:trPr/>
        <w:tc>
          <w:tcPr>
            <w:tcW w:w="650" w:type="dxa"/>
            <w:tcBorders/>
            <w:tcMar>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104</w:t>
            </w:r>
          </w:p>
        </w:tc>
        <w:tc>
          <w:tcPr>
            <w:tcW w:w="60" w:type="dxa"/>
            <w:tcBorders/>
            <w:tcMar>
              <w:bottom w:w="0" w:type="dxa"/>
            </w:tcMar>
            <w:vAlign w:val="center"/>
          </w:tcPr>
          <w:p>
            <w:pPr>
              <w:pStyle w:val="TableContents"/>
              <w:bidi w:val="0"/>
              <w:spacing w:before="0" w:after="283"/>
              <w:jc w:val="left"/>
              <w:rPr/>
            </w:pPr>
            <w:r>
              <w:rPr/>
              <w:t> </w:t>
            </w:r>
          </w:p>
        </w:tc>
        <w:tc>
          <w:tcPr>
            <w:tcW w:w="5945" w:type="dxa"/>
            <w:tcBorders/>
            <w:tcMar>
              <w:bottom w:w="0" w:type="dxa"/>
            </w:tcMar>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Cover Page Interactive Data File (embedded within the XBRL document)</w:t>
            </w:r>
          </w:p>
        </w:tc>
      </w:tr>
    </w:tbl>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w:t>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SIGNATURE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color w:val="000000"/>
          <w:shd w:fill="FFFFFF" w:val="clear"/>
        </w:rPr>
      </w:pPr>
      <w:r>
        <w:rPr>
          <w:color w:val="000000"/>
          <w:shd w:fill="FFFFFF" w:val="clear"/>
        </w:rPr>
        <w:t> </w:t>
      </w:r>
    </w:p>
    <w:tbl>
      <w:tblPr>
        <w:tblW w:w="5565" w:type="dxa"/>
        <w:jc w:val="left"/>
        <w:tblInd w:w="0" w:type="dxa"/>
        <w:tblLayout w:type="fixed"/>
        <w:tblCellMar>
          <w:top w:w="0" w:type="dxa"/>
          <w:left w:w="0" w:type="dxa"/>
          <w:bottom w:w="0" w:type="dxa"/>
          <w:right w:w="0" w:type="dxa"/>
        </w:tblCellMar>
      </w:tblPr>
      <w:tblGrid>
        <w:gridCol w:w="2225"/>
        <w:gridCol w:w="320"/>
        <w:gridCol w:w="3020"/>
      </w:tblGrid>
      <w:tr>
        <w:trPr/>
        <w:tc>
          <w:tcPr>
            <w:tcW w:w="2225" w:type="dxa"/>
            <w:tcBorders/>
            <w:vAlign w:val="center"/>
          </w:tcPr>
          <w:p>
            <w:pPr>
              <w:pStyle w:val="TableContents"/>
              <w:bidi w:val="0"/>
              <w:spacing w:before="0" w:after="283"/>
              <w:jc w:val="left"/>
              <w:rPr/>
            </w:pPr>
            <w:r>
              <w:rPr/>
              <w:t> </w:t>
            </w:r>
          </w:p>
        </w:tc>
        <w:tc>
          <w:tcPr>
            <w:tcW w:w="3340" w:type="dxa"/>
            <w:gridSpan w:val="2"/>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ACM RESEARCH, INC.</w:t>
            </w:r>
          </w:p>
        </w:tc>
      </w:tr>
      <w:tr>
        <w:trPr/>
        <w:tc>
          <w:tcPr>
            <w:tcW w:w="2225" w:type="dxa"/>
            <w:tcBorders/>
            <w:vAlign w:val="center"/>
          </w:tcPr>
          <w:p>
            <w:pPr>
              <w:pStyle w:val="TableContents"/>
              <w:bidi w:val="0"/>
              <w:spacing w:before="0" w:after="283"/>
              <w:jc w:val="left"/>
              <w:rPr/>
            </w:pPr>
            <w:r>
              <w:rPr/>
              <w:t> </w:t>
            </w:r>
          </w:p>
        </w:tc>
        <w:tc>
          <w:tcPr>
            <w:tcW w:w="3340" w:type="dxa"/>
            <w:gridSpan w:val="2"/>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3020"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/s/ Mark McKechnie</w:t>
            </w:r>
          </w:p>
        </w:tc>
      </w:tr>
      <w:tr>
        <w:trPr/>
        <w:tc>
          <w:tcPr>
            <w:tcW w:w="22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Mark McKechnie</w:t>
            </w:r>
          </w:p>
        </w:tc>
      </w:tr>
      <w:tr>
        <w:trPr/>
        <w:tc>
          <w:tcPr>
            <w:tcW w:w="22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Chief Financial Officer and Treasurer</w:t>
            </w:r>
          </w:p>
        </w:tc>
      </w:tr>
      <w:tr>
        <w:trPr/>
        <w:tc>
          <w:tcPr>
            <w:tcW w:w="22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Dated: September 27, 2023</w:t>
            </w:r>
          </w:p>
        </w:tc>
        <w:tc>
          <w:tcPr>
            <w:tcW w:w="32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w:t>
      </w:r>
    </w:p>
    <w:p>
      <w:pPr>
        <w:pStyle w:val="HorizontalLine"/>
        <w:bidi w:val="0"/>
        <w:jc w:val="left"/>
        <w:rPr/>
      </w:pPr>
      <w:r>
        <w:rPr/>
      </w:r>
    </w:p>
    <w:p>
      <w:pPr>
        <w:pStyle w:val="HorizontalLine"/>
        <w:pBdr>
          <w:bottom w:val="single" w:sz="12" w:space="0" w:color="808080"/>
        </w:pBdr>
        <w:bidi w:val="0"/>
        <w:jc w:val="left"/>
        <w:rPr/>
      </w:pPr>
      <w:r>
        <w:rPr/>
      </w:r>
      <w:bookmarkStart w:id="0" w:name="ef20011298_ex99-1.htm"/>
      <w:bookmarkStart w:id="1" w:name="ksef20011298_ex991"/>
      <w:bookmarkStart w:id="2" w:name="ef20011298_ex99-1.htm"/>
      <w:bookmarkStart w:id="3" w:name="ksef20011298_ex991"/>
      <w:bookmarkEnd w:id="2"/>
      <w:bookmarkEnd w:id="3"/>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99.1</w:t>
      </w:r>
    </w:p>
    <w:p>
      <w:pPr>
        <w:pStyle w:val="TextBody"/>
        <w:bidi w:val="0"/>
        <w:spacing w:before="0" w:after="0"/>
        <w:jc w:val="center"/>
        <w:rPr/>
      </w:pPr>
      <w:r>
        <w:rPr/>
      </w:r>
    </w:p>
    <w:p>
      <w:pPr>
        <w:pStyle w:val="TextBody"/>
        <w:bidi w:val="0"/>
        <w:spacing w:before="0" w:after="0"/>
        <w:jc w:val="center"/>
        <w:rPr>
          <w:color w:val="000000"/>
        </w:rPr>
      </w:pPr>
      <w:r>
        <w:rPr>
          <w:color w:val="000000"/>
        </w:rPr>
        <w:drawing>
          <wp:inline distT="0" distB="0" distL="0" distR="0">
            <wp:extent cx="1066800" cy="723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66800" cy="723900"/>
                    </a:xfrm>
                    <a:prstGeom prst="rect">
                      <a:avLst/>
                    </a:prstGeom>
                  </pic:spPr>
                </pic:pic>
              </a:graphicData>
            </a:graphic>
          </wp:inline>
        </w:drawing>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ACM Research’s Operating Subsidiary ACM Research (Shanghai) Provides Backlog Data</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FREMONT, Calif., Sept. 27, 2023 (GLOBE NEWSWIRE) – ACM Research, Inc. (“ACM”) (NASDAQ: ACMR), a leading supplier of wafer processing solutions for semiconductor and advanced wafer-level packaging applications, today announced that its operating subsidiary ACM Research (Shanghai), Inc. (“ACM Shanghai”) posted backlog figures for ACM Shanghai as of September 27, 2023 and September 30, 2022 on the Shanghai Stock Exchange website [</w:t>
      </w:r>
      <w:r>
        <w:rPr>
          <w:rFonts w:ascii="Times New Roman" w:hAnsi="Times New Roman"/>
          <w:color w:val="000000"/>
          <w:sz w:val="20"/>
          <w:u w:val="single"/>
        </w:rPr>
        <w:t>link to China Disclosure</w:t>
      </w:r>
      <w:r>
        <w:rPr>
          <w:rFonts w:ascii="Times New Roman" w:hAnsi="Times New Roman"/>
          <w:color w:val="000000"/>
          <w:sz w:val="20"/>
        </w:rPr>
        <w:t>].</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Backlog</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As of September 27, 2023 and September 30, 2022, ACM Shanghai’s total backlog amounted to RMB 6,795.8 million (USD $929.5 million), and RMB 4,644.2 million respectively. The total backlog figures include a mix of orders for tools that have been shipped but not yet recognized as revenue under Chinese generally accepted accounting principles (“Chinese GAAP”), and orders for tools expected to be shipped at a future date.</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(RMB in millions)</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4" w:name="z5f77c31a286f4c4e8d2173c70ca79763"/>
      <w:bookmarkStart w:id="5" w:name="z5f77c31a286f4c4e8d2173c70ca79763"/>
      <w:bookmarkEnd w:id="5"/>
    </w:p>
    <w:tbl>
      <w:tblPr>
        <w:tblW w:w="9425" w:type="dxa"/>
        <w:jc w:val="left"/>
        <w:tblInd w:w="-15" w:type="dxa"/>
        <w:tblLayout w:type="fixed"/>
        <w:tblCellMar>
          <w:top w:w="28" w:type="dxa"/>
          <w:left w:w="28" w:type="dxa"/>
          <w:bottom w:w="28" w:type="dxa"/>
          <w:right w:w="0" w:type="dxa"/>
        </w:tblCellMar>
      </w:tblPr>
      <w:tblGrid>
        <w:gridCol w:w="60"/>
        <w:gridCol w:w="5525"/>
        <w:gridCol w:w="60"/>
        <w:gridCol w:w="1340"/>
        <w:gridCol w:w="60"/>
        <w:gridCol w:w="1340"/>
        <w:gridCol w:w="60"/>
        <w:gridCol w:w="980"/>
      </w:tblGrid>
      <w:tr>
        <w:trPr/>
        <w:tc>
          <w:tcPr>
            <w:tcW w:w="60" w:type="dxa"/>
            <w:tcBorders>
              <w:top w:val="single" w:sz="12" w:space="0" w:color="000000"/>
              <w:left w:val="single" w:sz="12" w:space="0" w:color="000000"/>
              <w:bottom w:val="single" w:sz="12" w:space="0" w:color="000000"/>
            </w:tcBorders>
            <w:vAlign w:val="center"/>
          </w:tcPr>
          <w:p>
            <w:pPr>
              <w:pStyle w:val="TableContents"/>
              <w:bidi w:val="0"/>
              <w:spacing w:before="0" w:after="283"/>
              <w:jc w:val="left"/>
              <w:rPr/>
            </w:pPr>
            <w:r>
              <w:rPr/>
              <w:t> </w:t>
            </w:r>
          </w:p>
        </w:tc>
        <w:tc>
          <w:tcPr>
            <w:tcW w:w="5525" w:type="dxa"/>
            <w:tcBorders>
              <w:top w:val="single" w:sz="12" w:space="0" w:color="000000"/>
              <w:bottom w:val="single" w:sz="12" w:space="0" w:color="000000"/>
              <w:right w:val="single" w:sz="12" w:space="0" w:color="000000"/>
            </w:tcBorders>
            <w:tcMar>
              <w:left w:w="0" w:type="dxa"/>
              <w:right w:w="28"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Item</w:t>
            </w:r>
          </w:p>
        </w:tc>
        <w:tc>
          <w:tcPr>
            <w:tcW w:w="60" w:type="dxa"/>
            <w:tcBorders>
              <w:top w:val="single" w:sz="12" w:space="0" w:color="000000"/>
              <w:left w:val="single" w:sz="12" w:space="0" w:color="000000"/>
              <w:bottom w:val="single" w:sz="12" w:space="0" w:color="000000"/>
            </w:tcBorders>
            <w:vAlign w:val="center"/>
          </w:tcPr>
          <w:p>
            <w:pPr>
              <w:pStyle w:val="TableContents"/>
              <w:bidi w:val="0"/>
              <w:spacing w:before="0" w:after="283"/>
              <w:jc w:val="left"/>
              <w:rPr/>
            </w:pPr>
            <w:r>
              <w:rPr/>
              <w:t> </w:t>
            </w:r>
          </w:p>
        </w:tc>
        <w:tc>
          <w:tcPr>
            <w:tcW w:w="1340" w:type="dxa"/>
            <w:tcBorders>
              <w:top w:val="single" w:sz="12" w:space="0" w:color="000000"/>
              <w:bottom w:val="single" w:sz="12" w:space="0" w:color="000000"/>
              <w:right w:val="single" w:sz="12" w:space="0" w:color="000000"/>
            </w:tcBorders>
            <w:tcMar>
              <w:left w:w="0" w:type="dxa"/>
              <w:right w:w="28"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As of September</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27, 2023</w:t>
            </w:r>
          </w:p>
        </w:tc>
        <w:tc>
          <w:tcPr>
            <w:tcW w:w="60" w:type="dxa"/>
            <w:tcBorders>
              <w:top w:val="single" w:sz="12" w:space="0" w:color="000000"/>
              <w:bottom w:val="single" w:sz="12" w:space="0" w:color="000000"/>
            </w:tcBorders>
            <w:tcMar>
              <w:left w:w="0" w:type="dxa"/>
            </w:tcMar>
            <w:vAlign w:val="center"/>
          </w:tcPr>
          <w:p>
            <w:pPr>
              <w:pStyle w:val="TableContents"/>
              <w:bidi w:val="0"/>
              <w:spacing w:before="0" w:after="283"/>
              <w:jc w:val="left"/>
              <w:rPr/>
            </w:pPr>
            <w:r>
              <w:rPr/>
              <w:t> </w:t>
            </w:r>
          </w:p>
        </w:tc>
        <w:tc>
          <w:tcPr>
            <w:tcW w:w="1340" w:type="dxa"/>
            <w:tcBorders>
              <w:top w:val="single" w:sz="12" w:space="0" w:color="000000"/>
              <w:bottom w:val="single" w:sz="12" w:space="0" w:color="000000"/>
              <w:right w:val="single" w:sz="12" w:space="0" w:color="000000"/>
            </w:tcBorders>
            <w:tcMar>
              <w:left w:w="0" w:type="dxa"/>
              <w:right w:w="28"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As of September</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30, 2022</w:t>
            </w:r>
          </w:p>
        </w:tc>
        <w:tc>
          <w:tcPr>
            <w:tcW w:w="60" w:type="dxa"/>
            <w:tcBorders>
              <w:top w:val="single" w:sz="12" w:space="0" w:color="000000"/>
              <w:bottom w:val="single" w:sz="12" w:space="0" w:color="000000"/>
            </w:tcBorders>
            <w:tcMar>
              <w:left w:w="0" w:type="dxa"/>
            </w:tcMar>
            <w:vAlign w:val="center"/>
          </w:tcPr>
          <w:p>
            <w:pPr>
              <w:pStyle w:val="TableContents"/>
              <w:bidi w:val="0"/>
              <w:spacing w:before="0" w:after="283"/>
              <w:jc w:val="left"/>
              <w:rPr/>
            </w:pPr>
            <w:r>
              <w:rPr/>
              <w:t> </w:t>
            </w:r>
          </w:p>
        </w:tc>
        <w:tc>
          <w:tcPr>
            <w:tcW w:w="980" w:type="dxa"/>
            <w:tcBorders>
              <w:top w:val="single" w:sz="12" w:space="0" w:color="000000"/>
              <w:bottom w:val="single" w:sz="12" w:space="0" w:color="000000"/>
              <w:right w:val="single" w:sz="12" w:space="0" w:color="000000"/>
            </w:tcBorders>
            <w:tcMar>
              <w:left w:w="0" w:type="dxa"/>
              <w:right w:w="28"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YoY </w:t>
              <w:br/>
              <w:t>Change (%)</w:t>
            </w:r>
          </w:p>
        </w:tc>
      </w:tr>
      <w:tr>
        <w:trPr/>
        <w:tc>
          <w:tcPr>
            <w:tcW w:w="60" w:type="dxa"/>
            <w:tcBorders>
              <w:left w:val="single" w:sz="12" w:space="0" w:color="000000"/>
              <w:bottom w:val="single" w:sz="12" w:space="0" w:color="000000"/>
            </w:tcBorders>
            <w:shd w:fill="CCEEFF" w:val="clear"/>
            <w:tcMar>
              <w:top w:w="0" w:type="dxa"/>
            </w:tcMar>
            <w:vAlign w:val="center"/>
          </w:tcPr>
          <w:p>
            <w:pPr>
              <w:pStyle w:val="TableContents"/>
              <w:bidi w:val="0"/>
              <w:spacing w:before="0" w:after="283"/>
              <w:jc w:val="left"/>
              <w:rPr/>
            </w:pPr>
            <w:r>
              <w:rPr/>
              <w:t> </w:t>
            </w:r>
          </w:p>
        </w:tc>
        <w:tc>
          <w:tcPr>
            <w:tcW w:w="5525" w:type="dxa"/>
            <w:tcBorders>
              <w:bottom w:val="single" w:sz="12" w:space="0" w:color="000000"/>
              <w:right w:val="single" w:sz="12" w:space="0" w:color="000000"/>
            </w:tcBorders>
            <w:shd w:fill="CCEEFF" w:val="clear"/>
            <w:tcMar>
              <w:top w:w="0" w:type="dxa"/>
              <w:left w:w="0" w:type="dxa"/>
              <w:right w:w="28"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Orders under contract</w:t>
            </w:r>
          </w:p>
        </w:tc>
        <w:tc>
          <w:tcPr>
            <w:tcW w:w="60" w:type="dxa"/>
            <w:tcBorders>
              <w:left w:val="single" w:sz="12" w:space="0" w:color="000000"/>
              <w:bottom w:val="single" w:sz="12" w:space="0" w:color="000000"/>
            </w:tcBorders>
            <w:shd w:fill="CCEEFF" w:val="clear"/>
            <w:tcMar>
              <w:top w:w="0" w:type="dxa"/>
            </w:tcMar>
            <w:vAlign w:val="center"/>
          </w:tcPr>
          <w:p>
            <w:pPr>
              <w:pStyle w:val="TableContents"/>
              <w:bidi w:val="0"/>
              <w:spacing w:before="0" w:after="283"/>
              <w:jc w:val="left"/>
              <w:rPr/>
            </w:pPr>
            <w:r>
              <w:rPr/>
              <w:t> </w:t>
            </w:r>
          </w:p>
        </w:tc>
        <w:tc>
          <w:tcPr>
            <w:tcW w:w="1340" w:type="dxa"/>
            <w:tcBorders>
              <w:bottom w:val="single" w:sz="12" w:space="0" w:color="000000"/>
              <w:right w:val="single" w:sz="12" w:space="0" w:color="000000"/>
            </w:tcBorders>
            <w:shd w:fill="CCEEFF" w:val="clear"/>
            <w:tcMar>
              <w:top w:w="0" w:type="dxa"/>
              <w:left w:w="0" w:type="dxa"/>
              <w:right w:w="28" w:type="dxa"/>
            </w:tcMar>
            <w:vAlign w:val="center"/>
          </w:tcPr>
          <w:p>
            <w:pPr>
              <w:pStyle w:val="TableContents"/>
              <w:bidi w:val="0"/>
              <w:spacing w:before="0" w:after="0"/>
              <w:jc w:val="left"/>
              <w:rPr>
                <w:color w:val="000000"/>
              </w:rPr>
            </w:pPr>
            <w:r>
              <w:rPr>
                <w:color w:val="000000"/>
              </w:rPr>
              <w:t> </w:t>
            </w:r>
            <w:r>
              <w:rPr>
                <w:rFonts w:ascii="Times New Roman" w:hAnsi="Times New Roman"/>
                <w:color w:val="000000"/>
                <w:sz w:val="20"/>
              </w:rPr>
              <w:t>6,525.7</w:t>
            </w:r>
          </w:p>
        </w:tc>
        <w:tc>
          <w:tcPr>
            <w:tcW w:w="60" w:type="dxa"/>
            <w:tcBorders>
              <w:bottom w:val="single" w:sz="12" w:space="0" w:color="000000"/>
            </w:tcBorders>
            <w:shd w:fill="CCEEFF" w:val="clear"/>
            <w:tcMar>
              <w:top w:w="0" w:type="dxa"/>
              <w:left w:w="0" w:type="dxa"/>
            </w:tcMar>
            <w:vAlign w:val="center"/>
          </w:tcPr>
          <w:p>
            <w:pPr>
              <w:pStyle w:val="TableContents"/>
              <w:bidi w:val="0"/>
              <w:spacing w:before="0" w:after="283"/>
              <w:jc w:val="left"/>
              <w:rPr/>
            </w:pPr>
            <w:r>
              <w:rPr/>
              <w:t> </w:t>
            </w:r>
          </w:p>
        </w:tc>
        <w:tc>
          <w:tcPr>
            <w:tcW w:w="1340" w:type="dxa"/>
            <w:tcBorders>
              <w:bottom w:val="single" w:sz="12" w:space="0" w:color="000000"/>
              <w:right w:val="single" w:sz="12" w:space="0" w:color="000000"/>
            </w:tcBorders>
            <w:shd w:fill="CCEEFF" w:val="clear"/>
            <w:tcMar>
              <w:top w:w="0" w:type="dxa"/>
              <w:left w:w="0" w:type="dxa"/>
              <w:right w:w="28" w:type="dxa"/>
            </w:tcMar>
            <w:vAlign w:val="center"/>
          </w:tcPr>
          <w:p>
            <w:pPr>
              <w:pStyle w:val="TableContents"/>
              <w:bidi w:val="0"/>
              <w:spacing w:before="0" w:after="0"/>
              <w:jc w:val="left"/>
              <w:rPr>
                <w:color w:val="000000"/>
              </w:rPr>
            </w:pPr>
            <w:r>
              <w:rPr>
                <w:color w:val="000000"/>
              </w:rPr>
              <w:t> </w:t>
            </w:r>
            <w:r>
              <w:rPr>
                <w:rFonts w:ascii="Times New Roman" w:hAnsi="Times New Roman"/>
                <w:color w:val="000000"/>
                <w:sz w:val="20"/>
              </w:rPr>
              <w:t>4,627.9</w:t>
            </w:r>
          </w:p>
        </w:tc>
        <w:tc>
          <w:tcPr>
            <w:tcW w:w="60" w:type="dxa"/>
            <w:tcBorders>
              <w:bottom w:val="single" w:sz="12" w:space="0" w:color="000000"/>
            </w:tcBorders>
            <w:shd w:fill="CCEEFF" w:val="clear"/>
            <w:tcMar>
              <w:top w:w="0" w:type="dxa"/>
              <w:left w:w="0" w:type="dxa"/>
            </w:tcMar>
            <w:vAlign w:val="center"/>
          </w:tcPr>
          <w:p>
            <w:pPr>
              <w:pStyle w:val="TableContents"/>
              <w:bidi w:val="0"/>
              <w:spacing w:before="0" w:after="283"/>
              <w:jc w:val="left"/>
              <w:rPr/>
            </w:pPr>
            <w:r>
              <w:rPr/>
              <w:t> </w:t>
            </w:r>
          </w:p>
        </w:tc>
        <w:tc>
          <w:tcPr>
            <w:tcW w:w="980" w:type="dxa"/>
            <w:tcBorders>
              <w:bottom w:val="single" w:sz="12" w:space="0" w:color="000000"/>
              <w:right w:val="single" w:sz="12" w:space="0" w:color="000000"/>
            </w:tcBorders>
            <w:shd w:fill="CCEEFF" w:val="clear"/>
            <w:tcMar>
              <w:top w:w="0" w:type="dxa"/>
              <w:left w:w="0" w:type="dxa"/>
              <w:right w:w="28" w:type="dxa"/>
            </w:tcMar>
            <w:vAlign w:val="center"/>
          </w:tcPr>
          <w:p>
            <w:pPr>
              <w:pStyle w:val="TableContents"/>
              <w:bidi w:val="0"/>
              <w:spacing w:before="0" w:after="0"/>
              <w:jc w:val="left"/>
              <w:rPr>
                <w:color w:val="000000"/>
              </w:rPr>
            </w:pPr>
            <w:r>
              <w:rPr>
                <w:color w:val="000000"/>
              </w:rPr>
              <w:t> </w:t>
            </w:r>
            <w:r>
              <w:rPr>
                <w:rFonts w:ascii="Times New Roman" w:hAnsi="Times New Roman"/>
                <w:color w:val="000000"/>
                <w:sz w:val="20"/>
              </w:rPr>
              <w:t>41.0%</w:t>
            </w:r>
          </w:p>
        </w:tc>
      </w:tr>
      <w:tr>
        <w:trPr/>
        <w:tc>
          <w:tcPr>
            <w:tcW w:w="6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5525"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Orders awarded by formal bidding process, pending official contract</w:t>
            </w:r>
          </w:p>
        </w:tc>
        <w:tc>
          <w:tcPr>
            <w:tcW w:w="6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1340"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0"/>
              <w:jc w:val="left"/>
              <w:rPr>
                <w:color w:val="000000"/>
              </w:rPr>
            </w:pPr>
            <w:r>
              <w:rPr>
                <w:color w:val="000000"/>
              </w:rPr>
              <w:t> </w:t>
            </w:r>
            <w:r>
              <w:rPr>
                <w:rFonts w:ascii="Times New Roman" w:hAnsi="Times New Roman"/>
                <w:color w:val="000000"/>
                <w:sz w:val="20"/>
              </w:rPr>
              <w:t>270.1</w:t>
            </w:r>
          </w:p>
        </w:tc>
        <w:tc>
          <w:tcPr>
            <w:tcW w:w="60" w:type="dxa"/>
            <w:tcBorders>
              <w:bottom w:val="single" w:sz="12" w:space="0" w:color="000000"/>
            </w:tcBorders>
            <w:tcMar>
              <w:top w:w="0" w:type="dxa"/>
              <w:left w:w="0" w:type="dxa"/>
            </w:tcMar>
            <w:vAlign w:val="center"/>
          </w:tcPr>
          <w:p>
            <w:pPr>
              <w:pStyle w:val="TableContents"/>
              <w:bidi w:val="0"/>
              <w:spacing w:before="0" w:after="283"/>
              <w:jc w:val="left"/>
              <w:rPr/>
            </w:pPr>
            <w:r>
              <w:rPr/>
              <w:t> </w:t>
            </w:r>
          </w:p>
        </w:tc>
        <w:tc>
          <w:tcPr>
            <w:tcW w:w="1340"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0"/>
              <w:jc w:val="left"/>
              <w:rPr>
                <w:color w:val="000000"/>
              </w:rPr>
            </w:pPr>
            <w:r>
              <w:rPr>
                <w:color w:val="000000"/>
              </w:rPr>
              <w:t> </w:t>
            </w:r>
            <w:r>
              <w:rPr>
                <w:rFonts w:ascii="Times New Roman" w:hAnsi="Times New Roman"/>
                <w:color w:val="000000"/>
                <w:sz w:val="20"/>
              </w:rPr>
              <w:t>16.3</w:t>
            </w:r>
          </w:p>
        </w:tc>
        <w:tc>
          <w:tcPr>
            <w:tcW w:w="60" w:type="dxa"/>
            <w:tcBorders>
              <w:bottom w:val="single" w:sz="12" w:space="0" w:color="000000"/>
            </w:tcBorders>
            <w:tcMar>
              <w:top w:w="0" w:type="dxa"/>
              <w:left w:w="0" w:type="dxa"/>
            </w:tcMar>
            <w:vAlign w:val="center"/>
          </w:tcPr>
          <w:p>
            <w:pPr>
              <w:pStyle w:val="TableContents"/>
              <w:bidi w:val="0"/>
              <w:spacing w:before="0" w:after="283"/>
              <w:jc w:val="left"/>
              <w:rPr/>
            </w:pPr>
            <w:r>
              <w:rPr/>
              <w:t> </w:t>
            </w:r>
          </w:p>
        </w:tc>
        <w:tc>
          <w:tcPr>
            <w:tcW w:w="980"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0"/>
              <w:jc w:val="left"/>
              <w:rPr>
                <w:color w:val="000000"/>
              </w:rPr>
            </w:pPr>
            <w:r>
              <w:rPr>
                <w:color w:val="000000"/>
              </w:rPr>
              <w:t> </w:t>
            </w:r>
            <w:r>
              <w:rPr>
                <w:rFonts w:ascii="Times New Roman" w:hAnsi="Times New Roman"/>
                <w:color w:val="000000"/>
                <w:sz w:val="20"/>
              </w:rPr>
              <w:t>1,554.6%</w:t>
            </w:r>
          </w:p>
        </w:tc>
      </w:tr>
      <w:tr>
        <w:trPr/>
        <w:tc>
          <w:tcPr>
            <w:tcW w:w="60" w:type="dxa"/>
            <w:tcBorders>
              <w:left w:val="single" w:sz="12" w:space="0" w:color="000000"/>
              <w:bottom w:val="single" w:sz="12" w:space="0" w:color="000000"/>
            </w:tcBorders>
            <w:shd w:fill="CCEEFF" w:val="clear"/>
            <w:tcMar>
              <w:top w:w="0" w:type="dxa"/>
            </w:tcMar>
            <w:vAlign w:val="center"/>
          </w:tcPr>
          <w:p>
            <w:pPr>
              <w:pStyle w:val="TableContents"/>
              <w:bidi w:val="0"/>
              <w:spacing w:before="0" w:after="283"/>
              <w:jc w:val="left"/>
              <w:rPr/>
            </w:pPr>
            <w:r>
              <w:rPr/>
              <w:t> </w:t>
            </w:r>
          </w:p>
        </w:tc>
        <w:tc>
          <w:tcPr>
            <w:tcW w:w="5525" w:type="dxa"/>
            <w:tcBorders>
              <w:bottom w:val="single" w:sz="12" w:space="0" w:color="000000"/>
              <w:right w:val="single" w:sz="12" w:space="0" w:color="000000"/>
            </w:tcBorders>
            <w:shd w:fill="CCEEFF" w:val="clear"/>
            <w:tcMar>
              <w:top w:w="0" w:type="dxa"/>
              <w:left w:w="0" w:type="dxa"/>
              <w:right w:w="28"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Total backlog</w:t>
            </w:r>
          </w:p>
        </w:tc>
        <w:tc>
          <w:tcPr>
            <w:tcW w:w="60" w:type="dxa"/>
            <w:tcBorders>
              <w:left w:val="single" w:sz="12" w:space="0" w:color="000000"/>
              <w:bottom w:val="single" w:sz="12" w:space="0" w:color="000000"/>
            </w:tcBorders>
            <w:shd w:fill="CCEEFF" w:val="clear"/>
            <w:tcMar>
              <w:top w:w="0" w:type="dxa"/>
            </w:tcMar>
            <w:vAlign w:val="center"/>
          </w:tcPr>
          <w:p>
            <w:pPr>
              <w:pStyle w:val="TableContents"/>
              <w:bidi w:val="0"/>
              <w:spacing w:before="0" w:after="283"/>
              <w:jc w:val="left"/>
              <w:rPr/>
            </w:pPr>
            <w:r>
              <w:rPr/>
              <w:t> </w:t>
            </w:r>
          </w:p>
        </w:tc>
        <w:tc>
          <w:tcPr>
            <w:tcW w:w="1340" w:type="dxa"/>
            <w:tcBorders>
              <w:bottom w:val="single" w:sz="12" w:space="0" w:color="000000"/>
              <w:right w:val="single" w:sz="12" w:space="0" w:color="000000"/>
            </w:tcBorders>
            <w:shd w:fill="CCEEFF" w:val="clear"/>
            <w:tcMar>
              <w:top w:w="0" w:type="dxa"/>
              <w:left w:w="0" w:type="dxa"/>
              <w:right w:w="28"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6,795.8</w:t>
            </w:r>
          </w:p>
        </w:tc>
        <w:tc>
          <w:tcPr>
            <w:tcW w:w="60" w:type="dxa"/>
            <w:tcBorders>
              <w:bottom w:val="single" w:sz="12" w:space="0" w:color="000000"/>
            </w:tcBorders>
            <w:shd w:fill="CCEEFF" w:val="clear"/>
            <w:tcMar>
              <w:top w:w="0" w:type="dxa"/>
              <w:left w:w="0" w:type="dxa"/>
            </w:tcMar>
            <w:vAlign w:val="center"/>
          </w:tcPr>
          <w:p>
            <w:pPr>
              <w:pStyle w:val="TableContents"/>
              <w:bidi w:val="0"/>
              <w:spacing w:before="0" w:after="283"/>
              <w:jc w:val="left"/>
              <w:rPr/>
            </w:pPr>
            <w:r>
              <w:rPr/>
              <w:t> </w:t>
            </w:r>
          </w:p>
        </w:tc>
        <w:tc>
          <w:tcPr>
            <w:tcW w:w="1340" w:type="dxa"/>
            <w:tcBorders>
              <w:bottom w:val="single" w:sz="12" w:space="0" w:color="000000"/>
              <w:right w:val="single" w:sz="12" w:space="0" w:color="000000"/>
            </w:tcBorders>
            <w:shd w:fill="CCEEFF" w:val="clear"/>
            <w:tcMar>
              <w:top w:w="0" w:type="dxa"/>
              <w:left w:w="0" w:type="dxa"/>
              <w:right w:w="28" w:type="dxa"/>
            </w:tcMar>
            <w:vAlign w:val="center"/>
          </w:tcPr>
          <w:p>
            <w:pPr>
              <w:pStyle w:val="TableContents"/>
              <w:bidi w:val="0"/>
              <w:spacing w:before="0" w:after="0"/>
              <w:jc w:val="left"/>
              <w:rPr>
                <w:color w:val="000000"/>
              </w:rPr>
            </w:pPr>
            <w:r>
              <w:rPr>
                <w:color w:val="000000"/>
              </w:rPr>
              <w:t> </w:t>
            </w:r>
            <w:r>
              <w:rPr>
                <w:rFonts w:ascii="Times New Roman" w:hAnsi="Times New Roman"/>
                <w:color w:val="000000"/>
                <w:sz w:val="20"/>
              </w:rPr>
              <w:t>4,644.2</w:t>
            </w:r>
          </w:p>
        </w:tc>
        <w:tc>
          <w:tcPr>
            <w:tcW w:w="60" w:type="dxa"/>
            <w:tcBorders>
              <w:bottom w:val="single" w:sz="12" w:space="0" w:color="000000"/>
            </w:tcBorders>
            <w:shd w:fill="CCEEFF" w:val="clear"/>
            <w:tcMar>
              <w:top w:w="0" w:type="dxa"/>
              <w:left w:w="0" w:type="dxa"/>
            </w:tcMar>
            <w:vAlign w:val="center"/>
          </w:tcPr>
          <w:p>
            <w:pPr>
              <w:pStyle w:val="TableContents"/>
              <w:bidi w:val="0"/>
              <w:spacing w:before="0" w:after="283"/>
              <w:jc w:val="left"/>
              <w:rPr/>
            </w:pPr>
            <w:r>
              <w:rPr/>
              <w:t> </w:t>
            </w:r>
          </w:p>
        </w:tc>
        <w:tc>
          <w:tcPr>
            <w:tcW w:w="980" w:type="dxa"/>
            <w:tcBorders>
              <w:bottom w:val="single" w:sz="12" w:space="0" w:color="000000"/>
              <w:right w:val="single" w:sz="12" w:space="0" w:color="000000"/>
            </w:tcBorders>
            <w:shd w:fill="CCEEFF" w:val="clear"/>
            <w:tcMar>
              <w:top w:w="0" w:type="dxa"/>
              <w:left w:w="0" w:type="dxa"/>
              <w:right w:w="28" w:type="dxa"/>
            </w:tcMar>
            <w:vAlign w:val="center"/>
          </w:tcPr>
          <w:p>
            <w:pPr>
              <w:pStyle w:val="TableContents"/>
              <w:bidi w:val="0"/>
              <w:spacing w:before="0" w:after="0"/>
              <w:jc w:val="left"/>
              <w:rPr>
                <w:color w:val="000000"/>
              </w:rPr>
            </w:pPr>
            <w:r>
              <w:rPr>
                <w:color w:val="000000"/>
              </w:rPr>
              <w:t> </w:t>
            </w:r>
            <w:r>
              <w:rPr>
                <w:rFonts w:ascii="Times New Roman" w:hAnsi="Times New Roman"/>
                <w:color w:val="000000"/>
                <w:sz w:val="20"/>
              </w:rPr>
              <w:t>46.3%</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Backlog is not a financial measure that is defined or recognized by Chinese GAAP or U.S. generally accepted accounting principles, and ACM Shanghai’s method for determining and calculating backlog, and the underlying assumptions, may not be comparable to the methodologies and assumptions used by other companies. Orders included in backlog may not actually generate the amounts of revenue estimated above.</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All USD amounts above are for reference only and are translated using the September 26, 2023 Wall Street Journal closing exchange rate.</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Reporting Dates</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ACM Shanghai will release its full financial results for the nine months ended September 30, 2023 on October 27, 2023 after the market close in China, and on the same day ACM will report preliminary financial results for the nine months ended September 30, 2023 before the market open in the U.S.</w:t>
      </w:r>
    </w:p>
    <w:p>
      <w:pPr>
        <w:pStyle w:val="TextBody"/>
        <w:bidi w:val="0"/>
        <w:spacing w:before="0" w:after="0"/>
        <w:jc w:val="left"/>
        <w:rPr>
          <w:sz w:val="20"/>
        </w:rPr>
      </w:pPr>
      <w:r>
        <w:rPr>
          <w:sz w:val="20"/>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ACM will release its full financial results for the third quarter of 2023 and conduct a corresponding conference call to discuss the results in early November 2023. The specific reporting date and details of the conference call will be released at a later date.</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Certain statements contained in this press release are not historical facts and may be forward-looking statements within the meaning of the Private Securities Litigation Reform Act of 1995. Words such as “plans,” “expects,” “believes,” “anticipates,” “designed,” and similar words are intended to identify forward-looking statements. Forward-looking statements are based on ACM management’s current expectations and beliefs, and involve a number of risks and uncertainties that are difficult to predict and that could cause actual results to differ materially from those stated or implied by the forward-looking statements. A description of certain of these risks, uncertainties and other matters can be found in filings ACM makes with the U.S. Securities and Exchange Commission, all of which are available at www.sec.gov. Because forward-looking statements involve risks and uncertainties, actual results and events may differ materially from results and events currently expected by ACM. ACM undertakes no obligation to publicly update these forward-looking statements to reflect events or circumstances that occur after the date hereof or to reflect any change in its expectations with regard to these forward-looking statements or the occurrence of unanticipated events.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About ACM Research, Inc.</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ACM develops, manufactures, and sells semiconductor process equipment for single-wafer or batch wet cleaning, electroplating, stress-free polishing and thermal processes that are critical to advanced semiconductor device manufacturing, as well as wafer-level packaging. ACM is committed to delivering customized, high performance, cost-effective process solutions that semiconductor manufacturers can use in numerous manufacturing steps to improve productivity and product yield. For more information, visit </w:t>
      </w:r>
      <w:r>
        <w:rPr>
          <w:rFonts w:ascii="Times New Roman" w:hAnsi="Times New Roman"/>
          <w:color w:val="000000"/>
          <w:sz w:val="20"/>
          <w:u w:val="single"/>
        </w:rPr>
        <w:t>www.acmrcsh.com</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ACM Research, Inc. The ACM Research logo is a trademark of ACM Research, Inc. For convenience, this trademark appears in this press release without a ™ symbol, but that practice does not mean that ACM will not assert, to the fullest extent under applicable law, its rights to such trademark.</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For investor and media inquiries, please contact:</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 w:name="z00ff2a9d909844d88eb0fb0c7d5c1241"/>
      <w:bookmarkStart w:id="7" w:name="z00ff2a9d909844d88eb0fb0c7d5c1241"/>
      <w:bookmarkEnd w:id="7"/>
    </w:p>
    <w:tbl>
      <w:tblPr>
        <w:tblW w:w="3955" w:type="dxa"/>
        <w:jc w:val="left"/>
        <w:tblInd w:w="0" w:type="dxa"/>
        <w:tblLayout w:type="fixed"/>
        <w:tblCellMar>
          <w:top w:w="0" w:type="dxa"/>
          <w:left w:w="0" w:type="dxa"/>
          <w:bottom w:w="0" w:type="dxa"/>
          <w:right w:w="0" w:type="dxa"/>
        </w:tblCellMar>
      </w:tblPr>
      <w:tblGrid>
        <w:gridCol w:w="60"/>
        <w:gridCol w:w="1670"/>
        <w:gridCol w:w="2225"/>
      </w:tblGrid>
      <w:tr>
        <w:trPr/>
        <w:tc>
          <w:tcPr>
            <w:tcW w:w="6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In the United States</w:t>
            </w:r>
            <w:r>
              <w:rPr>
                <w:rFonts w:ascii="Times New Roman" w:hAnsi="Times New Roman"/>
                <w:sz w:val="20"/>
              </w:rPr>
              <w:t>:</w:t>
            </w:r>
          </w:p>
        </w:tc>
        <w:tc>
          <w:tcPr>
            <w:tcW w:w="2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Blueshirt Group</w:t>
            </w:r>
          </w:p>
        </w:tc>
      </w:tr>
      <w:tr>
        <w:trPr/>
        <w:tc>
          <w:tcPr>
            <w:tcW w:w="6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Yujia Zhai</w:t>
            </w:r>
          </w:p>
        </w:tc>
      </w:tr>
      <w:tr>
        <w:trPr/>
        <w:tc>
          <w:tcPr>
            <w:tcW w:w="6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 (860) 214-0809</w:t>
            </w:r>
          </w:p>
        </w:tc>
      </w:tr>
      <w:tr>
        <w:trPr/>
        <w:tc>
          <w:tcPr>
            <w:tcW w:w="6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yujia@blueshirtgroup.com</w:t>
            </w:r>
          </w:p>
        </w:tc>
      </w:tr>
      <w:tr>
        <w:trPr/>
        <w:tc>
          <w:tcPr>
            <w:tcW w:w="6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In China</w:t>
            </w:r>
            <w:r>
              <w:rPr>
                <w:rFonts w:ascii="Times New Roman" w:hAnsi="Times New Roman"/>
                <w:sz w:val="20"/>
              </w:rPr>
              <w:t>:</w:t>
            </w:r>
          </w:p>
        </w:tc>
        <w:tc>
          <w:tcPr>
            <w:tcW w:w="2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Blueshirt Group Asia</w:t>
            </w:r>
          </w:p>
        </w:tc>
      </w:tr>
      <w:tr>
        <w:trPr/>
        <w:tc>
          <w:tcPr>
            <w:tcW w:w="6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Gary Dvorchak, CFA</w:t>
            </w:r>
          </w:p>
        </w:tc>
      </w:tr>
      <w:tr>
        <w:trPr/>
        <w:tc>
          <w:tcPr>
            <w:tcW w:w="6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gary@blueshirtgroup.com</w:t>
            </w:r>
          </w:p>
        </w:tc>
      </w:tr>
    </w:tbl>
    <w:p>
      <w:pPr>
        <w:pStyle w:val="TextBody"/>
        <w:bidi w:val="0"/>
        <w:spacing w:before="0" w:after="0"/>
        <w:jc w:val="left"/>
        <w:rPr>
          <w:sz w:val="20"/>
        </w:rPr>
      </w:pPr>
      <w:r>
        <w:rPr>
          <w:sz w:val="20"/>
        </w:rPr>
      </w:r>
    </w:p>
    <w:p>
      <w:pPr>
        <w:pStyle w:val="TextBody"/>
        <w:bidi w:val="0"/>
        <w:spacing w:before="0" w:after="0"/>
        <w:jc w:val="left"/>
        <w:rPr>
          <w:sz w:val="20"/>
        </w:rPr>
      </w:pPr>
      <w:r>
        <w:rPr>
          <w:sz w:val="20"/>
        </w:rPr>
      </w:r>
    </w:p>
    <w:p>
      <w:pPr>
        <w:pStyle w:val="HorizontalLine"/>
        <w:pBdr>
          <w:bottom w:val="single" w:sz="1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1109</Words>
  <Characters>6295</Characters>
  <CharactersWithSpaces>7405</CharactersWithSpaces>
  <Paragraphs>193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