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2" w:lineRule="exact"/>
        <w:rPr>
          <w:sz w:val="24"/>
          <w:szCs w:val="24"/>
          <w:color w:val="auto"/>
        </w:rPr>
      </w:pPr>
    </w:p>
    <w:p>
      <w:pPr>
        <w:jc w:val="both"/>
        <w:ind w:left="7"/>
        <w:spacing w:after="0" w:line="217" w:lineRule="auto"/>
        <w:rPr>
          <w:sz w:val="20"/>
          <w:szCs w:val="20"/>
          <w:color w:val="auto"/>
        </w:rPr>
      </w:pPr>
      <w:r>
        <w:rPr>
          <w:rFonts w:ascii="Arial" w:cs="Arial" w:eastAsia="Arial" w:hAnsi="Arial"/>
          <w:sz w:val="17"/>
          <w:szCs w:val="17"/>
          <w:b w:val="1"/>
          <w:bCs w:val="1"/>
          <w:color w:val="FC0014"/>
        </w:rPr>
        <w:t>The information in this preliminary prospectus supplement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333-228734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2487"/>
        <w:spacing w:after="0"/>
        <w:rPr>
          <w:sz w:val="20"/>
          <w:szCs w:val="20"/>
          <w:color w:val="auto"/>
        </w:rPr>
      </w:pPr>
      <w:r>
        <w:rPr>
          <w:rFonts w:ascii="Arial" w:cs="Arial" w:eastAsia="Arial" w:hAnsi="Arial"/>
          <w:sz w:val="18"/>
          <w:szCs w:val="18"/>
          <w:b w:val="1"/>
          <w:bCs w:val="1"/>
          <w:color w:val="FC0014"/>
        </w:rPr>
        <w:t>SUBJECT TO COMPLETION, DATED AUGUST 13, 2019</w:t>
      </w:r>
    </w:p>
    <w:p>
      <w:pPr>
        <w:spacing w:after="0" w:line="72" w:lineRule="exact"/>
        <w:rPr>
          <w:sz w:val="24"/>
          <w:szCs w:val="24"/>
          <w:color w:val="auto"/>
        </w:rPr>
      </w:pPr>
    </w:p>
    <w:p>
      <w:pPr>
        <w:ind w:left="7"/>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ind w:left="7"/>
        <w:spacing w:after="0"/>
        <w:rPr>
          <w:sz w:val="20"/>
          <w:szCs w:val="20"/>
          <w:color w:val="auto"/>
        </w:rPr>
      </w:pPr>
      <w:r>
        <w:rPr>
          <w:rFonts w:ascii="Arial" w:cs="Arial" w:eastAsia="Arial" w:hAnsi="Arial"/>
          <w:sz w:val="18"/>
          <w:szCs w:val="18"/>
          <w:b w:val="1"/>
          <w:bCs w:val="1"/>
          <w:color w:val="auto"/>
        </w:rPr>
        <w:t>(To Prospectus dated February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6071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100965</wp:posOffset>
            </wp:positionV>
            <wp:extent cx="126936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$30,000,000</w:t>
      </w:r>
    </w:p>
    <w:p>
      <w:pPr>
        <w:spacing w:after="0" w:line="45"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71" w:lineRule="exact"/>
        <w:rPr>
          <w:sz w:val="24"/>
          <w:szCs w:val="24"/>
          <w:color w:val="auto"/>
        </w:rPr>
      </w:pPr>
    </w:p>
    <w:p>
      <w:pPr>
        <w:ind w:left="7"/>
        <w:spacing w:after="0"/>
        <w:rPr>
          <w:sz w:val="20"/>
          <w:szCs w:val="20"/>
          <w:color w:val="auto"/>
        </w:rPr>
      </w:pPr>
      <w:r>
        <w:rPr>
          <w:rFonts w:ascii="Arial" w:cs="Arial" w:eastAsia="Arial" w:hAnsi="Arial"/>
          <w:sz w:val="20"/>
          <w:szCs w:val="20"/>
          <w:color w:val="auto"/>
        </w:rPr>
        <w:t>We are offering $30,000,000 of shares of Class A common stock.</w:t>
      </w:r>
    </w:p>
    <w:p>
      <w:pPr>
        <w:spacing w:after="0" w:line="162" w:lineRule="exact"/>
        <w:rPr>
          <w:sz w:val="24"/>
          <w:szCs w:val="24"/>
          <w:color w:val="auto"/>
        </w:rPr>
      </w:pPr>
    </w:p>
    <w:p>
      <w:pPr>
        <w:jc w:val="both"/>
        <w:ind w:left="7" w:right="20"/>
        <w:spacing w:after="0" w:line="317" w:lineRule="auto"/>
        <w:rPr>
          <w:sz w:val="20"/>
          <w:szCs w:val="20"/>
          <w:color w:val="auto"/>
        </w:rPr>
      </w:pPr>
      <w:r>
        <w:rPr>
          <w:rFonts w:ascii="Arial" w:cs="Arial" w:eastAsia="Arial" w:hAnsi="Arial"/>
          <w:sz w:val="19"/>
          <w:szCs w:val="19"/>
          <w:color w:val="auto"/>
        </w:rPr>
        <w:t>Class A common stock is listed on the Nasdaq Global Market under the symbol “ACMR.” On August 12, 2019, the last reported sale price of Class A common stock on the Nasdaq Global Market was $17.80 per share.</w:t>
      </w:r>
    </w:p>
    <w:p>
      <w:pPr>
        <w:spacing w:after="0" w:line="85" w:lineRule="exact"/>
        <w:rPr>
          <w:sz w:val="24"/>
          <w:szCs w:val="24"/>
          <w:color w:val="auto"/>
        </w:rPr>
      </w:pPr>
    </w:p>
    <w:p>
      <w:pPr>
        <w:jc w:val="both"/>
        <w:ind w:left="7" w:right="20"/>
        <w:spacing w:after="0" w:line="278" w:lineRule="auto"/>
        <w:rPr>
          <w:sz w:val="20"/>
          <w:szCs w:val="20"/>
          <w:color w:val="auto"/>
        </w:rPr>
      </w:pPr>
      <w:r>
        <w:rPr>
          <w:rFonts w:ascii="Arial" w:cs="Arial" w:eastAsia="Arial" w:hAnsi="Arial"/>
          <w:sz w:val="20"/>
          <w:szCs w:val="20"/>
          <w:color w:val="auto"/>
        </w:rPr>
        <w:t>We are an “emerging growth company” as defined by the Jumpstart Our Business Startups Act of 2012 and, as such, we have elected to comply with certain reduced public company reporting requirements for this prospectus supplement, the accompanying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23" w:lineRule="exact"/>
        <w:rPr>
          <w:sz w:val="24"/>
          <w:szCs w:val="24"/>
          <w:color w:val="auto"/>
        </w:rPr>
      </w:pPr>
    </w:p>
    <w:p>
      <w:pPr>
        <w:ind w:left="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Class A common stock involves risks. See “Risk Factors” on page S-</w:t>
      </w:r>
      <w:hyperlink w:anchor="page6">
        <w:r>
          <w:rPr>
            <w:rFonts w:ascii="Arial" w:cs="Arial" w:eastAsia="Arial" w:hAnsi="Arial"/>
            <w:sz w:val="17"/>
            <w:szCs w:val="17"/>
            <w:b w:val="1"/>
            <w:bCs w:val="1"/>
            <w:u w:val="single" w:color="auto"/>
            <w:color w:val="0000EE"/>
          </w:rPr>
          <w:t>4</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607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31" w:lineRule="exact"/>
        <w:rPr>
          <w:sz w:val="24"/>
          <w:szCs w:val="24"/>
          <w:color w:val="auto"/>
        </w:rPr>
      </w:pPr>
    </w:p>
    <w:tbl>
      <w:tblPr>
        <w:tblLayout w:type="fixed"/>
        <w:tblInd w:w="7" w:type="dxa"/>
        <w:tblCellMar>
          <w:top w:w="0" w:type="dxa"/>
          <w:left w:w="0" w:type="dxa"/>
          <w:bottom w:w="0" w:type="dxa"/>
          <w:right w:w="0" w:type="dxa"/>
        </w:tblCellMar>
      </w:tblPr>
      <w:tr>
        <w:trPr>
          <w:trHeight w:val="251"/>
        </w:trPr>
        <w:tc>
          <w:tcPr>
            <w:tcW w:w="4300" w:type="dxa"/>
            <w:vAlign w:val="bottom"/>
          </w:tcPr>
          <w:p>
            <w:pPr>
              <w:spacing w:after="0"/>
              <w:rPr>
                <w:sz w:val="21"/>
                <w:szCs w:val="21"/>
                <w:color w:val="auto"/>
              </w:rPr>
            </w:pPr>
          </w:p>
        </w:tc>
        <w:tc>
          <w:tcPr>
            <w:tcW w:w="3220" w:type="dxa"/>
            <w:vAlign w:val="bottom"/>
          </w:tcPr>
          <w:p>
            <w:pPr>
              <w:jc w:val="right"/>
              <w:ind w:right="201"/>
              <w:spacing w:after="0"/>
              <w:rPr>
                <w:sz w:val="20"/>
                <w:szCs w:val="20"/>
                <w:color w:val="auto"/>
              </w:rPr>
            </w:pPr>
            <w:r>
              <w:rPr>
                <w:rFonts w:ascii="Arial" w:cs="Arial" w:eastAsia="Arial" w:hAnsi="Arial"/>
                <w:sz w:val="20"/>
                <w:szCs w:val="20"/>
                <w:color w:val="auto"/>
              </w:rPr>
              <w:t>Per Share</w:t>
            </w:r>
          </w:p>
        </w:tc>
        <w:tc>
          <w:tcPr>
            <w:tcW w:w="2040" w:type="dxa"/>
            <w:vAlign w:val="bottom"/>
          </w:tcPr>
          <w:p>
            <w:pPr>
              <w:jc w:val="right"/>
              <w:ind w:right="601"/>
              <w:spacing w:after="0"/>
              <w:rPr>
                <w:sz w:val="20"/>
                <w:szCs w:val="20"/>
                <w:color w:val="auto"/>
              </w:rPr>
            </w:pPr>
            <w:r>
              <w:rPr>
                <w:rFonts w:ascii="Arial" w:cs="Arial" w:eastAsia="Arial" w:hAnsi="Arial"/>
                <w:sz w:val="20"/>
                <w:szCs w:val="20"/>
                <w:color w:val="auto"/>
              </w:rPr>
              <w:t>Total</w:t>
            </w:r>
          </w:p>
        </w:tc>
      </w:tr>
      <w:tr>
        <w:trPr>
          <w:trHeight w:val="266"/>
        </w:trPr>
        <w:tc>
          <w:tcPr>
            <w:tcW w:w="4300" w:type="dxa"/>
            <w:vAlign w:val="bottom"/>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3220" w:type="dxa"/>
            <w:vAlign w:val="bottom"/>
            <w:shd w:val="clear" w:color="auto" w:fill="CCEEFF"/>
          </w:tcPr>
          <w:p>
            <w:pPr>
              <w:jc w:val="right"/>
              <w:ind w:right="1301"/>
              <w:spacing w:after="0"/>
              <w:rPr>
                <w:sz w:val="20"/>
                <w:szCs w:val="20"/>
                <w:color w:val="auto"/>
              </w:rPr>
            </w:pPr>
            <w:r>
              <w:rPr>
                <w:rFonts w:ascii="Arial" w:cs="Arial" w:eastAsia="Arial" w:hAnsi="Arial"/>
                <w:sz w:val="20"/>
                <w:szCs w:val="20"/>
                <w:color w:val="auto"/>
              </w:rPr>
              <w:t>$</w:t>
            </w:r>
          </w:p>
        </w:tc>
        <w:tc>
          <w:tcPr>
            <w:tcW w:w="2040" w:type="dxa"/>
            <w:vAlign w:val="bottom"/>
            <w:shd w:val="clear" w:color="auto" w:fill="CCEEFF"/>
          </w:tcPr>
          <w:p>
            <w:pPr>
              <w:jc w:val="right"/>
              <w:ind w:right="1521"/>
              <w:spacing w:after="0"/>
              <w:rPr>
                <w:sz w:val="20"/>
                <w:szCs w:val="20"/>
                <w:color w:val="auto"/>
              </w:rPr>
            </w:pPr>
            <w:r>
              <w:rPr>
                <w:rFonts w:ascii="Arial" w:cs="Arial" w:eastAsia="Arial" w:hAnsi="Arial"/>
                <w:sz w:val="20"/>
                <w:szCs w:val="20"/>
                <w:color w:val="auto"/>
              </w:rPr>
              <w:t>$</w:t>
            </w:r>
          </w:p>
        </w:tc>
      </w:tr>
      <w:tr>
        <w:trPr>
          <w:trHeight w:val="251"/>
        </w:trPr>
        <w:tc>
          <w:tcPr>
            <w:tcW w:w="4300" w:type="dxa"/>
            <w:vAlign w:val="bottom"/>
          </w:tcPr>
          <w:p>
            <w:pPr>
              <w:spacing w:after="0"/>
              <w:rPr>
                <w:sz w:val="20"/>
                <w:szCs w:val="20"/>
                <w:color w:val="auto"/>
              </w:rPr>
            </w:pPr>
            <w:r>
              <w:rPr>
                <w:rFonts w:ascii="Arial" w:cs="Arial" w:eastAsia="Arial" w:hAnsi="Arial"/>
                <w:sz w:val="20"/>
                <w:szCs w:val="20"/>
                <w:color w:val="auto"/>
              </w:rPr>
              <w:t>Underwriting discount(1)</w:t>
            </w:r>
          </w:p>
        </w:tc>
        <w:tc>
          <w:tcPr>
            <w:tcW w:w="3220" w:type="dxa"/>
            <w:vAlign w:val="bottom"/>
          </w:tcPr>
          <w:p>
            <w:pPr>
              <w:jc w:val="right"/>
              <w:ind w:right="1301"/>
              <w:spacing w:after="0"/>
              <w:rPr>
                <w:sz w:val="20"/>
                <w:szCs w:val="20"/>
                <w:color w:val="auto"/>
              </w:rPr>
            </w:pPr>
            <w:r>
              <w:rPr>
                <w:rFonts w:ascii="Arial" w:cs="Arial" w:eastAsia="Arial" w:hAnsi="Arial"/>
                <w:sz w:val="20"/>
                <w:szCs w:val="20"/>
                <w:color w:val="auto"/>
              </w:rPr>
              <w:t>$</w:t>
            </w:r>
          </w:p>
        </w:tc>
        <w:tc>
          <w:tcPr>
            <w:tcW w:w="2040" w:type="dxa"/>
            <w:vAlign w:val="bottom"/>
          </w:tcPr>
          <w:p>
            <w:pPr>
              <w:jc w:val="right"/>
              <w:ind w:right="1521"/>
              <w:spacing w:after="0"/>
              <w:rPr>
                <w:sz w:val="20"/>
                <w:szCs w:val="20"/>
                <w:color w:val="auto"/>
              </w:rPr>
            </w:pPr>
            <w:r>
              <w:rPr>
                <w:rFonts w:ascii="Arial" w:cs="Arial" w:eastAsia="Arial" w:hAnsi="Arial"/>
                <w:sz w:val="20"/>
                <w:szCs w:val="20"/>
                <w:color w:val="auto"/>
              </w:rPr>
              <w:t>$</w:t>
            </w:r>
          </w:p>
        </w:tc>
      </w:tr>
      <w:tr>
        <w:trPr>
          <w:trHeight w:val="263"/>
        </w:trPr>
        <w:tc>
          <w:tcPr>
            <w:tcW w:w="4300" w:type="dxa"/>
            <w:vAlign w:val="bottom"/>
            <w:shd w:val="clear" w:color="auto" w:fill="CCEEFF"/>
          </w:tcPr>
          <w:p>
            <w:pPr>
              <w:spacing w:after="0"/>
              <w:rPr>
                <w:sz w:val="20"/>
                <w:szCs w:val="20"/>
                <w:color w:val="auto"/>
              </w:rPr>
            </w:pPr>
            <w:r>
              <w:rPr>
                <w:rFonts w:ascii="Arial" w:cs="Arial" w:eastAsia="Arial" w:hAnsi="Arial"/>
                <w:sz w:val="20"/>
                <w:szCs w:val="20"/>
                <w:color w:val="auto"/>
              </w:rPr>
              <w:t>Proceeds, before expenses, to us</w:t>
            </w:r>
          </w:p>
        </w:tc>
        <w:tc>
          <w:tcPr>
            <w:tcW w:w="3220" w:type="dxa"/>
            <w:vAlign w:val="bottom"/>
            <w:shd w:val="clear" w:color="auto" w:fill="CCEEFF"/>
          </w:tcPr>
          <w:p>
            <w:pPr>
              <w:jc w:val="right"/>
              <w:ind w:right="1301"/>
              <w:spacing w:after="0"/>
              <w:rPr>
                <w:sz w:val="20"/>
                <w:szCs w:val="20"/>
                <w:color w:val="auto"/>
              </w:rPr>
            </w:pPr>
            <w:r>
              <w:rPr>
                <w:rFonts w:ascii="Arial" w:cs="Arial" w:eastAsia="Arial" w:hAnsi="Arial"/>
                <w:sz w:val="20"/>
                <w:szCs w:val="20"/>
                <w:color w:val="auto"/>
              </w:rPr>
              <w:t>$</w:t>
            </w:r>
          </w:p>
        </w:tc>
        <w:tc>
          <w:tcPr>
            <w:tcW w:w="2040" w:type="dxa"/>
            <w:vAlign w:val="bottom"/>
            <w:shd w:val="clear" w:color="auto" w:fill="CCEEFF"/>
          </w:tcPr>
          <w:p>
            <w:pPr>
              <w:jc w:val="right"/>
              <w:ind w:right="1521"/>
              <w:spacing w:after="0"/>
              <w:rPr>
                <w:sz w:val="20"/>
                <w:szCs w:val="20"/>
                <w:color w:val="auto"/>
              </w:rPr>
            </w:pPr>
            <w:r>
              <w:rPr>
                <w:rFonts w:ascii="Arial" w:cs="Arial" w:eastAsia="Arial" w:hAnsi="Arial"/>
                <w:sz w:val="20"/>
                <w:szCs w:val="20"/>
                <w:color w:val="auto"/>
              </w:rPr>
              <w:t>$</w:t>
            </w:r>
          </w:p>
        </w:tc>
      </w:tr>
    </w:tbl>
    <w:p>
      <w:pPr>
        <w:spacing w:after="0" w:line="103"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See “Underwriting.”</w:t>
      </w:r>
    </w:p>
    <w:p>
      <w:pPr>
        <w:spacing w:after="0" w:line="111" w:lineRule="exact"/>
        <w:rPr>
          <w:sz w:val="24"/>
          <w:szCs w:val="24"/>
          <w:color w:val="auto"/>
        </w:rPr>
      </w:pPr>
    </w:p>
    <w:p>
      <w:pPr>
        <w:jc w:val="both"/>
        <w:ind w:left="7" w:right="20"/>
        <w:spacing w:after="0" w:line="314"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$4,500,000 of shares of Class A common stock from us to cover over-allotments. If the underwriters’ option is exercised to purchase shares, we will repurchase an equal number of shares from certain stockholders, at a price per share equal to the net proceeds, before expenses, we receive from the option exercise, as described in “Use of Proceeds.”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607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01" w:lineRule="exact"/>
        <w:rPr>
          <w:sz w:val="24"/>
          <w:szCs w:val="24"/>
          <w:color w:val="auto"/>
        </w:rPr>
      </w:pPr>
    </w:p>
    <w:p>
      <w:pPr>
        <w:jc w:val="both"/>
        <w:ind w:left="7"/>
        <w:spacing w:after="0" w:line="299" w:lineRule="auto"/>
        <w:rPr>
          <w:sz w:val="20"/>
          <w:szCs w:val="20"/>
          <w:color w:val="auto"/>
        </w:rPr>
      </w:pPr>
      <w:r>
        <w:rPr>
          <w:rFonts w:ascii="Arial" w:cs="Arial" w:eastAsia="Arial" w:hAnsi="Arial"/>
          <w:sz w:val="19"/>
          <w:szCs w:val="19"/>
          <w:b w:val="1"/>
          <w:bCs w:val="1"/>
          <w:i w:val="1"/>
          <w:iCs w:val="1"/>
          <w:color w:val="auto"/>
        </w:rPr>
        <w:t>Neither the Securities and Exchange Commission nor any state securities commission has approved or disapproved of these securities or passed upon the adequacy or accuracy of this prospectus supplement or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6071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98" w:lineRule="exact"/>
        <w:rPr>
          <w:sz w:val="24"/>
          <w:szCs w:val="24"/>
          <w:color w:val="auto"/>
        </w:rPr>
      </w:pPr>
    </w:p>
    <w:p>
      <w:pPr>
        <w:jc w:val="center"/>
        <w:ind w:right="-6"/>
        <w:spacing w:after="0"/>
        <w:rPr>
          <w:sz w:val="20"/>
          <w:szCs w:val="20"/>
          <w:color w:val="auto"/>
        </w:rPr>
      </w:pPr>
      <w:r>
        <w:rPr>
          <w:rFonts w:ascii="Arial" w:cs="Arial" w:eastAsia="Arial" w:hAnsi="Arial"/>
          <w:sz w:val="20"/>
          <w:szCs w:val="20"/>
          <w:i w:val="1"/>
          <w:iCs w:val="1"/>
          <w:color w:val="auto"/>
        </w:rPr>
        <w:t>Joint Bookrunning Managers</w:t>
      </w:r>
    </w:p>
    <w:p>
      <w:pPr>
        <w:spacing w:after="0" w:line="36" w:lineRule="exact"/>
        <w:rPr>
          <w:sz w:val="24"/>
          <w:szCs w:val="24"/>
          <w:color w:val="auto"/>
        </w:rPr>
      </w:pPr>
    </w:p>
    <w:p>
      <w:pPr>
        <w:ind w:left="1847"/>
        <w:spacing w:after="0"/>
        <w:tabs>
          <w:tab w:leader="none" w:pos="5306" w:val="left"/>
        </w:tabs>
        <w:rPr>
          <w:sz w:val="20"/>
          <w:szCs w:val="20"/>
          <w:color w:val="auto"/>
        </w:rPr>
      </w:pPr>
      <w:r>
        <w:rPr>
          <w:rFonts w:ascii="Arial" w:cs="Arial" w:eastAsia="Arial" w:hAnsi="Arial"/>
          <w:sz w:val="36"/>
          <w:szCs w:val="36"/>
          <w:b w:val="1"/>
          <w:bCs w:val="1"/>
          <w:color w:val="auto"/>
        </w:rPr>
        <w:t>Stifel</w:t>
      </w:r>
      <w:r>
        <w:rPr>
          <w:sz w:val="20"/>
          <w:szCs w:val="20"/>
          <w:color w:val="auto"/>
        </w:rPr>
        <w:tab/>
      </w:r>
      <w:r>
        <w:rPr>
          <w:rFonts w:ascii="Arial" w:cs="Arial" w:eastAsia="Arial" w:hAnsi="Arial"/>
          <w:sz w:val="36"/>
          <w:szCs w:val="36"/>
          <w:b w:val="1"/>
          <w:bCs w:val="1"/>
          <w:color w:val="auto"/>
        </w:rPr>
        <w:t>Needham &amp; Company</w:t>
      </w:r>
    </w:p>
    <w:p>
      <w:pPr>
        <w:sectPr>
          <w:pgSz w:w="11900" w:h="16838" w:orient="portrait"/>
          <w:cols w:equalWidth="0" w:num="1">
            <w:col w:w="9567"/>
          </w:cols>
          <w:pgMar w:left="1173" w:top="238" w:right="1159" w:bottom="1440" w:gutter="0" w:footer="0" w:header="0"/>
        </w:sectPr>
      </w:pPr>
    </w:p>
    <w:p>
      <w:pPr>
        <w:spacing w:after="0" w:line="198" w:lineRule="exact"/>
        <w:rPr>
          <w:sz w:val="24"/>
          <w:szCs w:val="24"/>
          <w:color w:val="auto"/>
        </w:rPr>
      </w:pPr>
    </w:p>
    <w:p>
      <w:pPr>
        <w:ind w:left="7"/>
        <w:spacing w:after="0"/>
        <w:tabs>
          <w:tab w:leader="none" w:pos="3906" w:val="left"/>
        </w:tabs>
        <w:rPr>
          <w:sz w:val="20"/>
          <w:szCs w:val="20"/>
          <w:color w:val="auto"/>
        </w:rPr>
      </w:pPr>
      <w:r>
        <w:rPr>
          <w:rFonts w:ascii="Arial" w:cs="Arial" w:eastAsia="Arial" w:hAnsi="Arial"/>
          <w:sz w:val="20"/>
          <w:szCs w:val="20"/>
          <w:color w:val="auto"/>
        </w:rPr>
        <w:t>The date of this prospectus supplement is</w:t>
      </w:r>
      <w:r>
        <w:rPr>
          <w:sz w:val="20"/>
          <w:szCs w:val="20"/>
          <w:color w:val="auto"/>
        </w:rPr>
        <w:tab/>
      </w:r>
      <w:r>
        <w:rPr>
          <w:rFonts w:ascii="Arial" w:cs="Arial" w:eastAsia="Arial" w:hAnsi="Arial"/>
          <w:sz w:val="17"/>
          <w:szCs w:val="17"/>
          <w:color w:val="auto"/>
        </w:rPr>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60" w:type="dxa"/>
            <w:vAlign w:val="bottom"/>
            <w:gridSpan w:val="7"/>
          </w:tcPr>
          <w:p>
            <w:pPr>
              <w:jc w:val="right"/>
              <w:ind w:right="38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6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51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Prospectus Supplement Summary</w:t>
              </w:r>
            </w:hyperlink>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Risk Factors</w:t>
              </w:r>
            </w:hyperlink>
          </w:p>
        </w:tc>
        <w:tc>
          <w:tcPr>
            <w:tcW w:w="2800" w:type="dxa"/>
            <w:vAlign w:val="bottom"/>
            <w:gridSpan w:val="17"/>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S-4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Forward-Looking Statements and Statistical Data</w:t>
              </w:r>
            </w:hyperlink>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S-5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Market for Class A Common Stock</w:t>
              </w:r>
            </w:hyperlink>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S-7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Dividend Policy</w:t>
              </w:r>
            </w:hyperlink>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S-7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6"/>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2540" w:type="dxa"/>
            <w:vAlign w:val="bottom"/>
            <w:gridSpan w:val="14"/>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S-8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Material U.S. Federal Income Tax Considerations</w:t>
              </w:r>
            </w:hyperlink>
          </w:p>
        </w:tc>
        <w:tc>
          <w:tcPr>
            <w:tcW w:w="120" w:type="dxa"/>
            <w:vAlign w:val="bottom"/>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S-9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gridSpan w:val="19"/>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Underwriting</w:t>
              </w:r>
            </w:hyperlink>
          </w:p>
        </w:tc>
        <w:tc>
          <w:tcPr>
            <w:tcW w:w="1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5"/>
            <w:shd w:val="clear" w:color="auto" w:fill="CCEEFF"/>
          </w:tcPr>
          <w:p>
            <w:pPr>
              <w:spacing w:after="0" w:line="189"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Legal Matters</w:t>
              </w:r>
            </w:hyperlink>
          </w:p>
        </w:tc>
        <w:tc>
          <w:tcPr>
            <w:tcW w:w="2700" w:type="dxa"/>
            <w:vAlign w:val="bottom"/>
            <w:gridSpan w:val="15"/>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5"/>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2700" w:type="dxa"/>
            <w:vAlign w:val="bottom"/>
            <w:gridSpan w:val="15"/>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S-21</w:t>
              </w:r>
            </w:hyperlink>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5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7"/>
            <w:shd w:val="clear" w:color="auto" w:fill="CCEEFF"/>
          </w:tcPr>
          <w:p>
            <w:pPr>
              <w:spacing w:after="0" w:line="189"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Where You Can Find More Information</w:t>
              </w:r>
            </w:hyperlink>
          </w:p>
        </w:tc>
        <w:tc>
          <w:tcPr>
            <w:tcW w:w="840" w:type="dxa"/>
            <w:vAlign w:val="bottom"/>
            <w:gridSpan w:val="3"/>
            <w:shd w:val="clear" w:color="auto" w:fill="CCEEFF"/>
          </w:tcPr>
          <w:p>
            <w:pPr>
              <w:spacing w:after="0"/>
              <w:rPr>
                <w:sz w:val="16"/>
                <w:szCs w:val="16"/>
                <w:color w:val="auto"/>
              </w:rPr>
            </w:pPr>
          </w:p>
        </w:tc>
        <w:tc>
          <w:tcPr>
            <w:tcW w:w="57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7"/>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About Our Company</w:t>
              </w:r>
            </w:hyperlink>
          </w:p>
        </w:tc>
        <w:tc>
          <w:tcPr>
            <w:tcW w:w="840" w:type="dxa"/>
            <w:vAlign w:val="bottom"/>
            <w:gridSpan w:val="3"/>
          </w:tcPr>
          <w:p>
            <w:pPr>
              <w:spacing w:after="0"/>
              <w:rPr>
                <w:sz w:val="16"/>
                <w:szCs w:val="16"/>
                <w:color w:val="auto"/>
              </w:rPr>
            </w:pPr>
          </w:p>
        </w:tc>
        <w:tc>
          <w:tcPr>
            <w:tcW w:w="5760" w:type="dxa"/>
            <w:vAlign w:val="bottom"/>
            <w:gridSpan w:val="6"/>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Risk Factors</w:t>
              </w:r>
            </w:hyperlink>
          </w:p>
        </w:tc>
        <w:tc>
          <w:tcPr>
            <w:tcW w:w="2800" w:type="dxa"/>
            <w:vAlign w:val="bottom"/>
            <w:gridSpan w:val="17"/>
            <w:shd w:val="clear" w:color="auto" w:fill="CCEEFF"/>
          </w:tcPr>
          <w:p>
            <w:pPr>
              <w:spacing w:after="0"/>
              <w:rPr>
                <w:sz w:val="16"/>
                <w:szCs w:val="16"/>
                <w:color w:val="auto"/>
              </w:rPr>
            </w:pPr>
          </w:p>
        </w:tc>
        <w:tc>
          <w:tcPr>
            <w:tcW w:w="57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57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Debt Securities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1700" w:type="dxa"/>
            <w:vAlign w:val="bottom"/>
            <w:tcBorders>
              <w:bottom w:val="single" w:sz="8" w:color="0000EE"/>
            </w:tcBorders>
            <w:gridSpan w:val="12"/>
            <w:shd w:val="clear" w:color="auto" w:fill="CCEEFF"/>
          </w:tcPr>
          <w:p>
            <w:pPr>
              <w:spacing w:after="0" w:line="189"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Warrants</w:t>
              </w:r>
            </w:hyperlink>
          </w:p>
        </w:tc>
        <w:tc>
          <w:tcPr>
            <w:tcW w:w="1980" w:type="dxa"/>
            <w:vAlign w:val="bottom"/>
            <w:tcBorders>
              <w:bottom w:val="single" w:sz="8" w:color="CCEEFF"/>
            </w:tcBorders>
            <w:gridSpan w:val="8"/>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18</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Units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1220" w:type="dxa"/>
            <w:vAlign w:val="bottom"/>
            <w:tcBorders>
              <w:bottom w:val="single" w:sz="8" w:color="0000EE"/>
            </w:tcBorders>
            <w:gridSpan w:val="7"/>
            <w:shd w:val="clear" w:color="auto" w:fill="CCEEFF"/>
          </w:tcPr>
          <w:p>
            <w:pPr>
              <w:spacing w:after="0" w:line="189"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Global Securities</w:t>
              </w:r>
            </w:hyperlink>
          </w:p>
        </w:tc>
        <w:tc>
          <w:tcPr>
            <w:tcW w:w="2460" w:type="dxa"/>
            <w:vAlign w:val="bottom"/>
            <w:tcBorders>
              <w:bottom w:val="single" w:sz="8" w:color="CCEEFF"/>
            </w:tcBorders>
            <w:gridSpan w:val="13"/>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20</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24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980" w:type="dxa"/>
            <w:vAlign w:val="bottom"/>
            <w:tcBorders>
              <w:bottom w:val="single" w:sz="8" w:color="0000EE"/>
            </w:tcBorders>
            <w:gridSpan w:val="5"/>
            <w:shd w:val="clear" w:color="auto" w:fill="CCEEFF"/>
          </w:tcPr>
          <w:p>
            <w:pPr>
              <w:spacing w:after="0" w:line="189"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Legal Matters</w:t>
              </w:r>
            </w:hyperlink>
          </w:p>
        </w:tc>
        <w:tc>
          <w:tcPr>
            <w:tcW w:w="2700" w:type="dxa"/>
            <w:vAlign w:val="bottom"/>
            <w:tcBorders>
              <w:bottom w:val="single" w:sz="8" w:color="CCEEFF"/>
            </w:tcBorders>
            <w:gridSpan w:val="15"/>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25</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25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154305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this offering of Class A common stock and related matters. The second part is the accompanying prospectus, which gives more general information, some of which does not apply to this offering. To the extent the information set forth in this prospectus supplement differs or varies from the information set forth in the accompanying prospectus or any document incorporated by reference, the information in this prospectus supplement shall control.</w:t>
      </w:r>
    </w:p>
    <w:p>
      <w:pPr>
        <w:spacing w:after="0" w:line="80"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authorized anyone to provide you with information different from that contained in this prospectus supplement and the accompanying prospectus. We are offering to sell shares of Class A common stock and seeking offers to buy shares of Class A common stock only in jurisdictions where offers and sales are permitted. The information contained in this prospectus supplement and the accompanying prospectus is accurate only as of the date it is presented.</w:t>
      </w:r>
    </w:p>
    <w:p>
      <w:pPr>
        <w:spacing w:after="0" w:line="5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Unless the context otherwise requires, references to “we,” “our” and similar terms refer to ACM Research, Inc. and its subsidiaries. References to “ACM Research” refer to ACM Research, Inc., and references to “ACM Shanghai” are to ACM Research (Shanghai), Inc.</w:t>
      </w:r>
    </w:p>
    <w:p>
      <w:pPr>
        <w:spacing w:after="0" w:line="73"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Our logo design, SAPS and TEBO are our trademarks. This prospectus supplement and the accompanying prospectus include trademarks, tradenames and service marks that are the property of other organizations. For convenience, our logo design, SAPS and TEBO appear in this prospectus supplement and the accompanying prospectus without the ™ symbol, but those uses are not intended to indicate that we will not assert, to the fullest extent under applicable law, our rights to these trademarks.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65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2825" cy="6650355"/>
                    </a:xfrm>
                    <a:prstGeom prst="rect">
                      <a:avLst/>
                    </a:prstGeom>
                    <a:noFill/>
                  </pic:spPr>
                </pic:pic>
              </a:graphicData>
            </a:graphic>
          </wp:anchor>
        </w:drawing>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jc w:val="both"/>
        <w:ind w:left="100" w:right="20" w:firstLine="360"/>
        <w:spacing w:after="0" w:line="276" w:lineRule="auto"/>
        <w:rPr>
          <w:sz w:val="20"/>
          <w:szCs w:val="20"/>
          <w:color w:val="auto"/>
        </w:rPr>
      </w:pPr>
      <w:r>
        <w:rPr>
          <w:rFonts w:ascii="Arial" w:cs="Arial" w:eastAsia="Arial" w:hAnsi="Arial"/>
          <w:sz w:val="17"/>
          <w:szCs w:val="17"/>
          <w:i w:val="1"/>
          <w:iCs w:val="1"/>
          <w:color w:val="auto"/>
        </w:rPr>
        <w:t>The following summary highlights selected information contained or incorporated by reference in this prospectus supplement and the accompanying prospectus. Because the following is only a summary, it does not contain all of the information you should consider before investing in Class A common stock. Before making an investment decision, you should carefully read all of the information, including the risks factors and the financial statements and related notes, contained and incorporated by reference in this prospectus supplement and the accompanying prospectus.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100" w:firstLine="360"/>
        <w:spacing w:after="0" w:line="276" w:lineRule="auto"/>
        <w:rPr>
          <w:sz w:val="20"/>
          <w:szCs w:val="20"/>
          <w:color w:val="auto"/>
        </w:rPr>
      </w:pPr>
      <w:r>
        <w:rPr>
          <w:rFonts w:ascii="Arial" w:cs="Arial" w:eastAsia="Arial" w:hAnsi="Arial"/>
          <w:sz w:val="17"/>
          <w:szCs w:val="17"/>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64" w:lineRule="exact"/>
        <w:rPr>
          <w:sz w:val="20"/>
          <w:szCs w:val="20"/>
          <w:color w:val="auto"/>
        </w:rPr>
      </w:pPr>
    </w:p>
    <w:p>
      <w:pPr>
        <w:jc w:val="both"/>
        <w:ind w:left="100" w:firstLine="360"/>
        <w:spacing w:after="0" w:line="255" w:lineRule="auto"/>
        <w:rPr>
          <w:sz w:val="20"/>
          <w:szCs w:val="20"/>
          <w:color w:val="auto"/>
        </w:rPr>
      </w:pPr>
      <w:r>
        <w:rPr>
          <w:rFonts w:ascii="Arial" w:cs="Arial" w:eastAsia="Arial" w:hAnsi="Arial"/>
          <w:sz w:val="18"/>
          <w:szCs w:val="18"/>
          <w:color w:val="auto"/>
        </w:rPr>
        <w:t>Selling prices for our single-wafer wet-cleaning tools range from $2 million to more than $5 million. Our customers for single-wafer wet-cleaning tools have included Semiconductor Manufacturing International Corporation, Shanghai Huali Microelectronics Corporation, SK Hynix Inc. and Yangtze Memory Technologies Co., Ltd. Revenue from single-wafer wet-cleaning tools was $41.7 million, or 84% of total revenue, for the first six months of 2019 compared to $28.7 million, or 94% of total revenue, for the first six months of 2018 and totaled $68.5 million, or 92% of total revenue, in 2018 compared to $27.1 million, or 74% of total revenue, in 2017.</w:t>
      </w:r>
    </w:p>
    <w:p>
      <w:pPr>
        <w:spacing w:after="0" w:line="85" w:lineRule="exact"/>
        <w:rPr>
          <w:sz w:val="20"/>
          <w:szCs w:val="20"/>
          <w:color w:val="auto"/>
        </w:rPr>
      </w:pPr>
    </w:p>
    <w:p>
      <w:pPr>
        <w:jc w:val="both"/>
        <w:ind w:left="100" w:firstLine="360"/>
        <w:spacing w:after="0" w:line="293"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65 single-wafer wet cleaning tools, more than 55 of which have been accepted by customers and thereby generated revenue to us and the balance of which are awaiting customer acceptance should contractual conditions be met.</w:t>
      </w:r>
    </w:p>
    <w:p>
      <w:pPr>
        <w:spacing w:after="0" w:line="57" w:lineRule="exact"/>
        <w:rPr>
          <w:sz w:val="20"/>
          <w:szCs w:val="20"/>
          <w:color w:val="auto"/>
        </w:rPr>
      </w:pPr>
    </w:p>
    <w:p>
      <w:pPr>
        <w:jc w:val="both"/>
        <w:ind w:left="100" w:right="20" w:firstLine="360"/>
        <w:spacing w:after="0" w:line="308" w:lineRule="auto"/>
        <w:rPr>
          <w:sz w:val="20"/>
          <w:szCs w:val="20"/>
          <w:color w:val="auto"/>
        </w:rPr>
      </w:pPr>
      <w:r>
        <w:rPr>
          <w:rFonts w:ascii="Arial" w:cs="Arial" w:eastAsia="Arial" w:hAnsi="Arial"/>
          <w:sz w:val="17"/>
          <w:szCs w:val="17"/>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38" w:lineRule="exact"/>
        <w:rPr>
          <w:sz w:val="20"/>
          <w:szCs w:val="20"/>
          <w:color w:val="auto"/>
        </w:rPr>
      </w:pPr>
    </w:p>
    <w:p>
      <w:pPr>
        <w:ind w:left="800" w:right="20" w:hanging="342"/>
        <w:spacing w:after="0" w:line="34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Space Alternated Phase Shift</w:t>
      </w:r>
      <w:r>
        <w:rPr>
          <w:rFonts w:ascii="Arial" w:cs="Arial" w:eastAsia="Arial" w:hAnsi="Arial"/>
          <w:sz w:val="16"/>
          <w:szCs w:val="16"/>
          <w:color w:val="auto"/>
        </w:rPr>
        <w:t>, or SAPS, technology for flat and patterned wafer surfaces, which employs alternating</w:t>
      </w:r>
      <w:r>
        <w:rPr>
          <w:rFonts w:ascii="Arial" w:cs="Arial" w:eastAsia="Arial" w:hAnsi="Arial"/>
          <w:sz w:val="16"/>
          <w:szCs w:val="16"/>
          <w:i w:val="1"/>
          <w:iCs w:val="1"/>
          <w:color w:val="auto"/>
        </w:rPr>
        <w:t xml:space="preserve"> </w:t>
      </w:r>
      <w:r>
        <w:rPr>
          <w:rFonts w:ascii="Arial" w:cs="Arial" w:eastAsia="Arial" w:hAnsi="Arial"/>
          <w:sz w:val="16"/>
          <w:szCs w:val="16"/>
          <w:color w:val="auto"/>
        </w:rPr>
        <w:t>phases of megasonic waves to deliver megasonic energy in a highly uniform manner on a microscopic level;</w:t>
      </w:r>
    </w:p>
    <w:p>
      <w:pPr>
        <w:spacing w:after="0" w:line="15" w:lineRule="exact"/>
        <w:rPr>
          <w:rFonts w:ascii="Arial" w:cs="Arial" w:eastAsia="Arial" w:hAnsi="Arial"/>
          <w:sz w:val="16"/>
          <w:szCs w:val="16"/>
          <w:color w:val="auto"/>
        </w:rPr>
      </w:pPr>
    </w:p>
    <w:p>
      <w:pPr>
        <w:ind w:left="800" w:right="20" w:hanging="342"/>
        <w:spacing w:after="0" w:line="308"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Timely Energized Bubble Oscillation</w:t>
      </w:r>
      <w:r>
        <w:rPr>
          <w:rFonts w:ascii="Arial" w:cs="Arial" w:eastAsia="Arial" w:hAnsi="Arial"/>
          <w:sz w:val="17"/>
          <w:szCs w:val="17"/>
          <w:color w:val="auto"/>
        </w:rPr>
        <w:t>, or TEBO, technology for patterned wafer surfaces at advanced process nodes,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effective, damage-free cleaning for 2D and 3D patterned wafers with fine feature sizes; and</w:t>
      </w:r>
    </w:p>
    <w:p>
      <w:pPr>
        <w:spacing w:after="0" w:line="38" w:lineRule="exact"/>
        <w:rPr>
          <w:rFonts w:ascii="Arial" w:cs="Arial" w:eastAsia="Arial" w:hAnsi="Arial"/>
          <w:sz w:val="17"/>
          <w:szCs w:val="17"/>
          <w:color w:val="auto"/>
        </w:rPr>
      </w:pPr>
    </w:p>
    <w:p>
      <w:pPr>
        <w:jc w:val="both"/>
        <w:ind w:left="800" w:right="20" w:hanging="342"/>
        <w:spacing w:after="0" w:line="264"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Tahoe </w:t>
      </w:r>
      <w:r>
        <w:rPr>
          <w:rFonts w:ascii="Arial" w:cs="Arial" w:eastAsia="Arial" w:hAnsi="Arial"/>
          <w:sz w:val="18"/>
          <w:szCs w:val="18"/>
          <w:color w:val="auto"/>
        </w:rPr>
        <w:t>technology for cost and environmental savings, which delivers high cleaning performance using significantly less</w:t>
      </w:r>
      <w:r>
        <w:rPr>
          <w:rFonts w:ascii="Arial" w:cs="Arial" w:eastAsia="Arial" w:hAnsi="Arial"/>
          <w:sz w:val="18"/>
          <w:szCs w:val="18"/>
          <w:i w:val="1"/>
          <w:iCs w:val="1"/>
          <w:color w:val="auto"/>
        </w:rPr>
        <w:t xml:space="preserve"> </w:t>
      </w:r>
      <w:r>
        <w:rPr>
          <w:rFonts w:ascii="Arial" w:cs="Arial" w:eastAsia="Arial" w:hAnsi="Arial"/>
          <w:sz w:val="18"/>
          <w:szCs w:val="18"/>
          <w:color w:val="auto"/>
        </w:rPr>
        <w:t>sulfuric acid and hydrogen peroxide than is typically consumed by conventional high-temperature single-wafer cleaning tools.</w:t>
      </w:r>
    </w:p>
    <w:p>
      <w:pPr>
        <w:spacing w:after="0" w:line="73" w:lineRule="exact"/>
        <w:rPr>
          <w:sz w:val="20"/>
          <w:szCs w:val="20"/>
          <w:color w:val="auto"/>
        </w:rPr>
      </w:pPr>
    </w:p>
    <w:p>
      <w:pPr>
        <w:jc w:val="both"/>
        <w:ind w:left="100" w:right="20" w:firstLine="360"/>
        <w:spacing w:after="0" w:line="277" w:lineRule="auto"/>
        <w:rPr>
          <w:sz w:val="20"/>
          <w:szCs w:val="20"/>
          <w:color w:val="auto"/>
        </w:rPr>
      </w:pPr>
      <w:r>
        <w:rPr>
          <w:rFonts w:ascii="Arial" w:cs="Arial" w:eastAsia="Arial" w:hAnsi="Arial"/>
          <w:sz w:val="18"/>
          <w:szCs w:val="18"/>
          <w:color w:val="auto"/>
        </w:rPr>
        <w:t>We have been issued more than 220 patents in the United States, the People’s Republic of China or PRC, Japan, Korea, Singapore and Taiwan.</w:t>
      </w:r>
    </w:p>
    <w:p>
      <w:pPr>
        <w:spacing w:after="0" w:line="62" w:lineRule="exact"/>
        <w:rPr>
          <w:sz w:val="20"/>
          <w:szCs w:val="20"/>
          <w:color w:val="auto"/>
        </w:rPr>
      </w:pPr>
    </w:p>
    <w:p>
      <w:pPr>
        <w:jc w:val="both"/>
        <w:ind w:left="100" w:firstLine="360"/>
        <w:spacing w:after="0" w:line="257" w:lineRule="auto"/>
        <w:rPr>
          <w:sz w:val="20"/>
          <w:szCs w:val="20"/>
          <w:color w:val="auto"/>
        </w:rPr>
      </w:pPr>
      <w:r>
        <w:rPr>
          <w:rFonts w:ascii="Arial" w:cs="Arial" w:eastAsia="Arial" w:hAnsi="Arial"/>
          <w:sz w:val="18"/>
          <w:szCs w:val="18"/>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38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2825" cy="6238875"/>
                    </a:xfrm>
                    <a:prstGeom prst="rect">
                      <a:avLst/>
                    </a:prstGeom>
                    <a:noFill/>
                  </pic:spPr>
                </pic:pic>
              </a:graphicData>
            </a:graphic>
          </wp:anchor>
        </w:drawing>
      </w:r>
    </w:p>
    <w:p>
      <w:pPr>
        <w:spacing w:after="0" w:line="138" w:lineRule="exact"/>
        <w:rPr>
          <w:sz w:val="20"/>
          <w:szCs w:val="20"/>
          <w:color w:val="auto"/>
        </w:rPr>
      </w:pPr>
    </w:p>
    <w:p>
      <w:pPr>
        <w:jc w:val="both"/>
        <w:ind w:left="100" w:right="20"/>
        <w:spacing w:after="0" w:line="264" w:lineRule="auto"/>
        <w:rPr>
          <w:sz w:val="20"/>
          <w:szCs w:val="20"/>
          <w:color w:val="auto"/>
        </w:rPr>
      </w:pPr>
      <w:r>
        <w:rPr>
          <w:rFonts w:ascii="Arial" w:cs="Arial" w:eastAsia="Arial" w:hAnsi="Arial"/>
          <w:sz w:val="18"/>
          <w:szCs w:val="18"/>
          <w:color w:val="auto"/>
        </w:rPr>
        <w:t>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100" w:firstLine="360"/>
        <w:spacing w:after="0" w:line="286" w:lineRule="auto"/>
        <w:rPr>
          <w:sz w:val="20"/>
          <w:szCs w:val="20"/>
          <w:color w:val="auto"/>
        </w:rPr>
      </w:pPr>
      <w:r>
        <w:rPr>
          <w:rFonts w:ascii="Arial" w:cs="Arial" w:eastAsia="Arial" w:hAnsi="Arial"/>
          <w:sz w:val="17"/>
          <w:szCs w:val="17"/>
          <w:i w:val="1"/>
          <w:iCs w:val="1"/>
          <w:color w:val="auto"/>
        </w:rPr>
        <w:t>For purposes of the following description, amounts in Renminbi, or RMB, have been translated into U.S. dollars solely for the convenience of the reader. The translations have been made at the conversion rate of RMB 6.8937 to U.S. $1.00 effective as of June 12, 2019 (source: State Administration of Foreign Exchange of the People’s Republic of China).</w:t>
      </w:r>
    </w:p>
    <w:p>
      <w:pPr>
        <w:spacing w:after="0" w:line="57" w:lineRule="exact"/>
        <w:rPr>
          <w:sz w:val="20"/>
          <w:szCs w:val="20"/>
          <w:color w:val="auto"/>
        </w:rPr>
      </w:pPr>
    </w:p>
    <w:p>
      <w:pPr>
        <w:jc w:val="both"/>
        <w:ind w:left="100" w:firstLine="360"/>
        <w:spacing w:after="0" w:line="259" w:lineRule="auto"/>
        <w:rPr>
          <w:sz w:val="20"/>
          <w:szCs w:val="20"/>
          <w:color w:val="auto"/>
        </w:rPr>
      </w:pPr>
      <w:r>
        <w:rPr>
          <w:rFonts w:ascii="Arial" w:cs="Arial" w:eastAsia="Arial" w:hAnsi="Arial"/>
          <w:sz w:val="18"/>
          <w:szCs w:val="18"/>
          <w:color w:val="auto"/>
        </w:rPr>
        <w:t>On June 17, 2019 we announced our plans to complete, over the next three years, a listing, which we refer to as the Listing, of shares of ACM Shanghai on the Shanghai Stock Exchange’s new Sci-Tech innovAtion boaRd, known as the STAR Market, and a concurrent initial public offering of ACM Shanghai shares in the PRC. ACM Shanghai currently is our principal operating company and a wholly owned subsidiary of ACM Research.</w:t>
      </w:r>
    </w:p>
    <w:p>
      <w:pPr>
        <w:spacing w:after="0" w:line="79" w:lineRule="exact"/>
        <w:rPr>
          <w:sz w:val="20"/>
          <w:szCs w:val="20"/>
          <w:color w:val="auto"/>
        </w:rPr>
      </w:pPr>
    </w:p>
    <w:p>
      <w:pPr>
        <w:jc w:val="both"/>
        <w:ind w:left="100" w:firstLine="360"/>
        <w:spacing w:after="0" w:line="255" w:lineRule="auto"/>
        <w:rPr>
          <w:sz w:val="20"/>
          <w:szCs w:val="20"/>
          <w:color w:val="auto"/>
        </w:rPr>
      </w:pPr>
      <w:r>
        <w:rPr>
          <w:rFonts w:ascii="Arial" w:cs="Arial" w:eastAsia="Arial" w:hAnsi="Arial"/>
          <w:sz w:val="18"/>
          <w:szCs w:val="18"/>
          <w:color w:val="auto"/>
        </w:rPr>
        <w:t>To qualify for the Listing, ACM Shanghai must have multiple independent shareholders in the PRC. As an initial step in qualifying for the Listing, on June 12, 2019 ACM Shanghai entered into agreements with seven investors pursuant to which those investors agreed to pay a purchase price totaling RMB 187.9 million ($27.3 million) to ACM Shanghai for shares representing 4.2% of the then-outstanding ACM Shanghai shares. In accordance with these agreements, in July 2019 ACM Shanghai made required filings for the capital increase with the local agency of the PRC Ministry of Commerce and the investors then became obligated to fund their purchases. As of August 13, 2019:</w:t>
      </w:r>
    </w:p>
    <w:p>
      <w:pPr>
        <w:spacing w:after="0" w:line="85" w:lineRule="exact"/>
        <w:rPr>
          <w:sz w:val="20"/>
          <w:szCs w:val="20"/>
          <w:color w:val="auto"/>
        </w:rPr>
      </w:pPr>
    </w:p>
    <w:p>
      <w:pPr>
        <w:jc w:val="both"/>
        <w:ind w:left="800" w:right="20" w:hanging="342"/>
        <w:spacing w:after="0" w:line="26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 private equity funds and other entities based in the PRC had paid to ACM Shanghai a total of RMB 141.8 million ($20.6 million) to be applied to purchase 3.1% of ACM Shanghai’s shares at a purchase price based on a pre-investment enterprise valuation of ACM Shanghai of RMB 4.65 billion ($674.5 million).</w:t>
      </w:r>
    </w:p>
    <w:p>
      <w:pPr>
        <w:spacing w:after="0" w:line="73" w:lineRule="exact"/>
        <w:rPr>
          <w:rFonts w:ascii="Arial" w:cs="Arial" w:eastAsia="Arial" w:hAnsi="Arial"/>
          <w:sz w:val="18"/>
          <w:szCs w:val="18"/>
          <w:color w:val="auto"/>
        </w:rPr>
      </w:pPr>
    </w:p>
    <w:p>
      <w:pPr>
        <w:jc w:val="both"/>
        <w:ind w:left="800" w:right="20" w:hanging="342"/>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entities owned by certain employees of ACM Shanghai had paid to ACM Shanghai a total of RMB 26.1 million ($3.8 million) to purchase 0.7% of ACM Shanghai’s shares at a purchase price based on a pre-investment enterprise valuation of ACM Shanghai of RMB 3.72 billion ($539.6 million), a discount of 20% from the purchase price paid by the other investors.</w:t>
      </w:r>
    </w:p>
    <w:p>
      <w:pPr>
        <w:spacing w:after="0" w:line="78" w:lineRule="exact"/>
        <w:rPr>
          <w:rFonts w:ascii="Arial" w:cs="Arial" w:eastAsia="Arial" w:hAnsi="Arial"/>
          <w:sz w:val="18"/>
          <w:szCs w:val="18"/>
          <w:color w:val="auto"/>
        </w:rPr>
      </w:pPr>
    </w:p>
    <w:p>
      <w:pPr>
        <w:jc w:val="both"/>
        <w:ind w:left="800" w:right="20" w:hanging="342"/>
        <w:spacing w:after="0" w:line="25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private equity fund based in Hong Kong had agreed to pay RMB 20.0 million ($2.9 million) to purchase 0.4% of ACM Shanghai’s shares at a purchase price based on a pre-investment enterprise valuation of ACM Shanghai of RMB 4.65 billion ($674.5 million). We expect this investor will, consistent with its contractual obligations, fund its investment in August 2019, but ACM Shanghai’s receipt of those funds is not necessary for ACM Shanghai to satisfy STAR Market listing requirements.</w:t>
      </w:r>
    </w:p>
    <w:p>
      <w:pPr>
        <w:spacing w:after="0" w:line="80" w:lineRule="exact"/>
        <w:rPr>
          <w:sz w:val="20"/>
          <w:szCs w:val="20"/>
          <w:color w:val="auto"/>
        </w:rPr>
      </w:pPr>
    </w:p>
    <w:p>
      <w:pPr>
        <w:jc w:val="both"/>
        <w:ind w:left="100" w:firstLine="360"/>
        <w:spacing w:after="0" w:line="286" w:lineRule="auto"/>
        <w:rPr>
          <w:sz w:val="20"/>
          <w:szCs w:val="20"/>
          <w:color w:val="auto"/>
        </w:rPr>
      </w:pPr>
      <w:r>
        <w:rPr>
          <w:rFonts w:ascii="Arial" w:cs="Arial" w:eastAsia="Arial" w:hAnsi="Arial"/>
          <w:sz w:val="17"/>
          <w:szCs w:val="17"/>
          <w:color w:val="auto"/>
        </w:rPr>
        <w:t>Once it has received payment of all of the purchase prices, ACM Shanghai is to process necessary PRC governmental registrations for the capital increase with the local branch of the PRC State Administration for Market Regulation. Upon completion of those registrations, the investors will be regarded as the owners of their subscribed shares.</w:t>
      </w:r>
    </w:p>
    <w:p>
      <w:pPr>
        <w:spacing w:after="0" w:line="57" w:lineRule="exact"/>
        <w:rPr>
          <w:sz w:val="20"/>
          <w:szCs w:val="20"/>
          <w:color w:val="auto"/>
        </w:rPr>
      </w:pPr>
    </w:p>
    <w:p>
      <w:pPr>
        <w:jc w:val="both"/>
        <w:ind w:left="100" w:firstLine="360"/>
        <w:spacing w:after="0" w:line="272" w:lineRule="auto"/>
        <w:rPr>
          <w:sz w:val="20"/>
          <w:szCs w:val="20"/>
          <w:color w:val="auto"/>
        </w:rPr>
      </w:pPr>
      <w:r>
        <w:rPr>
          <w:rFonts w:ascii="Arial" w:cs="Arial" w:eastAsia="Arial" w:hAnsi="Arial"/>
          <w:sz w:val="17"/>
          <w:szCs w:val="17"/>
          <w:color w:val="auto"/>
        </w:rPr>
        <w:t>ACM Shanghai and the investors have agreed to use their respective best efforts to facilitate the completion, within three years from the date on which the ACM Shanghai shares are issued to the investors, of the Listing as well as a related PRC initial public offering at a pre-offering valuation of not less than RMB 5.15 billion ($747.1 million). If, by the end of such three-year period, the Listing and the PRC initial public offering have not been completed and the China Securities Regulatory Commission has not otherwise approved the registration of ACM Shanghai’s listing application, each investor will have the right to require that ACM Shanghai repurchase, and ACM Shanghai will have the right to purchase, the investor’s ACM Shanghai shares for a price equal to the initial purchase price paid by the investor, without interest.</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246" w:lineRule="exact"/>
        <w:rPr>
          <w:sz w:val="20"/>
          <w:szCs w:val="20"/>
          <w:color w:val="auto"/>
        </w:rPr>
      </w:pPr>
    </w:p>
    <w:p>
      <w:pPr>
        <w:jc w:val="both"/>
        <w:ind w:left="100" w:firstLine="360"/>
        <w:spacing w:after="0" w:line="286" w:lineRule="auto"/>
        <w:rPr>
          <w:sz w:val="20"/>
          <w:szCs w:val="20"/>
          <w:color w:val="auto"/>
        </w:rPr>
      </w:pPr>
      <w:r>
        <w:rPr>
          <w:rFonts w:ascii="Arial" w:cs="Arial" w:eastAsia="Arial" w:hAnsi="Arial"/>
          <w:sz w:val="17"/>
          <w:szCs w:val="17"/>
          <w:color w:val="auto"/>
        </w:rPr>
        <w:t>We have determined, voluntarily and not pursuant to any contractual or legal obligation, that ACM Shanghai will deposit, and hold in reserve, the proceeds from the share sales in segregated cash and cash-equivalent accounts pending either (a) completion of the Listing and PRC initial public offering or (b) application to repurchase the shares from the investors.</w:t>
      </w:r>
    </w:p>
    <w:p>
      <w:pPr>
        <w:spacing w:after="0" w:line="57" w:lineRule="exact"/>
        <w:rPr>
          <w:sz w:val="20"/>
          <w:szCs w:val="20"/>
          <w:color w:val="auto"/>
        </w:rPr>
      </w:pPr>
    </w:p>
    <w:p>
      <w:pPr>
        <w:jc w:val="both"/>
        <w:ind w:left="100" w:firstLine="360"/>
        <w:spacing w:after="0" w:line="302" w:lineRule="auto"/>
        <w:rPr>
          <w:sz w:val="20"/>
          <w:szCs w:val="20"/>
          <w:color w:val="auto"/>
        </w:rPr>
      </w:pPr>
      <w:r>
        <w:rPr>
          <w:rFonts w:ascii="Arial" w:cs="Arial" w:eastAsia="Arial" w:hAnsi="Arial"/>
          <w:sz w:val="16"/>
          <w:szCs w:val="16"/>
          <w:color w:val="auto"/>
        </w:rPr>
        <w:t>We may determine to enter into agreements later in 2019 pursuant to which certain existing ACM Research stockholders could purchase additional shares of ACM Shanghai for an aggregate purchase price of approximately $42 million. We expect that, if we were to enter any such agreements, the purchase price and other terms of those agreements would be substantially similar to those under the agreements entered into in June 2019 with the investors other than the employee entities.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100" w:firstLine="360"/>
        <w:spacing w:after="0" w:line="257" w:lineRule="auto"/>
        <w:rPr>
          <w:sz w:val="20"/>
          <w:szCs w:val="20"/>
          <w:color w:val="auto"/>
        </w:rPr>
      </w:pPr>
      <w:r>
        <w:rPr>
          <w:rFonts w:ascii="Arial" w:cs="Arial" w:eastAsia="Arial" w:hAnsi="Arial"/>
          <w:sz w:val="18"/>
          <w:szCs w:val="18"/>
          <w:color w:val="auto"/>
        </w:rPr>
        <w:t xml:space="preserve">ACM Research was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8"/>
          <w:szCs w:val="18"/>
          <w:i w:val="1"/>
          <w:iCs w:val="1"/>
          <w:color w:val="auto"/>
        </w:rPr>
        <w:t>www.acmrcsh.com</w:t>
      </w:r>
      <w:r>
        <w:rPr>
          <w:rFonts w:ascii="Arial" w:cs="Arial" w:eastAsia="Arial" w:hAnsi="Arial"/>
          <w:sz w:val="18"/>
          <w:szCs w:val="18"/>
          <w:color w:val="auto"/>
        </w:rPr>
        <w:t>. The information contained in, or accessible through, our website is not part of, and is not incorporated into, this prospectus supplement, and investors should not rely on any such information in deciding whether to invest in Class A common stock.</w:t>
      </w:r>
    </w:p>
    <w:p>
      <w:pPr>
        <w:spacing w:after="0" w:line="18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b w:val="1"/>
                <w:bCs w:val="1"/>
                <w:color w:val="auto"/>
              </w:rPr>
              <w:t>Shares offered by us</w:t>
            </w: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rPr>
              <w:t>$30,000,000 of shares of Class A common stock</w:t>
            </w:r>
          </w:p>
        </w:tc>
        <w:tc>
          <w:tcPr>
            <w:tcW w:w="0" w:type="dxa"/>
            <w:vAlign w:val="bottom"/>
          </w:tcPr>
          <w:p>
            <w:pPr>
              <w:spacing w:after="0"/>
              <w:rPr>
                <w:sz w:val="1"/>
                <w:szCs w:val="1"/>
                <w:color w:val="auto"/>
              </w:rPr>
            </w:pPr>
          </w:p>
        </w:tc>
      </w:tr>
      <w:tr>
        <w:trPr>
          <w:trHeight w:val="306"/>
        </w:trPr>
        <w:tc>
          <w:tcPr>
            <w:tcW w:w="3280" w:type="dxa"/>
            <w:vAlign w:val="bottom"/>
          </w:tcPr>
          <w:p>
            <w:pPr>
              <w:spacing w:after="0"/>
              <w:rPr>
                <w:sz w:val="20"/>
                <w:szCs w:val="20"/>
                <w:color w:val="auto"/>
              </w:rPr>
            </w:pPr>
            <w:r>
              <w:rPr>
                <w:rFonts w:ascii="Arial" w:cs="Arial" w:eastAsia="Arial" w:hAnsi="Arial"/>
                <w:sz w:val="18"/>
                <w:szCs w:val="18"/>
                <w:b w:val="1"/>
                <w:bCs w:val="1"/>
                <w:color w:val="auto"/>
              </w:rPr>
              <w:t>Common stock to be outstanding</w:t>
            </w: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rPr>
              <w:t>17,798,758 shares, comprised of:</w:t>
            </w: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after this offering</w:t>
            </w:r>
          </w:p>
        </w:tc>
        <w:tc>
          <w:tcPr>
            <w:tcW w:w="800" w:type="dxa"/>
            <w:vAlign w:val="bottom"/>
            <w:vMerge w:val="restart"/>
          </w:tcPr>
          <w:p>
            <w:pPr>
              <w:ind w:left="620"/>
              <w:spacing w:after="0"/>
              <w:rPr>
                <w:sz w:val="20"/>
                <w:szCs w:val="20"/>
                <w:color w:val="auto"/>
              </w:rPr>
            </w:pPr>
            <w:r>
              <w:rPr>
                <w:rFonts w:ascii="Arial" w:cs="Arial" w:eastAsia="Arial" w:hAnsi="Arial"/>
                <w:sz w:val="18"/>
                <w:szCs w:val="18"/>
                <w:color w:val="auto"/>
              </w:rPr>
              <w:t>•</w:t>
            </w:r>
          </w:p>
        </w:tc>
        <w:tc>
          <w:tcPr>
            <w:tcW w:w="5300" w:type="dxa"/>
            <w:vAlign w:val="bottom"/>
            <w:vMerge w:val="restart"/>
          </w:tcPr>
          <w:p>
            <w:pPr>
              <w:ind w:left="160"/>
              <w:spacing w:after="0"/>
              <w:rPr>
                <w:sz w:val="20"/>
                <w:szCs w:val="20"/>
                <w:color w:val="auto"/>
              </w:rPr>
            </w:pPr>
            <w:r>
              <w:rPr>
                <w:rFonts w:ascii="Arial" w:cs="Arial" w:eastAsia="Arial" w:hAnsi="Arial"/>
                <w:sz w:val="18"/>
                <w:szCs w:val="18"/>
                <w:color w:val="auto"/>
                <w:w w:val="96"/>
              </w:rPr>
              <w:t>15,915,335 shares of Class A common stock, assuming our sale of</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1,685,393 shares in this offering at an assumed offering price of</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w w:val="90"/>
              </w:rPr>
              <w:t>$17.80 per share (the last reported sale price of Class A common stock</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on the Nasdaq Global Market on August 12, 2019); and</w:t>
            </w: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4"/>
                <w:szCs w:val="24"/>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5300" w:type="dxa"/>
            <w:vAlign w:val="bottom"/>
          </w:tcPr>
          <w:p>
            <w:pPr>
              <w:ind w:left="160"/>
              <w:spacing w:after="0"/>
              <w:rPr>
                <w:sz w:val="20"/>
                <w:szCs w:val="20"/>
                <w:color w:val="auto"/>
              </w:rPr>
            </w:pPr>
            <w:r>
              <w:rPr>
                <w:rFonts w:ascii="Arial" w:cs="Arial" w:eastAsia="Arial" w:hAnsi="Arial"/>
                <w:sz w:val="18"/>
                <w:szCs w:val="18"/>
                <w:color w:val="auto"/>
              </w:rPr>
              <w:t>1,883,423 shares of Class B common stock.</w:t>
            </w: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rPr>
              <w:t>$4,500,000 of shares of Class A common stock</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w w:val="91"/>
              </w:rPr>
              <w:t>We intend to use the net proceeds from this offering for working capital and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w w:val="93"/>
              </w:rPr>
              <w:t>other general corporate purposes, including to pay a contractual bonus to</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rPr>
              <w:t>one of our executives and, if the underwriters exercise their option to</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w w:val="91"/>
              </w:rPr>
              <w:t>purchase additional shares, to repurchase Class A common stock pursuant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w w:val="95"/>
              </w:rPr>
              <w:t>to an equity purchase agreement with certain stockholders. See “Use of</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rPr>
              <w:t>Proceeds.”</w:t>
            </w:r>
          </w:p>
        </w:tc>
        <w:tc>
          <w:tcPr>
            <w:tcW w:w="0" w:type="dxa"/>
            <w:vAlign w:val="bottom"/>
          </w:tcPr>
          <w:p>
            <w:pPr>
              <w:spacing w:after="0"/>
              <w:rPr>
                <w:sz w:val="1"/>
                <w:szCs w:val="1"/>
                <w:color w:val="auto"/>
              </w:rPr>
            </w:pPr>
          </w:p>
        </w:tc>
      </w:tr>
      <w:tr>
        <w:trPr>
          <w:trHeight w:val="306"/>
        </w:trPr>
        <w:tc>
          <w:tcPr>
            <w:tcW w:w="3280" w:type="dxa"/>
            <w:vAlign w:val="bottom"/>
          </w:tcPr>
          <w:p>
            <w:pPr>
              <w:spacing w:after="0"/>
              <w:rPr>
                <w:sz w:val="20"/>
                <w:szCs w:val="20"/>
                <w:color w:val="auto"/>
              </w:rPr>
            </w:pPr>
            <w:r>
              <w:rPr>
                <w:rFonts w:ascii="Arial" w:cs="Arial" w:eastAsia="Arial" w:hAnsi="Arial"/>
                <w:sz w:val="18"/>
                <w:szCs w:val="18"/>
                <w:b w:val="1"/>
                <w:bCs w:val="1"/>
                <w:color w:val="auto"/>
              </w:rPr>
              <w:t>Nasdaq Global Market symbol for</w:t>
            </w:r>
          </w:p>
        </w:tc>
        <w:tc>
          <w:tcPr>
            <w:tcW w:w="6100" w:type="dxa"/>
            <w:vAlign w:val="bottom"/>
            <w:gridSpan w:val="2"/>
          </w:tcPr>
          <w:p>
            <w:pPr>
              <w:ind w:left="620"/>
              <w:spacing w:after="0"/>
              <w:rPr>
                <w:sz w:val="20"/>
                <w:szCs w:val="20"/>
                <w:color w:val="auto"/>
              </w:rPr>
            </w:pPr>
            <w:r>
              <w:rPr>
                <w:rFonts w:ascii="Arial" w:cs="Arial" w:eastAsia="Arial" w:hAnsi="Arial"/>
                <w:sz w:val="18"/>
                <w:szCs w:val="18"/>
                <w:color w:val="auto"/>
              </w:rPr>
              <w:t>“ACMR”</w:t>
            </w: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Class A common stock</w:t>
            </w:r>
          </w:p>
        </w:tc>
        <w:tc>
          <w:tcPr>
            <w:tcW w:w="8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00" w:firstLine="360"/>
        <w:spacing w:after="0" w:line="279" w:lineRule="auto"/>
        <w:rPr>
          <w:sz w:val="20"/>
          <w:szCs w:val="20"/>
          <w:color w:val="auto"/>
        </w:rPr>
      </w:pPr>
      <w:r>
        <w:rPr>
          <w:rFonts w:ascii="Arial" w:cs="Arial" w:eastAsia="Arial" w:hAnsi="Arial"/>
          <w:sz w:val="17"/>
          <w:szCs w:val="17"/>
          <w:color w:val="auto"/>
        </w:rPr>
        <w:t>The above information is based upon 14,229,942 shares of Class A common stock and 1,883,423 shares of Class B common stock outstanding as of June 30, 2019. This information does not include 1,142,580 shares of Class A common stock subject to outstanding options, 82,190 shares of Class A common stock subject to outstanding warrants and 888,335 shares of Class A common stock reserved for future issuance under our equity incentive plan as of June 30, 2019.</w:t>
      </w:r>
    </w:p>
    <w:p>
      <w:pPr>
        <w:spacing w:after="0" w:line="63" w:lineRule="exact"/>
        <w:rPr>
          <w:sz w:val="20"/>
          <w:szCs w:val="20"/>
          <w:color w:val="auto"/>
        </w:rPr>
      </w:pPr>
    </w:p>
    <w:p>
      <w:pPr>
        <w:jc w:val="both"/>
        <w:ind w:left="100" w:firstLine="360"/>
        <w:spacing w:after="0" w:line="277" w:lineRule="auto"/>
        <w:rPr>
          <w:sz w:val="20"/>
          <w:szCs w:val="20"/>
          <w:color w:val="auto"/>
        </w:rPr>
      </w:pPr>
      <w:r>
        <w:rPr>
          <w:rFonts w:ascii="Arial" w:cs="Arial" w:eastAsia="Arial" w:hAnsi="Arial"/>
          <w:sz w:val="18"/>
          <w:szCs w:val="18"/>
          <w:color w:val="auto"/>
        </w:rPr>
        <w:t>Unless otherwise indicated, this prospectus supplement reflects and assumes no exercise of the underwriters’ over-allotment option.</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Investing in Class A common stock involves risks. Before making an investment decision, you should carefully consider the risks described below and discussed under the section captioned “Risk Factors” contained in our Annual Report on Form 10-K/A for the year ended December 31, 2018, as filed with the SEC on May 24, 2019, in our Quarterly Report on Form 10-Q for the six months ended June 30, 2019, as filed with the SEC on August 12, 2019, and in our other filings that are incorporated by reference in this prospectus supplement and the accompanying prospectus in their entirety, together with the other information in this prospectus supplement, the accompanying prospectus and documents incorporated by reference herein and therein, and in any free writing prospectus that we have authorized for use in connection with this offering. Our business, financial condition or results of operations could be materially adversely affected by any of these risks. The trading price of Class A common stock could decline due to any of these risks, and you may lose all or part of your investment. The risks described below, or incorporated by reference herein, are not the only ones that we face. Additional risks not presently known to us or that we currently deem immaterial may also affect our business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121"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We cannot specify with any certainty the particular uses of the net proceeds that we will receive from this offering.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in a manner that does not produce income or that loses value.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purchase shares of Class A common stock in this offering, you will experience substantial and immediate dilution.</w:t>
      </w:r>
    </w:p>
    <w:p>
      <w:pPr>
        <w:spacing w:after="0" w:line="13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Investors purchasing Class A common stock in this offering will pay a price per share that substantially exceeds the net tangible book value per share. As a result, investors purchasing Class A common stock in this offering will incur immediate dilution of $12.90 per share, based on net tangible book value as of June 30, 2019 and assuming our sale of 1,685,393 shares in this offering at an assumed offering price of $17.80 per share (the last reported sale price of Class A common stock on the Nasdaq Global Market on August 12, 2019). This dilution is due in large part to the fact that some of our earlier investors paid substantially less than the public offering price when they purchased their shares of our capital stock. You may experience additional dilution upon exercise of outstanding options and warrants to purchase Class A common stock or if we issue restricted stock to our employees under our equity incentive plan, and you may experience additional dilution in the future if we otherwise issue additional shares of Class A common stock.</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Substantial future sales of shares by existing stockholders, or the perception that such sales may occur, could cause our stock price to decline.</w:t>
      </w:r>
    </w:p>
    <w:p>
      <w:pPr>
        <w:spacing w:after="0" w:line="5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Sales of a substantial number of shares of Class A common stock in the public market following this offering could cause the market price of Class A common stock to decline. A substantial majority of the outstanding shares of Class A common stock are, and the shares of Class A common stock sold in this offering upon issuance will be, freely tradable without restriction or further registration under the Securities Act of 1933, as amended, or the Securities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121"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this prospectus supplement and the accompanying prospectus contain or incorporate by reference “forward-looking statements” within the meaning of the Private Securities Litigation Reform Act of 1995. These forward-looking statements are generally identified through the inclusion of words such as “anticipate,” “believe,” “contemplate,” “estimate,” “expect,” “forecast,” “intend,” “may,” “objective,” “outlook,” “plan,” “potential,” “project,” “seek,” “should,” “strategy,” “target” or “will” or variations of such words or similar expressions. All statements addressing our future operating performance, and statements addressing events and developments that we expect or anticipate will occur in the future, are forward-looking statements within the meaning of the Private Securities Litigation Reform Act of 1995. Forward-looking statements are based upon currently available information, operating plans, and projections about future events and trends. This prospectus supplement, the accompanying prospectus, and the documents incorporated by reference into this prospectus supplement and the accompanying prospectus also contain statistical data and estimates based on independent industry publications or other publicly available information, as well as other information based on our internal sources. Forward-looking statements and statistical estimates inherently involve risks and uncertainties that could cause actual results to differ materially from those predicted or expressed in this prospectus supplement, the accompanying prospectus, and the documents incorporated by reference into this prospectus supplement and the accompanying prospectus. These risks and uncertainties include those set forth under the heading “Risk Factors” and elsewhere in this prospectus supplement, the accompanying prospectus and the documents incorporated by reference into this prospectus supplement and the accompanying prospectus. Investors are cautioned not to place undue reliance on any forward-looking statements or statistical estimates, which speak only as of the date they are made. We undertake no obligation to update any forward-looking statement or statistical estimate, whether as a result of new information, future events or otherwise.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estimate that we will receive net proceeds from this offering of $27.8 million, (or $32.1 million if the underwriters’ option to purchase additional shares in this offering is exercised in full) after deducting the estimated underwriting discount and estimated offering expenses, assuming our sale of 1,685,393 shares in this offering at an assumed offering price of $17.80 per share (the last reported sale price of Class A common stock on the Nasdaq Global Market on August 12, 2019).</w:t>
      </w:r>
    </w:p>
    <w:p>
      <w:pPr>
        <w:spacing w:after="0" w:line="6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which may include financing our global growth and developing new products and which will include payment of a cash bonus in the amount of 0.5% of the aggregate of our gross proceeds from this offering (excluding any proceeds from the exercise of the underwriters’ over-allotment option) pursuant to an existing agreement with Mark A. McKechnie, our Vice President of Finance.</w:t>
      </w:r>
    </w:p>
    <w:p>
      <w:pPr>
        <w:spacing w:after="0" w:line="6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6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will apply any and all net proceeds received upon the exercise of the underwriters’ over-allotment to repurchase, at a price per share equal to the net proceeds per share we receive in this offering, shares of Class A common stock from certain individuals and entities in accordance with an equity purchase agreement entered into as of August 4, 2019. Under the equity purchase agreement, we would pay to each of the following stockholders the indicated percentage of any net proceeds we receive upon exercise of the underwriters’ over-allotment option:</w:t>
      </w:r>
    </w:p>
    <w:p>
      <w:pPr>
        <w:spacing w:after="0" w:line="80" w:lineRule="exact"/>
        <w:rPr>
          <w:sz w:val="20"/>
          <w:szCs w:val="20"/>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Sotheara Cheav, Vice President, Manufacturing of ACM Shanghai, 5.0%</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Fuping Chen, Vice President, Sales—China of ACM Shanghai, 6.7%</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Haiping Dun, Director, 10.7%</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Chenming Hu, Director, 8.3%</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Tracy Liu, Director, 0.8%</w:t>
      </w:r>
    </w:p>
    <w:p>
      <w:pPr>
        <w:spacing w:after="0" w:line="117" w:lineRule="exact"/>
        <w:rPr>
          <w:rFonts w:ascii="Arial" w:cs="Arial" w:eastAsia="Arial" w:hAnsi="Arial"/>
          <w:sz w:val="18"/>
          <w:szCs w:val="18"/>
          <w:color w:val="auto"/>
        </w:rPr>
      </w:pPr>
    </w:p>
    <w:p>
      <w:pPr>
        <w:ind w:left="700" w:right="20" w:hanging="35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Shengxin (Shanghai) Management Consulting Limited Partnership, a PRC limited partnership owned by Jian Wang (Vice President, Research and Development, and brother of David H. Wang) and other employees of ACM Shanghai, 57.8%</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David H. Wang, Chair of the Board, Chief Executive Officer and President, 10.7%</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repurchase price paid to each stockholder would be applied to purchase a number of shares of Class A common stock equal to the net proceeds per share we receive in this offering. Any shares that we repurchase would be retired and returned to the status of authorized but unissued shares.</w:t>
      </w:r>
    </w:p>
    <w:p>
      <w:pPr>
        <w:spacing w:after="0" w:line="7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Other than as described above with respect to our payment of the cash bonus and our potential repurchase of Class A common stock, our expected use of the net proceeds of this offering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in this prospectus supplement, the accompanying prospectus and the documents incorporated by reference in this prospectus supplement and the accompanying prospectus. Because we cannot currently specify with any certainty the particular uses of our net proceeds, our management will have broad discretion in the application of the net proceeds.</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Pending use of our net proceeds, we intend to invest the net proceeds in short-term, investment-grade, interest-bearing instruments, certificates of deposit, or direct or guaranteed obligations of the U.S. government.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CLASS A COMMON STOCK</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Class A common stock is traded on the Nasdaq Global Market under the symbol “ACMR.” As of June 30, 2019, there were 14,229,942 shares of Class A common stock outstanding, held of record by 85 stockholders. The actual number of holders of Class A common stock is substantially greater and includes stockholders who are beneficial owners and whose shares are held of record by banks, brokers and other financial institutions. On August 12, 2019, the last reported sale price of Class A common stock on the Nasdaq Global Market was $17.80 per share.</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Class B common stock is not listed or traded on any stock exchange. As of June 30, 2019, there were 1,883,423 shares of Class B common stock outstanding, held of record by 30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7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ability to pay dividends on Class A and Class B common stock depends significantly on our receiving distributions of funds from our subsidiaries in the PRC, including ACM Shanghai.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June 30, 2019,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If you invest in Class A common stock in this offering, you will experience dilution to the extent of the difference between the price per share you pay in this offering and the pro forma net tangible book value per share of Class A common stock immediately after this offering.</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net tangible book value of Class A and Class B common stock as of June 30, 2019 was $59.4 million, or $3.69 per share. Net tangible book value per share is equal (a) total tangible assets less total liabilities, divided by (b) the total number of shares of common stock outstanding.</w:t>
      </w:r>
    </w:p>
    <w:p>
      <w:pPr>
        <w:spacing w:after="0" w:line="7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pro forma net tangible book value of Class A and Class B common stock as of June 30, 2019 was $87.2 million, or $4.90 per share. Pro forma net tangible book value assumes and gives effect to our sale of 1,685,393 shares in this offering at an assumed offering price of $17.80 per share (the last reported sale price of Class A common stock on the Nasdaq Global Market on August 12, 2019), after deducting the estimated underwriting discount and estimated offering expenses. This represents an immediate increase in pro forma net tangible book value of $1.21 per share to our existing stockholders and an immediate dilution of $12.90 per share to investors in this offering.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3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June 30, 2019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attributable to this offering</w:t>
            </w:r>
          </w:p>
        </w:tc>
        <w:tc>
          <w:tcPr>
            <w:tcW w:w="3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r>
      <w:tr>
        <w:trPr>
          <w:trHeight w:val="27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purchasers of Class A common stock in this offering</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The table above assumes for illustrative purposes that an aggregate of 1,685,393 shares of Class A common stock are sold at a price of $17.80 per share, the last reported sale price of Class A common stock on the Nasdaq Global Market on August 12, 2019, after deducting the estimated underwriting discount and estimated offering expenses payable by us. An increase of $1.00 per share in the price at which the shares are sold from the assumed offering price of $17.80 per share shown in the table above, assuming the sale of Class A common stock in the aggregate amount of approximately $30,000,000 is sold at that price, would result in an increase to our pro forma net tangible book value per share after the offering to $4.93 and an increase in the dilution in net tangible book value per share to investors in this offering to $13.87, after deducting the estimated underwriting discount and estimated offering expenses. A decrease of $1.00 per share in the price at which the shares are sold from the assumed offering price of $17.80 per share shown in the table above, assuming the sale of Class A common stock in the aggregate amount of approximately $30,000,000 is sold at that price, would result in a decrease to our pro forma net tangible book value per share after the offering to $4.87 and a decrease in the dilution in net tangible book value per share to investors in this offering to $11.93, after deducting the estimated underwriting discount and estimated offering expenses. This information is supplied for illustrative purposes only, and will adjust based on the actual offering price and the actual number of shares that we offer and sell in this offering.</w:t>
      </w:r>
    </w:p>
    <w:p>
      <w:pPr>
        <w:spacing w:after="0" w:line="6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information above assumes that the underwriters will not exercise their option to purchase additional shares. It excludes outstanding options and warrants as well as shares of Class A common stock reserved for future issuance under our equity incentive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Class A common stock.</w:t>
      </w:r>
    </w:p>
    <w:p>
      <w:pPr>
        <w:spacing w:after="0" w:line="6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discussion is limited to Non-U.S. Holders that hold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tax rules, including:</w:t>
      </w:r>
    </w:p>
    <w:p>
      <w:pPr>
        <w:spacing w:after="0" w:line="80" w:lineRule="exact"/>
        <w:rPr>
          <w:sz w:val="20"/>
          <w:szCs w:val="20"/>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holding Class A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deemed to sell Class A common stock under the constructive sale provisions of the Code;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62"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If an entity treated as a partnership for U.S. federal income tax purposes holds Class A common stock, the tax treatment of a partner in the partnership will depend on the status of the partner, the activities of the partnership and certain determinations made at the partner level. Accordingly, partnerships holding Class A common stock and the partners in such partnerships should consult their tax advisors regarding the U.S. federal income tax consequences to them.</w:t>
      </w:r>
    </w:p>
    <w:p>
      <w:pPr>
        <w:spacing w:after="0" w:line="6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THIS DISCUSSION IS NOT TAX ADVICE. INVESTORS SHOULD CONSULT THEIR TAX ADVISORS WITH RESPECT TO THE APPLICATION OF THE U.S. FEDERAL INCOME TAX LAWS TO THEIR PARTICULAR SITUATIONS AS WELL AS ANY TAX CONSEQUENCES OF THE PURCHASE, OWNERSHIP AND DISPOSITION OF CLASS A COMMON STOCK ARISING UNDER THE U.S. FEDERAL ESTATE OR GIFT TAX LAWS OR UNDER THE LAWS OF ANY STATE, LOCAL OR NON-U.S. TAXING JURISDICTION OR UNDER ANY APPLICABLE INCOME TAX TREATY.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Class A common stock that is neither a “U.S. person” nor an entity treated as a partnership for U.S. federal income tax purposes. A U.S. person is any person that, for U.S. federal income tax purposes, is or is treated as any of the following:</w:t>
      </w:r>
    </w:p>
    <w:p>
      <w:pPr>
        <w:spacing w:after="0" w:line="73" w:lineRule="exact"/>
        <w:rPr>
          <w:sz w:val="20"/>
          <w:szCs w:val="20"/>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700" w:hanging="356"/>
        <w:spacing w:after="0" w:line="286"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As described in the section titled “Dividend Policy,” we do not anticipate paying any cash dividends in the foreseeable future. However, if we do make distributions of cash or property on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5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8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Subject to the discussions below regarding backup withholding and FATCA, a Non-U.S. Holder will not be subject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Class A common stock unless:</w:t>
      </w:r>
    </w:p>
    <w:p>
      <w:pPr>
        <w:spacing w:after="0" w:line="103" w:lineRule="exact"/>
        <w:rPr>
          <w:sz w:val="20"/>
          <w:szCs w:val="20"/>
          <w:color w:val="auto"/>
        </w:rPr>
      </w:pPr>
    </w:p>
    <w:p>
      <w:pPr>
        <w:jc w:val="both"/>
        <w:ind w:left="700" w:hanging="356"/>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A common stock constitutes a U.S. real property interest, or USRPI, by reason of our status as a U.S. real property holding corporation, or USRPHC, for U.S. federal income tax purposes.</w:t>
      </w:r>
    </w:p>
    <w:p>
      <w:pPr>
        <w:spacing w:after="0" w:line="62"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79"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Class A common stock is “regularly traded,” as defined by applicable Treasury Regulations, on an established securities market, and such Non-U.S. Holder owned, actually and constructively, 5% or less of Class A common stock throughout the shorter of the five-year period ending on the date of the sale or other taxable disposition or the Non-U.S. Holder’s holding period.</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Non-U.S. Holders should consult their tax advisors regarding any applicable tax treaties that may provide for different rules.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Payments of dividends on Class A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dividends on Class A common stock paid to the Non-U.S. Holder, regardless of whether any tax was actually withheld. In addition, proceeds of the sale or other taxable disposition of Class A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Class A common stock conducted through a non-U.S. office of a non-U.S. broker that does not have certain enumerated relationships with the United States generally will not be subject to backup withholding or information reporting.</w:t>
      </w:r>
    </w:p>
    <w:p>
      <w:pPr>
        <w:spacing w:after="0" w:line="74"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38"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6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Class A common stock. Recently issued proposed regulations would eliminate the application of the withholding tax to payments of gross proceeds from the sale or other disposition of such stock that was previously scheduled to begin in 2019.</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Class A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right="20" w:firstLine="360"/>
        <w:spacing w:after="0" w:line="329" w:lineRule="auto"/>
        <w:rPr>
          <w:sz w:val="20"/>
          <w:szCs w:val="20"/>
          <w:color w:val="auto"/>
        </w:rPr>
      </w:pPr>
      <w:r>
        <w:rPr>
          <w:rFonts w:ascii="Arial" w:cs="Arial" w:eastAsia="Arial" w:hAnsi="Arial"/>
          <w:sz w:val="16"/>
          <w:szCs w:val="16"/>
          <w:color w:val="auto"/>
        </w:rPr>
        <w:t>Subject to the terms and conditions set forth in an underwriting agreement, each of the underwriters named below has severally agreed to purchase from us the aggregate number of shares of Class A common stock set forth opposite its name below:</w:t>
      </w:r>
    </w:p>
    <w:p>
      <w:pPr>
        <w:spacing w:after="0"/>
        <w:tabs>
          <w:tab w:leader="none" w:pos="816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0115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07187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20574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17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are subject to various conditions, including approval of legal matters by counsel. The nature of the underwriters’ obligations commits them to purchase and pay for all of the shares of Class A common stock listed above if any are purchased.</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underwriting agreement provides that we will indemnify the underwriters against liabilities specified in the underwriting agreement under the Securities Act, or will contribute to payments that the underwriters may be required to make relating to these liabilities.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Stifel, Nicolaus &amp; Company, Incorporated is acting as representative of the underwriters, and expects to deliver the shares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w w:val="96"/>
              </w:rPr>
              <w:t>Class A common stock to purchasers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We have granted a 30-day over-allotment option to the underwriters to purchase up to $4,500,000 of additional shares of Class A common stock from us at the public offering price, less the underwriting discount payable by us, as set forth on the cover page of this prospectus supplement. If the underwriters exercise this option in whole or in part, then the underwriters will be committed, subject to the conditions described in the underwriting agreement, to purchase the additional shares of Class A common stock in proportion to their respective commitments set forth in the table above.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underwriters propose to offer the shares of Class A common stock directly to the public at the public offering price set forth on the cover page of this prospectus supplement, and to dealers at that price less a concession not in excess of $ per share. The underwriters may allow, and the other dealers may reallow, concessions not in excess of $ per share to these other dealers. After this offering, the offering price, concessions and other selling terms may be changed by the underwriters. The Class A common stock is offered subject to receipt and acceptance by the underwriters and to the other conditions, including the right to reject orders in whole or in part.</w:t>
      </w:r>
    </w:p>
    <w:p>
      <w:pPr>
        <w:spacing w:after="0" w:line="8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summarizes the compensation to be paid to the underwriters by us and the proceeds, before expenses, payable to us: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rPr>
              <w:t>Without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With</w:t>
            </w:r>
          </w:p>
        </w:tc>
      </w:t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Over-Allotment</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9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We have agreed to reimburse the underwriters for costs and expenses incident to the performance of their obligations under the underwriting agreement, including up to $75,000 of the fees and expenses of the underwriters’ outside counsel.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Underwriters</w:t>
      </w:r>
    </w:p>
    <w:p>
      <w:pPr>
        <w:spacing w:after="0" w:line="121"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We will indemnify the underwriters against some civil liabilities, including liabilities under the Securities Act and liabilities arising from breaches of our representations and warranties contained in the underwriting agreement. If we are unable to provide this indemnification, we will contribute to payments the underwriters may be required to make in respect of those liabilities.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All of our officers and directors, and all of the individuals and entities identified as parties to the equity purchase agreement described under “Use of Proceeds” above, have agreed not to offer, sell, agree to sell, directly or indirectly, or otherwise dispose of any shares of Class A common stock or any securities convertible into or exchangeable for shares of Class A common stock, except for the shares of Class A common stock offered in this offering and shares of Class A common stock to be repurchased by us pursuant to an equity purchase agreement with certain stockholders if the underwriters exercise their option to purchase additional shares, without the prior written consent of Stifel, Nicolaus &amp; Company, Incorporated for a period of 90 days after the date of this prospectus supplement.</w:t>
      </w:r>
    </w:p>
    <w:p>
      <w:pPr>
        <w:spacing w:after="0" w:line="8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agreed that for a period of 90 days after the date of this prospectus supplement, we will not, without the prior written consent of Stifel, Nicolaus &amp; Company, Incorporated, offer, sell or otherwise dispose of any shares of Class A common stock, except for the shares of Class A common stock offered in this offering, the shares of Class A common stock issuable upon exercise of outstanding options on the date of this prospectus supplement, and the shares of Class A common stock that are issued under our equity incentive plan.</w:t>
      </w:r>
    </w:p>
    <w:p>
      <w:pPr>
        <w:spacing w:after="0" w:line="18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common stock is quoted on the Nasdaq Global Market under the symbol “ACMR.”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12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order to facilitate this offering, persons participating in this offering may engage in transactions that stabilize, maintain, or otherwise affect the price of Class A common stock during and after this offering. Specifically, the underwriters may engage in the following activities in accordance with the rules of the Securities and Exchange Commission.</w:t>
      </w:r>
    </w:p>
    <w:p>
      <w:pPr>
        <w:spacing w:after="0" w:line="5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Short sales</w:t>
      </w:r>
      <w:r>
        <w:rPr>
          <w:rFonts w:ascii="Arial" w:cs="Arial" w:eastAsia="Arial" w:hAnsi="Arial"/>
          <w:sz w:val="17"/>
          <w:szCs w:val="17"/>
          <w:color w:val="auto"/>
        </w:rPr>
        <w:t>. Short sales involve the sales by the underwriters of a greater number of shares than it is required to purchase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Covered short sales are short sales made in an amount not 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w:t>
      </w:r>
    </w:p>
    <w:p>
      <w:pPr>
        <w:spacing w:after="0" w:line="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Stabilizing transactions. </w:t>
      </w:r>
      <w:r>
        <w:rPr>
          <w:rFonts w:ascii="Arial" w:cs="Arial" w:eastAsia="Arial" w:hAnsi="Arial"/>
          <w:sz w:val="18"/>
          <w:szCs w:val="18"/>
          <w:color w:val="auto"/>
        </w:rPr>
        <w:t>The underwriters may make bids for or purchases of the shares for the purpose of pegging, fixing or</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the price of the shares, so long as stabilizing bids do not exceed a specified maximum.</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Penalty bids</w:t>
      </w:r>
      <w:r>
        <w:rPr>
          <w:rFonts w:ascii="Arial" w:cs="Arial" w:eastAsia="Arial" w:hAnsi="Arial"/>
          <w:sz w:val="18"/>
          <w:szCs w:val="18"/>
          <w:color w:val="auto"/>
        </w:rPr>
        <w:t>. If the underwriters purchase shares in the open market in a stabilizing transaction or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they may reclaim a selling concession from the underwriters and selling 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presales of the shares.</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transactions above may occur on the Nasdaq Global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underwriters and their affiliates have provided in the past to us and our affiliates, and may in the future provide, various commercial banking, financial advisory, investment banking and other services for us and such affiliates in the ordinary course of their business, for which they have received and may continue to receive customary fees and commissions.</w:t>
      </w:r>
    </w:p>
    <w:p>
      <w:pPr>
        <w:spacing w:after="0" w:line="73" w:lineRule="exact"/>
        <w:rPr>
          <w:sz w:val="20"/>
          <w:szCs w:val="20"/>
          <w:color w:val="auto"/>
        </w:rPr>
      </w:pPr>
    </w:p>
    <w:p>
      <w:pPr>
        <w:jc w:val="both"/>
        <w:ind w:right="20" w:firstLine="360"/>
        <w:spacing w:after="0" w:line="290"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and relate to our assets, securities or instruments (directly, as collateral securing other obligations or otherwise) or persons and entities with relationships with us. The underwriters and their respective affiliates may also communicate independent investment recommendations, market color or trading ideas and publish or express independent research views in respect of such assets, securities or instruments and may at any time hold, or recommend to clients that they should acquire, long or short positions in such assets, securities and instruments.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supplement in any jurisdiction where action for that purpose is required.</w:t>
      </w:r>
    </w:p>
    <w:p>
      <w:pPr>
        <w:spacing w:after="0" w:line="3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shares of Class A common stock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no offer of shares described in this prospectus supplement may be made to the public in that Relevant Member State other than under the following exemptions in the Prospectus Directive:</w:t>
      </w:r>
    </w:p>
    <w:p>
      <w:pPr>
        <w:spacing w:after="0" w:line="63" w:lineRule="exact"/>
        <w:rPr>
          <w:sz w:val="20"/>
          <w:szCs w:val="20"/>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in such Relevant Member State, subject to obtaining the prior consent of the underwriters; or</w:t>
      </w:r>
    </w:p>
    <w:p>
      <w:pPr>
        <w:spacing w:after="0" w:line="62" w:lineRule="exact"/>
        <w:rPr>
          <w:rFonts w:ascii="Arial" w:cs="Arial" w:eastAsia="Arial" w:hAnsi="Arial"/>
          <w:sz w:val="18"/>
          <w:szCs w:val="18"/>
          <w:color w:val="auto"/>
        </w:rPr>
      </w:pPr>
    </w:p>
    <w:p>
      <w:pPr>
        <w:jc w:val="both"/>
        <w:ind w:left="700" w:hanging="356"/>
        <w:spacing w:after="0" w:line="255"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us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us and each of the underwriters that it is a “qualified investor” within the meaning of the law in that Relevant Member State implementing Article 2(1)(e) of the Prospectus Directive.</w:t>
      </w:r>
    </w:p>
    <w:p>
      <w:pPr>
        <w:spacing w:after="0" w:line="8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their representative has been obtained to each such proposed offer or resale.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 w:name="page19"/>
    <w:bookmarkEnd w:id="18"/>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This prospectus supplement:</w:t>
      </w:r>
    </w:p>
    <w:p>
      <w:pPr>
        <w:spacing w:after="0" w:line="117" w:lineRule="exact"/>
        <w:rPr>
          <w:sz w:val="20"/>
          <w:szCs w:val="20"/>
          <w:color w:val="auto"/>
        </w:rPr>
      </w:pPr>
    </w:p>
    <w:p>
      <w:pPr>
        <w:ind w:left="707" w:right="20" w:hanging="356"/>
        <w:spacing w:after="0" w:line="277"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62" w:lineRule="exact"/>
        <w:rPr>
          <w:rFonts w:ascii="Arial" w:cs="Arial" w:eastAsia="Arial" w:hAnsi="Arial"/>
          <w:sz w:val="18"/>
          <w:szCs w:val="18"/>
          <w:color w:val="auto"/>
        </w:rPr>
      </w:pPr>
    </w:p>
    <w:p>
      <w:pPr>
        <w:jc w:val="both"/>
        <w:ind w:left="707" w:hanging="356"/>
        <w:spacing w:after="0" w:line="264"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73" w:lineRule="exact"/>
        <w:rPr>
          <w:rFonts w:ascii="Arial" w:cs="Arial" w:eastAsia="Arial" w:hAnsi="Arial"/>
          <w:sz w:val="18"/>
          <w:szCs w:val="18"/>
          <w:color w:val="auto"/>
        </w:rPr>
      </w:pPr>
    </w:p>
    <w:p>
      <w:pPr>
        <w:jc w:val="both"/>
        <w:ind w:left="707" w:hanging="356"/>
        <w:spacing w:after="0" w:line="264"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73" w:lineRule="exact"/>
        <w:rPr>
          <w:rFonts w:ascii="Arial" w:cs="Arial" w:eastAsia="Arial" w:hAnsi="Arial"/>
          <w:sz w:val="18"/>
          <w:szCs w:val="18"/>
          <w:color w:val="auto"/>
        </w:rPr>
      </w:pPr>
    </w:p>
    <w:p>
      <w:pPr>
        <w:ind w:left="707" w:hanging="356"/>
        <w:spacing w:after="0" w:line="277"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62" w:lineRule="exact"/>
        <w:rPr>
          <w:sz w:val="20"/>
          <w:szCs w:val="20"/>
          <w:color w:val="auto"/>
        </w:rPr>
      </w:pPr>
    </w:p>
    <w:p>
      <w:pPr>
        <w:jc w:val="both"/>
        <w:ind w:left="7" w:firstLine="360"/>
        <w:spacing w:after="0" w:line="276" w:lineRule="auto"/>
        <w:rPr>
          <w:sz w:val="20"/>
          <w:szCs w:val="20"/>
          <w:color w:val="auto"/>
        </w:rPr>
      </w:pPr>
      <w:r>
        <w:rPr>
          <w:rFonts w:ascii="Arial" w:cs="Arial" w:eastAsia="Arial" w:hAnsi="Arial"/>
          <w:sz w:val="17"/>
          <w:szCs w:val="17"/>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64" w:lineRule="exact"/>
        <w:rPr>
          <w:sz w:val="20"/>
          <w:szCs w:val="20"/>
          <w:color w:val="auto"/>
        </w:rPr>
      </w:pPr>
    </w:p>
    <w:p>
      <w:pPr>
        <w:jc w:val="both"/>
        <w:ind w:left="7" w:firstLine="360"/>
        <w:spacing w:after="0" w:line="293"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jc w:val="both"/>
        <w:ind w:left="7" w:hanging="7"/>
        <w:spacing w:after="0" w:line="268" w:lineRule="auto"/>
        <w:tabs>
          <w:tab w:leader="none" w:pos="2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jc w:val="both"/>
        <w:ind w:left="7" w:firstLine="36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jc w:val="both"/>
        <w:ind w:left="700" w:right="20" w:hanging="356"/>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0" w:lineRule="exact"/>
        <w:rPr>
          <w:rFonts w:ascii="Arial" w:cs="Arial" w:eastAsia="Arial" w:hAnsi="Arial"/>
          <w:sz w:val="18"/>
          <w:szCs w:val="18"/>
          <w:color w:val="auto"/>
        </w:rPr>
      </w:pPr>
    </w:p>
    <w:p>
      <w:pPr>
        <w:ind w:left="1060" w:hanging="351"/>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1060" w:hanging="351"/>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60" w:right="20" w:hanging="351"/>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121"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This prospectus supplement does not constitute a public offer of the shares, whether by sale or subscription, in the PRC. The shares are not being offered or sold directly or indirectly in the PRC to or for the benefit of, legal or natural persons of the PRC.</w:t>
      </w:r>
    </w:p>
    <w:p>
      <w:pPr>
        <w:spacing w:after="0" w:line="16"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3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Certain of the underwriters and their respective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respective affiliates may effect transactions for their own account or the account of customers, and hold on behalf of themselves or their customers, long or short positions in our debt or equity securities or loans, and may do so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This prospectus constitutes an “exempt offering document” for the purposes of applicable Canadian securities laws. No prospectus has been filed with any securities commission or similar regulatory authority in Canada in connection with the offer and sale of the shares. No securities commission or similar regulatory authority in Canada has reviewed or in any way passed upon this prospectus or on the merits of the shares and any representation to the contrary is an offence.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 xml:space="preserve">Canadian investors are advised that this prospectus has been prepared in reliance on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Pursuant to section 3A.3 of NI 33-105, this prospectus is exempt from the requirement that the company and the underwriters provide Canadian investors with certain conflicts of interest disclosure pertaining to “connected issuer” and/or “related issuer” relationships that may exist between the company and the underwriters as would otherwise be required pursuant to subsection 2.1(1) of NI 33-105.</w:t>
      </w:r>
    </w:p>
    <w:p>
      <w:pPr>
        <w:spacing w:after="0" w:line="8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offer and sale of the shares in Canada is being made on a private placement basis only and is exempt from the requirement that the company prepares and files a prospectus under applicable Canadian securities laws. Any resale of shares acquired by a Canadian investor in this offering must be made in accordance with applicable Canadian securities laws, which may vary depending on the relevant jurisdiction, and which may require resales to be made in accordance with Canadian prospectus requirements, pursuant to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shares outside of Canada.</w:t>
      </w:r>
    </w:p>
    <w:p>
      <w:pPr>
        <w:spacing w:after="0" w:line="5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 xml:space="preserve">Each Canadian investor who purchases shares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for investment only and not with a view to resale or redistribution; (ii) an “accredited investor” as such term is defined in section 1.1 of National Instrument 45-106 </w:t>
      </w:r>
      <w:r>
        <w:rPr>
          <w:rFonts w:ascii="Arial" w:cs="Arial" w:eastAsia="Arial" w:hAnsi="Arial"/>
          <w:sz w:val="18"/>
          <w:szCs w:val="18"/>
          <w:i w:val="1"/>
          <w:iCs w:val="1"/>
          <w:color w:val="auto"/>
        </w:rPr>
        <w:t xml:space="preserve">Prospectus Exemptions </w:t>
      </w:r>
      <w:r>
        <w:rPr>
          <w:rFonts w:ascii="Arial" w:cs="Arial" w:eastAsia="Arial" w:hAnsi="Arial"/>
          <w:sz w:val="18"/>
          <w:szCs w:val="18"/>
          <w:color w:val="auto"/>
        </w:rPr>
        <w:t>or, in Ontario, as such term is defined in 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(iii) is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“permitted client” as such term is defined in section 1.1 of National Instrument 31-103 </w:t>
      </w:r>
      <w:r>
        <w:rPr>
          <w:rFonts w:ascii="Arial" w:cs="Arial" w:eastAsia="Arial" w:hAnsi="Arial"/>
          <w:sz w:val="18"/>
          <w:szCs w:val="18"/>
          <w:i w:val="1"/>
          <w:iCs w:val="1"/>
          <w:color w:val="auto"/>
        </w:rPr>
        <w:t>Registration Requirements, Exemptions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Ongoing Registrant Obligations.</w:t>
      </w:r>
    </w:p>
    <w:p>
      <w:pPr>
        <w:spacing w:after="0" w:line="8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Any discussion of taxation and related matters contained in this prospectus does not purport to be a comprehensive description of all of the tax considerations that may be relevant to a Canadian investor when deciding to purchase the shares and, in particular, does not address any Canadian tax considerations. No representation or warranty is hereby made as to the tax consequences to a resident, or deemed resident, of Canada of an investment in the shares or with respect to the eligibility of the shares for investment by such investor under relevant Canadian federal and provincial legislation and regulations.</w:t>
      </w:r>
    </w:p>
    <w:p>
      <w:pPr>
        <w:spacing w:after="0" w:line="64"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Arial" w:cs="Arial" w:eastAsia="Arial" w:hAnsi="Arial"/>
          <w:sz w:val="17"/>
          <w:szCs w:val="17"/>
          <w:i w:val="1"/>
          <w:iCs w:val="1"/>
          <w:color w:val="auto"/>
        </w:rPr>
        <w:t>Ontario Prospectus and Registration Exemptions</w:t>
      </w:r>
      <w:r>
        <w:rPr>
          <w:rFonts w:ascii="Arial" w:cs="Arial" w:eastAsia="Arial" w:hAnsi="Arial"/>
          <w:sz w:val="17"/>
          <w:szCs w:val="17"/>
          <w:color w:val="auto"/>
        </w:rPr>
        <w:t xml:space="preserve"> and in Multilateral Instrument 45-107 </w:t>
      </w:r>
      <w:r>
        <w:rPr>
          <w:rFonts w:ascii="Arial" w:cs="Arial" w:eastAsia="Arial" w:hAnsi="Arial"/>
          <w:sz w:val="17"/>
          <w:szCs w:val="17"/>
          <w:i w:val="1"/>
          <w:iCs w:val="1"/>
          <w:color w:val="auto"/>
        </w:rPr>
        <w:t>Listing Representation and Statutory Rights of Action Disclosure Exemptions</w:t>
      </w:r>
      <w:r>
        <w:rPr>
          <w:rFonts w:ascii="Arial" w:cs="Arial" w:eastAsia="Arial" w:hAnsi="Arial"/>
          <w:sz w:val="17"/>
          <w:szCs w:val="17"/>
          <w:color w:val="auto"/>
        </w:rPr>
        <w:t>,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w:t>
      </w:r>
      <w:r>
        <w:rPr>
          <w:rFonts w:ascii="Arial" w:cs="Arial" w:eastAsia="Arial" w:hAnsi="Arial"/>
          <w:sz w:val="18"/>
          <w:szCs w:val="18"/>
          <w:color w:val="auto"/>
        </w:rPr>
        <w:t xml:space="preserve"> </w:t>
      </w:r>
      <w:r>
        <w:rPr>
          <w:rFonts w:ascii="Arial" w:cs="Arial" w:eastAsia="Arial" w:hAnsi="Arial"/>
          <w:sz w:val="18"/>
          <w:szCs w:val="18"/>
          <w:i w:val="1"/>
          <w:iCs w:val="1"/>
          <w:color w:val="auto"/>
        </w:rPr>
        <w:t>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shares of Class A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73" w:lineRule="exact"/>
        <w:rPr>
          <w:sz w:val="20"/>
          <w:szCs w:val="20"/>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persons whose principal business is the investment of money or who, in the course of and for the purposes of their business, habitually invest money;</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persons who in all the circumstances can properly be regarded as having been selected otherwise than as members of the public;</w:t>
      </w:r>
    </w:p>
    <w:p>
      <w:pPr>
        <w:spacing w:after="0" w:line="62"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K&amp;L Gates LLP, Boston, Massachusetts, will pass upon certain legal matters relating to the issuance and sale of the Class A common stock offered hereby on our behalf. Certain legal matters will be passed upon for the underwriters by Goodwin Procter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BDO China Shu Lun Pan Certified Public Accountants LLP, our independent registered public accounting firm in the People’s Republic of China, has audited our consolidated financial statements at, and for the years ended, December 31, 2018 and 2017 appearing in our Annual Report on Form 10-K for the year ended December 31, 2018 (as amended by Amendment No. 1 on Form 10-K/A), as set forth in their report thereon included therein and incorporated by reference herein. We have incorporated by reference herein such consolidated financial statements in reliance on said firm’s report, given on their authority as experts in accounting and auditing.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about issuers, such as us, who file electronically with the SEC.</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www.acmrcsh.com</w:t>
      </w:r>
      <w:r>
        <w:rPr>
          <w:rFonts w:ascii="Arial" w:cs="Arial" w:eastAsia="Arial" w:hAnsi="Arial"/>
          <w:sz w:val="18"/>
          <w:szCs w:val="18"/>
          <w:color w:val="auto"/>
        </w:rPr>
        <w:t>. The information on our website, however, is not, and should not be deemed to be, a part of this prospectus supplement or the accompanying prospectus, as amended. We have included our website address as an inactive textual reference only.</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You may inspect a copy of the registration statement at the SEC’s Public Reference Room in Washington, D.C. or through the SEC’s website, as provided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the accompanying prospectus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5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incorporate by reference our documents listed below and any future filings made by us with the SEC under Section 13(a), 13(c), 14 or 15(d) of the Securities Exchange Act of 1934, or the Exchange Act,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 2.02 or 7.01 of Form 8-K or related exhibits furnished pursuant to Item 9.01 of Form 8-K.</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This prospectus supplement and the accompanying prospectus incorporate by reference the documents set forth below that have previously been filed with the SEC:</w:t>
      </w:r>
    </w:p>
    <w:p>
      <w:pPr>
        <w:spacing w:after="0" w:line="62" w:lineRule="exact"/>
        <w:rPr>
          <w:sz w:val="20"/>
          <w:szCs w:val="20"/>
          <w:color w:val="auto"/>
        </w:rPr>
      </w:pPr>
    </w:p>
    <w:p>
      <w:pPr>
        <w:ind w:left="70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2018, filed with the SEC on </w:t>
      </w:r>
      <w:hyperlink r:id="rId44">
        <w:r>
          <w:rPr>
            <w:rFonts w:ascii="Arial" w:cs="Arial" w:eastAsia="Arial" w:hAnsi="Arial"/>
            <w:sz w:val="18"/>
            <w:szCs w:val="18"/>
            <w:u w:val="single" w:color="auto"/>
            <w:color w:val="0000EE"/>
          </w:rPr>
          <w:t>March 14,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on </w:t>
      </w:r>
      <w:hyperlink r:id="rId45">
        <w:r>
          <w:rPr>
            <w:rFonts w:ascii="Arial" w:cs="Arial" w:eastAsia="Arial" w:hAnsi="Arial"/>
            <w:sz w:val="18"/>
            <w:szCs w:val="18"/>
            <w:u w:val="single" w:color="auto"/>
            <w:color w:val="0000EE"/>
          </w:rPr>
          <w:t>May 24, 2019</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right="20" w:hanging="356"/>
        <w:spacing w:after="0" w:line="308"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Form 10-K for the year ended December 31, 2018, from our Definitive Proxy Statement on Schedule 14A, filed with the SEC on </w:t>
      </w:r>
      <w:hyperlink r:id="rId46">
        <w:r>
          <w:rPr>
            <w:rFonts w:ascii="Arial" w:cs="Arial" w:eastAsia="Arial" w:hAnsi="Arial"/>
            <w:sz w:val="17"/>
            <w:szCs w:val="17"/>
            <w:u w:val="single" w:color="auto"/>
            <w:color w:val="0000EE"/>
          </w:rPr>
          <w:t>April 30, 2019</w:t>
        </w:r>
      </w:hyperlink>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700" w:hanging="356"/>
        <w:spacing w:after="0" w:line="277" w:lineRule="auto"/>
        <w:tabs>
          <w:tab w:leader="none" w:pos="700" w:val="left"/>
        </w:tabs>
        <w:numPr>
          <w:ilvl w:val="0"/>
          <w:numId w:val="13"/>
        </w:numPr>
        <w:rPr>
          <w:rFonts w:ascii="Arial" w:cs="Arial" w:eastAsia="Arial" w:hAnsi="Arial"/>
          <w:sz w:val="18"/>
          <w:szCs w:val="18"/>
          <w:color w:val="0000EE"/>
        </w:rPr>
      </w:pPr>
      <w:hyperlink r:id="rId47">
        <w:r>
          <w:rPr>
            <w:rFonts w:ascii="Arial" w:cs="Arial" w:eastAsia="Arial" w:hAnsi="Arial"/>
            <w:sz w:val="18"/>
            <w:szCs w:val="18"/>
            <w:color w:val="auto"/>
          </w:rPr>
          <w:t xml:space="preserve">our Quarterly Reports on Form 10-Q for the quarters ended March 31, 2019 and June 30, 2019, filed with the SEC on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14, 2019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August 12, 2019</w:t>
        </w:r>
      </w:hyperlink>
      <w:hyperlink r:id="rId47">
        <w:r>
          <w:rPr>
            <w:rFonts w:ascii="Arial" w:cs="Arial" w:eastAsia="Arial" w:hAnsi="Arial"/>
            <w:sz w:val="18"/>
            <w:szCs w:val="18"/>
            <w:color w:val="000000"/>
          </w:rPr>
          <w:t>; and</w:t>
        </w:r>
      </w:hyperlink>
    </w:p>
    <w:p>
      <w:pPr>
        <w:spacing w:after="0" w:line="62" w:lineRule="exact"/>
        <w:rPr>
          <w:rFonts w:ascii="Arial" w:cs="Arial" w:eastAsia="Arial" w:hAnsi="Arial"/>
          <w:sz w:val="18"/>
          <w:szCs w:val="18"/>
          <w:color w:val="0000EE"/>
        </w:rPr>
      </w:pPr>
    </w:p>
    <w:p>
      <w:pPr>
        <w:ind w:left="700" w:hanging="356"/>
        <w:spacing w:after="0" w:line="277" w:lineRule="auto"/>
        <w:tabs>
          <w:tab w:leader="none" w:pos="700" w:val="left"/>
        </w:tabs>
        <w:numPr>
          <w:ilvl w:val="0"/>
          <w:numId w:val="13"/>
        </w:numPr>
        <w:rPr>
          <w:rFonts w:ascii="Arial" w:cs="Arial" w:eastAsia="Arial" w:hAnsi="Arial"/>
          <w:sz w:val="18"/>
          <w:szCs w:val="18"/>
          <w:color w:val="0000EE"/>
        </w:rPr>
      </w:pPr>
      <w:hyperlink r:id="rId49">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 2019</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June 12,</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June 17, 2019</w:t>
        </w:r>
      </w:hyperlink>
      <w:hyperlink r:id="rId4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1">
        <w:r>
          <w:rPr>
            <w:rFonts w:ascii="Arial" w:cs="Arial" w:eastAsia="Arial" w:hAnsi="Arial"/>
            <w:sz w:val="18"/>
            <w:szCs w:val="18"/>
            <w:u w:val="single" w:color="auto"/>
            <w:color w:val="0000EE"/>
          </w:rPr>
          <w:t xml:space="preserve">June 18, 2019 </w:t>
        </w:r>
      </w:hyperlink>
      <w:hyperlink r:id="rId49">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2">
        <w:r>
          <w:rPr>
            <w:rFonts w:ascii="Arial" w:cs="Arial" w:eastAsia="Arial" w:hAnsi="Arial"/>
            <w:sz w:val="18"/>
            <w:szCs w:val="18"/>
            <w:u w:val="single" w:color="auto"/>
            <w:color w:val="0000EE"/>
          </w:rPr>
          <w:t>August 13, 2019</w:t>
        </w:r>
      </w:hyperlink>
      <w:hyperlink r:id="rId49">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firstLine="360"/>
        <w:spacing w:after="0" w:line="27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w:t>
      </w:r>
    </w:p>
    <w:p>
      <w:pPr>
        <w:spacing w:after="0" w:line="17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date of the initial registration statement and prior to the effectiveness of the registration statement, but excluding any information furnished to, rather than filed with, the SEC, will also be incorporated by reference into this prospectus supplement and the accompanying prospectus and deemed to be part of this prospectus supplement from the date of the filing of such reports and documents.</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 the following address: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Fremont, California</w:t>
      </w:r>
    </w:p>
    <w:p>
      <w:pPr>
        <w:spacing w:after="0" w:line="9" w:lineRule="exact"/>
        <w:rPr>
          <w:sz w:val="20"/>
          <w:szCs w:val="20"/>
          <w:color w:val="auto"/>
        </w:rPr>
      </w:pPr>
    </w:p>
    <w:p>
      <w:pPr>
        <w:ind w:left="4640" w:hanging="428"/>
        <w:spacing w:after="0"/>
        <w:tabs>
          <w:tab w:leader="none" w:pos="4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445-3700</w:t>
      </w:r>
    </w:p>
    <w:p>
      <w:pPr>
        <w:spacing w:after="0" w:line="9" w:lineRule="exact"/>
        <w:rPr>
          <w:rFonts w:ascii="Arial" w:cs="Arial" w:eastAsia="Arial" w:hAnsi="Arial"/>
          <w:sz w:val="18"/>
          <w:szCs w:val="18"/>
          <w:color w:val="auto"/>
        </w:rPr>
      </w:pPr>
    </w:p>
    <w:p>
      <w:pPr>
        <w:ind w:left="37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0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 supplement and the accompanying prospectus,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PROSPECTUS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147955</wp:posOffset>
            </wp:positionV>
            <wp:extent cx="1269365" cy="788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6936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A Common Stock</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Preferred Stock</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Debt Securities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Warrants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182245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We may offer and sell up to $100,000,000 in the aggregate of the securities identified above from time to time in one or more offerings. This prospectus provides you with a general description of the securities.</w:t>
      </w:r>
    </w:p>
    <w:p>
      <w:pPr>
        <w:spacing w:after="0" w:line="6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6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For more information, please see “About This Prospectus” and “Plan of Distribution” in this prospectus. No securities may be sold without delivery of this prospectus and the applicable prospectus supplement describing the method and terms of the offering of the securities.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Class A common stock is listed on the Nasdaq Global Market under the symbol “ACMR”.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173355</wp:posOffset>
            </wp:positionV>
            <wp:extent cx="1449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146685</wp:posOffset>
            </wp:positionV>
            <wp:extent cx="1449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700" w:type="dxa"/>
            <w:vAlign w:val="bottom"/>
            <w:gridSpan w:val="5"/>
          </w:tcPr>
          <w:p>
            <w:pPr>
              <w:ind w:left="9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gridSpan w:val="9"/>
            <w:shd w:val="clear" w:color="auto" w:fill="CCEEFF"/>
          </w:tcPr>
          <w:p>
            <w:pPr>
              <w:spacing w:after="0" w:line="189"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About This Prospectus</w:t>
              </w:r>
            </w:hyperlink>
          </w:p>
        </w:tc>
        <w:tc>
          <w:tcPr>
            <w:tcW w:w="1220" w:type="dxa"/>
            <w:vAlign w:val="bottom"/>
            <w:gridSpan w:val="4"/>
            <w:shd w:val="clear" w:color="auto" w:fill="CCEEFF"/>
          </w:tcPr>
          <w:p>
            <w:pPr>
              <w:spacing w:after="0"/>
              <w:rPr>
                <w:sz w:val="16"/>
                <w:szCs w:val="16"/>
                <w:color w:val="auto"/>
              </w:rPr>
            </w:pPr>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tcPr>
          <w:p>
            <w:pPr>
              <w:spacing w:after="0" w:line="189"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Where You Can Find More Information</w:t>
              </w:r>
            </w:hyperlink>
          </w:p>
        </w:tc>
        <w:tc>
          <w:tcPr>
            <w:tcW w:w="6600" w:type="dxa"/>
            <w:vAlign w:val="bottom"/>
            <w:gridSpan w:val="4"/>
          </w:tcPr>
          <w:p>
            <w:pPr>
              <w:jc w:val="right"/>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shd w:val="clear" w:color="auto" w:fill="CCEEFF"/>
          </w:tcPr>
          <w:p>
            <w:pPr>
              <w:spacing w:after="0" w:line="189"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About Our Company</w:t>
              </w:r>
            </w:hyperlink>
          </w:p>
        </w:tc>
        <w:tc>
          <w:tcPr>
            <w:tcW w:w="1340" w:type="dxa"/>
            <w:vAlign w:val="bottom"/>
            <w:gridSpan w:val="5"/>
            <w:shd w:val="clear" w:color="auto" w:fill="CCEEFF"/>
          </w:tcPr>
          <w:p>
            <w:pPr>
              <w:spacing w:after="0"/>
              <w:rPr>
                <w:sz w:val="16"/>
                <w:szCs w:val="16"/>
                <w:color w:val="auto"/>
              </w:rPr>
            </w:pPr>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340" w:type="dxa"/>
            <w:vAlign w:val="bottom"/>
            <w:gridSpan w:val="5"/>
          </w:tcPr>
          <w:p>
            <w:pPr>
              <w:spacing w:after="0"/>
              <w:rPr>
                <w:sz w:val="16"/>
                <w:szCs w:val="16"/>
                <w:color w:val="auto"/>
              </w:rPr>
            </w:pPr>
          </w:p>
        </w:tc>
        <w:tc>
          <w:tcPr>
            <w:tcW w:w="6600" w:type="dxa"/>
            <w:vAlign w:val="bottom"/>
            <w:gridSpan w:val="4"/>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6600" w:type="dxa"/>
            <w:vAlign w:val="bottom"/>
            <w:gridSpan w:val="4"/>
          </w:tcPr>
          <w:p>
            <w:pPr>
              <w:jc w:val="right"/>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60" w:type="dxa"/>
            <w:vAlign w:val="bottom"/>
            <w:gridSpan w:val="12"/>
            <w:shd w:val="clear" w:color="auto" w:fill="CCEEFF"/>
          </w:tcPr>
          <w:p>
            <w:pPr>
              <w:spacing w:after="0" w:line="189"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Description of Debt Securities</w:t>
              </w:r>
            </w:hyperlink>
          </w:p>
        </w:tc>
        <w:tc>
          <w:tcPr>
            <w:tcW w:w="680" w:type="dxa"/>
            <w:vAlign w:val="bottom"/>
            <w:shd w:val="clear" w:color="auto" w:fill="CCEEFF"/>
          </w:tcPr>
          <w:p>
            <w:pPr>
              <w:spacing w:after="0"/>
              <w:rPr>
                <w:sz w:val="16"/>
                <w:szCs w:val="16"/>
                <w:color w:val="auto"/>
              </w:rPr>
            </w:pPr>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60" w:type="dxa"/>
            <w:vAlign w:val="bottom"/>
            <w:gridSpan w:val="12"/>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Warrants</w:t>
              </w:r>
            </w:hyperlink>
          </w:p>
        </w:tc>
        <w:tc>
          <w:tcPr>
            <w:tcW w:w="680" w:type="dxa"/>
            <w:vAlign w:val="bottom"/>
          </w:tcPr>
          <w:p>
            <w:pPr>
              <w:spacing w:after="0"/>
              <w:rPr>
                <w:sz w:val="16"/>
                <w:szCs w:val="16"/>
                <w:color w:val="auto"/>
              </w:rPr>
            </w:pPr>
          </w:p>
        </w:tc>
        <w:tc>
          <w:tcPr>
            <w:tcW w:w="6600" w:type="dxa"/>
            <w:vAlign w:val="bottom"/>
            <w:gridSpan w:val="4"/>
          </w:tcPr>
          <w:p>
            <w:pPr>
              <w:jc w:val="right"/>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18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Units</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19</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gridSpan w:val="7"/>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Global Securities</w:t>
              </w:r>
            </w:hyperlink>
          </w:p>
        </w:tc>
        <w:tc>
          <w:tcPr>
            <w:tcW w:w="1400" w:type="dxa"/>
            <w:vAlign w:val="bottom"/>
            <w:tcBorders>
              <w:top w:val="single" w:sz="8" w:color="CCEEFF"/>
            </w:tcBorders>
            <w:gridSpan w:val="6"/>
          </w:tcPr>
          <w:p>
            <w:pPr>
              <w:spacing w:after="0"/>
              <w:rPr>
                <w:sz w:val="16"/>
                <w:szCs w:val="16"/>
                <w:color w:val="auto"/>
              </w:rPr>
            </w:pPr>
          </w:p>
        </w:tc>
        <w:tc>
          <w:tcPr>
            <w:tcW w:w="642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20</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24</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gridSpan w:val="6"/>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1440" w:type="dxa"/>
            <w:vAlign w:val="bottom"/>
            <w:tcBorders>
              <w:top w:val="single" w:sz="8" w:color="CCEEFF"/>
            </w:tcBorders>
            <w:gridSpan w:val="7"/>
          </w:tcPr>
          <w:p>
            <w:pPr>
              <w:spacing w:after="0"/>
              <w:rPr>
                <w:sz w:val="16"/>
                <w:szCs w:val="16"/>
                <w:color w:val="auto"/>
              </w:rPr>
            </w:pPr>
          </w:p>
        </w:tc>
        <w:tc>
          <w:tcPr>
            <w:tcW w:w="642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25</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25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using a “shelf” registration process. By using a shelf registration statement, we may sell securities from time to time in one or more offerings of up to a total of $100,000,000,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75"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estimates and projections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8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References in this prospectus to “our company,” “our,” “us,” “we” and similar terms refer to ACM Research, Inc. (including its predecessor prior to its redomestication from California to Delaware in November 2016) and not, unless the context otherwise requires, subsidiaries of ACM Research, Inc.</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Our logo design is one of our trademarks. This prospectus also includes trademarks, tradenames, and service marks that are the property of other organizations. For convenience, our logo appears in this prospectus without the ™ symbol, but those uses are not intended to indicate that we will not assert, to the fullest extent under applicable law, our rights to this trademark.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about issuers, such as us, who file electronically with the SEC.</w:t>
      </w:r>
    </w:p>
    <w:p>
      <w:pPr>
        <w:spacing w:after="0" w:line="70"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www.acmrcsh.com</w:t>
      </w:r>
      <w:r>
        <w:rPr>
          <w:rFonts w:ascii="Arial" w:cs="Arial" w:eastAsia="Arial" w:hAnsi="Arial"/>
          <w:sz w:val="16"/>
          <w:szCs w:val="16"/>
          <w:color w:val="auto"/>
        </w:rPr>
        <w:t>. The information on our website, however, is not, and should not be deemed to be, a part of this prospectus or any prospectus supplement. We have included our website address as an inactive textual reference only.</w:t>
      </w:r>
    </w:p>
    <w:p>
      <w:pPr>
        <w:spacing w:after="0" w:line="1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incorporate by reference our documents listed below and any future filings made by us with the SEC under Section 13(a), 13(c), 14 or 15(d) of the Securities Exchange Act of 1934, or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 2.02 or 7.01 of Form 8-K or related exhibits furnished pursuant to Item 9.01 of Form 8-K.</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62" w:lineRule="exact"/>
        <w:rPr>
          <w:sz w:val="20"/>
          <w:szCs w:val="20"/>
          <w:color w:val="auto"/>
        </w:rPr>
      </w:pPr>
    </w:p>
    <w:p>
      <w:pPr>
        <w:ind w:left="700" w:hanging="356"/>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year ended December 31, 2017, filed with the SEC on </w:t>
      </w:r>
      <w:hyperlink r:id="rId62">
        <w:r>
          <w:rPr>
            <w:rFonts w:ascii="Arial" w:cs="Arial" w:eastAsia="Arial" w:hAnsi="Arial"/>
            <w:sz w:val="17"/>
            <w:szCs w:val="17"/>
            <w:u w:val="single" w:color="auto"/>
            <w:color w:val="0000EE"/>
          </w:rPr>
          <w:t>March 23, 2018</w:t>
        </w:r>
      </w:hyperlink>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15"/>
        </w:numPr>
        <w:rPr>
          <w:rFonts w:ascii="Arial" w:cs="Arial" w:eastAsia="Arial" w:hAnsi="Arial"/>
          <w:sz w:val="18"/>
          <w:szCs w:val="18"/>
          <w:color w:val="0000EE"/>
        </w:rPr>
      </w:pPr>
      <w:hyperlink r:id="rId62">
        <w:r>
          <w:rPr>
            <w:rFonts w:ascii="Arial" w:cs="Arial" w:eastAsia="Arial" w:hAnsi="Arial"/>
            <w:sz w:val="18"/>
            <w:szCs w:val="18"/>
            <w:color w:val="auto"/>
          </w:rPr>
          <w:t xml:space="preserve">the information specifically incorporated by reference into our Annual Report on Form 10-K for the year ended </w:t>
        </w:r>
        <w:r>
          <w:rPr>
            <w:rFonts w:ascii="Arial" w:cs="Arial" w:eastAsia="Arial" w:hAnsi="Arial"/>
            <w:sz w:val="18"/>
            <w:szCs w:val="18"/>
            <w:u w:val="single" w:color="auto"/>
            <w:color w:val="0000EE"/>
          </w:rPr>
          <w:t>December</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31, 2017</w:t>
        </w:r>
        <w:r>
          <w:rPr>
            <w:rFonts w:ascii="Arial" w:cs="Arial" w:eastAsia="Arial" w:hAnsi="Arial"/>
            <w:sz w:val="18"/>
            <w:szCs w:val="18"/>
            <w:color w:val="000000"/>
          </w:rPr>
          <w:t>, from our Definitive Proxy Statement on Schedule 14A, filed with the SEC on</w:t>
        </w:r>
        <w:r>
          <w:rPr>
            <w:rFonts w:ascii="Arial" w:cs="Arial" w:eastAsia="Arial" w:hAnsi="Arial"/>
            <w:sz w:val="18"/>
            <w:szCs w:val="18"/>
            <w:color w:val="0000EE"/>
          </w:rPr>
          <w:t xml:space="preserve"> </w:t>
        </w:r>
      </w:hyperlink>
      <w:hyperlink r:id="rId63">
        <w:r>
          <w:rPr>
            <w:rFonts w:ascii="Arial" w:cs="Arial" w:eastAsia="Arial" w:hAnsi="Arial"/>
            <w:sz w:val="18"/>
            <w:szCs w:val="18"/>
            <w:u w:val="single" w:color="auto"/>
            <w:color w:val="0000EE"/>
          </w:rPr>
          <w:t>May 4, 2018</w:t>
        </w:r>
      </w:hyperlink>
      <w:hyperlink r:id="rId62">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jc w:val="both"/>
        <w:ind w:left="700" w:hanging="356"/>
        <w:spacing w:after="0" w:line="264" w:lineRule="auto"/>
        <w:tabs>
          <w:tab w:leader="none" w:pos="700" w:val="left"/>
        </w:tabs>
        <w:numPr>
          <w:ilvl w:val="0"/>
          <w:numId w:val="15"/>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as amended, for the quarters ended March 31, 2018, June 30, 2018 and September </w:t>
      </w:r>
      <w:hyperlink r:id="rId64">
        <w:r>
          <w:rPr>
            <w:rFonts w:ascii="Arial" w:cs="Arial" w:eastAsia="Arial" w:hAnsi="Arial"/>
            <w:sz w:val="18"/>
            <w:szCs w:val="18"/>
            <w:color w:val="auto"/>
          </w:rPr>
          <w:t xml:space="preserve">30, 2018, filed with the SEC on </w:t>
        </w:r>
        <w:r>
          <w:rPr>
            <w:rFonts w:ascii="Arial" w:cs="Arial" w:eastAsia="Arial" w:hAnsi="Arial"/>
            <w:sz w:val="18"/>
            <w:szCs w:val="18"/>
            <w:u w:val="single" w:color="auto"/>
            <w:color w:val="0000EE"/>
          </w:rPr>
          <w:t>May 14, 2018</w:t>
        </w:r>
        <w:r>
          <w:rPr>
            <w:rFonts w:ascii="Arial" w:cs="Arial" w:eastAsia="Arial" w:hAnsi="Arial"/>
            <w:sz w:val="18"/>
            <w:szCs w:val="18"/>
            <w:color w:val="auto"/>
          </w:rPr>
          <w:t xml:space="preserve"> (as amended on </w:t>
        </w:r>
        <w:r>
          <w:rPr>
            <w:rFonts w:ascii="Arial" w:cs="Arial" w:eastAsia="Arial" w:hAnsi="Arial"/>
            <w:sz w:val="18"/>
            <w:szCs w:val="18"/>
            <w:u w:val="single" w:color="auto"/>
            <w:color w:val="0000EE"/>
          </w:rPr>
          <w:t>October 15,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9, 2018</w:t>
        </w:r>
        <w:r>
          <w:rPr>
            <w:rFonts w:ascii="Arial" w:cs="Arial" w:eastAsia="Arial" w:hAnsi="Arial"/>
            <w:sz w:val="18"/>
            <w:szCs w:val="18"/>
            <w:color w:val="auto"/>
          </w:rPr>
          <w:t xml:space="preserve"> (as amended on </w:t>
        </w:r>
        <w:r>
          <w:rPr>
            <w:rFonts w:ascii="Arial" w:cs="Arial" w:eastAsia="Arial" w:hAnsi="Arial"/>
            <w:sz w:val="18"/>
            <w:szCs w:val="18"/>
            <w:u w:val="single" w:color="auto"/>
            <w:color w:val="0000EE"/>
          </w:rPr>
          <w:t>October</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15, 2018</w:t>
        </w:r>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November 14, 2018</w:t>
        </w:r>
      </w:hyperlink>
      <w:hyperlink r:id="rId64">
        <w:r>
          <w:rPr>
            <w:rFonts w:ascii="Arial" w:cs="Arial" w:eastAsia="Arial" w:hAnsi="Arial"/>
            <w:sz w:val="18"/>
            <w:szCs w:val="18"/>
            <w:color w:val="000000"/>
          </w:rPr>
          <w:t>, respectively; and</w:t>
        </w:r>
      </w:hyperlink>
    </w:p>
    <w:p>
      <w:pPr>
        <w:spacing w:after="0" w:line="73" w:lineRule="exact"/>
        <w:rPr>
          <w:rFonts w:ascii="Arial" w:cs="Arial" w:eastAsia="Arial" w:hAnsi="Arial"/>
          <w:sz w:val="18"/>
          <w:szCs w:val="18"/>
          <w:color w:val="0000EE"/>
        </w:rPr>
      </w:pPr>
    </w:p>
    <w:p>
      <w:pPr>
        <w:ind w:left="70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6">
        <w:r>
          <w:rPr>
            <w:rFonts w:ascii="Arial" w:cs="Arial" w:eastAsia="Arial" w:hAnsi="Arial"/>
            <w:sz w:val="18"/>
            <w:szCs w:val="18"/>
            <w:u w:val="single" w:color="auto"/>
            <w:color w:val="0000EE"/>
          </w:rPr>
          <w:t>January 16, 2018</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January 22, 2018</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May 1, 2018</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June 20, 2018</w:t>
        </w:r>
      </w:hyperlink>
      <w:r>
        <w:rPr>
          <w:rFonts w:ascii="Arial" w:cs="Arial" w:eastAsia="Arial" w:hAnsi="Arial"/>
          <w:sz w:val="18"/>
          <w:szCs w:val="18"/>
          <w:color w:val="auto"/>
        </w:rPr>
        <w:t xml:space="preserve"> and </w:t>
      </w:r>
      <w:hyperlink r:id="rId70">
        <w:r>
          <w:rPr>
            <w:rFonts w:ascii="Arial" w:cs="Arial" w:eastAsia="Arial" w:hAnsi="Arial"/>
            <w:sz w:val="18"/>
            <w:szCs w:val="18"/>
            <w:u w:val="single" w:color="auto"/>
            <w:color w:val="0000EE"/>
          </w:rPr>
          <w:t>July 3, 2018</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Fremont, California</w:t>
      </w:r>
    </w:p>
    <w:p>
      <w:pPr>
        <w:spacing w:after="0" w:line="9" w:lineRule="exact"/>
        <w:rPr>
          <w:sz w:val="20"/>
          <w:szCs w:val="20"/>
          <w:color w:val="auto"/>
        </w:rPr>
      </w:pPr>
    </w:p>
    <w:p>
      <w:pPr>
        <w:ind w:left="4640" w:hanging="428"/>
        <w:spacing w:after="0"/>
        <w:tabs>
          <w:tab w:leader="none" w:pos="4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445-3700</w:t>
      </w:r>
    </w:p>
    <w:p>
      <w:pPr>
        <w:spacing w:after="0" w:line="9" w:lineRule="exact"/>
        <w:rPr>
          <w:rFonts w:ascii="Arial" w:cs="Arial" w:eastAsia="Arial" w:hAnsi="Arial"/>
          <w:sz w:val="18"/>
          <w:szCs w:val="18"/>
          <w:color w:val="auto"/>
        </w:rPr>
      </w:pPr>
    </w:p>
    <w:p>
      <w:pPr>
        <w:ind w:left="37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0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 or any accompanying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OUR COMPANY</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and our subsidiaries, primarily develop, manufacture and sell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73"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We incorporated in California in January 1998 and redomesticated in Delaware in November 2016. Our headquarters are located at 42307 Osgood Road, Suite I, Fremont, California 94539, where our telephone number is (510) 445-3700.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Before acquiring any of such securities, you should carefully consider the risk factors incorporated by reference to our most recent Annual Report on Form 10-K and any subsequent Quarterly Reports on Form 10-Q or Current Reports on Form 8-K filed by us, and all other information contained or incorporated by reference into this prospectus, as updated by our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w:t>
      </w:r>
    </w:p>
    <w:p>
      <w:pPr>
        <w:spacing w:after="0" w:line="16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 of securities as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As of December 1, 2018, our authorized capital stock consisted of 50,000,000 shares of Class A common stock, $0.0001 par value per share, 2,409,738 shares of Class B common stock, $0.0001 par value per share, and 10,000,000 shares of preferred stock, $0.0001 par value per share. Class A common stock and Class B common stock are referred to collectively as common stock.</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following summary describes our capital stock, including material provisions of our charter, our bylaws and Delaware law. Because the following is only a summary, it does not contain all of the information that may be important to you. For a complete description, you should refer to our charter and bylaws, copies of which are incorporated by reference as exhibits to the registration statement of which this prospectus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Outstanding Shares and Options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1, 2018, there were:</w:t>
      </w:r>
    </w:p>
    <w:p>
      <w:pPr>
        <w:spacing w:after="0" w:line="117" w:lineRule="exact"/>
        <w:rPr>
          <w:sz w:val="20"/>
          <w:szCs w:val="20"/>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14,085,315 shares of Class A common stock outstanding, held of record by 88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3,739,503 shares of Class A common stock issuable upon exercise of outstanding stock options;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1,918,423 shares of Class B common stock outstanding, held of record by 35 stockholders.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Authorized but unissued shares of Class B common stock are not available for reissuance. 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Except as otherwise required by Delaware law, at every annual or special meeting of stockholders, holders of Class B common stock are entitled to 20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80" w:lineRule="exact"/>
        <w:rPr>
          <w:sz w:val="20"/>
          <w:szCs w:val="20"/>
          <w:color w:val="auto"/>
        </w:rPr>
      </w:pPr>
    </w:p>
    <w:p>
      <w:pPr>
        <w:jc w:val="both"/>
        <w:ind w:left="70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were to seek to declare a dividend or distribution that would be disparate as between the two classes.</w:t>
      </w:r>
    </w:p>
    <w:p>
      <w:pPr>
        <w:spacing w:after="0" w:line="117"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color w:val="auto"/>
        </w:rPr>
        <w:t>Stockholders do not have the ability to cumulate votes for the election of directors. Our charter and bylaws that will be in effect upon completion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(a) the election of the holders of a majority of the then outstanding shares of Class B common stock or (b) on the first December 31 that occurs more than five years after the date of this prospectus if the October Market Cap with respect to the month of October immediately preceding such December 31 exceeds $1.0 billion, provided that the conversion provided by this clause (b) shall not apply and no automatic conversion of Class B common stock into Class A common stock will ever occur pursuant to this clause (b) if the October Market Cap for the month of October immediately preceding a December 31 exceeds $1.0 billion prior to the fifth anniversary of the date of this prospectus. For purposes of this paragraph,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 Once converted or transferred and converted into Class A common stock, shares of Class B common stock will not be reissued.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Rights and Preferences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Under our registration rights agreement with certain of our stockholders, based on the number of shares outstanding as of December 1, 2018, stockholders, or their transferees, have the right, under specified circumstances, to require us to register from time to time under the Securities Act of 1933, or the Securities Act, up to 2,950,697 shares of Class A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following description of the terms of the registration rights agreement is intended as a summary only and is qualified in its entirety by reference to the registration rights agreement filed with the SEC on and is incorporated by reference as an exhibit to the registration statement of which this prospectus is a part.</w:t>
      </w:r>
    </w:p>
    <w:p>
      <w:pPr>
        <w:spacing w:after="0" w:line="73" w:lineRule="exact"/>
        <w:rPr>
          <w:sz w:val="20"/>
          <w:szCs w:val="20"/>
          <w:color w:val="auto"/>
        </w:rPr>
      </w:pPr>
    </w:p>
    <w:p>
      <w:pPr>
        <w:jc w:val="both"/>
        <w:ind w:left="700" w:hanging="356"/>
        <w:spacing w:after="0" w:line="287"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Demand Registration Rights</w:t>
      </w:r>
      <w:r>
        <w:rPr>
          <w:rFonts w:ascii="Arial" w:cs="Arial" w:eastAsia="Arial" w:hAnsi="Arial"/>
          <w:sz w:val="16"/>
          <w:szCs w:val="16"/>
          <w:color w:val="auto"/>
        </w:rPr>
        <w:t>. Any time at least 90 days after the date of this prospectus, on no more than four occasions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no more than one occasion in any six-month period, Xinxin (Hongkong) Capital Co., Limited and Victorious Way Limited will have the right to request that we register with the SEC (a) on a registration statement on Form S-1, (i) all or a portion of the shares registrable under the registration rights agreement reasonably anticipated to have an aggregate offering price of at least $7,500,000 or (ii) all of the registrable shares then held by Xinxin (Hongkong) Capital Co., Limited and Victorious Way Limited or (b) on a registration statement on Form S-3, (i) all or a portion of the shares registrable under the registration rights agreement reasonably anticipated to have an aggregate offering price of at least $3,750,000 or (ii) all of the registrable shares then held by Xinxin (Hongkong) Capital Co., Limited and Victorious Way Limited. Following such a request, the other holders of registrable shares will have the right to request that we include in such registration statement all or a portion of their registrable shares. Such demand registration rights are held by Xinxin (Hongkong) Capital Co., Limited and Victorious Way Limited and granting demand registration rights to any other holders will require the consent of Xinxin (Hongkong) Capital Co., Limited and Victorious Way Limited.</w:t>
      </w:r>
    </w:p>
    <w:p>
      <w:pPr>
        <w:spacing w:after="0" w:line="60"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Incidental Registration Rights</w:t>
      </w:r>
      <w:r>
        <w:rPr>
          <w:rFonts w:ascii="Arial" w:cs="Arial" w:eastAsia="Arial" w:hAnsi="Arial"/>
          <w:sz w:val="18"/>
          <w:szCs w:val="18"/>
          <w:color w:val="auto"/>
        </w:rPr>
        <w:t>. If we propose to register shares of Class A common stock under the Securities Act on a</w:t>
      </w:r>
      <w:r>
        <w:rPr>
          <w:rFonts w:ascii="Arial" w:cs="Arial" w:eastAsia="Arial" w:hAnsi="Arial"/>
          <w:sz w:val="18"/>
          <w:szCs w:val="18"/>
          <w:i w:val="1"/>
          <w:iCs w:val="1"/>
          <w:color w:val="auto"/>
        </w:rPr>
        <w:t xml:space="preserve"> </w:t>
      </w:r>
      <w:r>
        <w:rPr>
          <w:rFonts w:ascii="Arial" w:cs="Arial" w:eastAsia="Arial" w:hAnsi="Arial"/>
          <w:sz w:val="18"/>
          <w:szCs w:val="18"/>
          <w:color w:val="auto"/>
        </w:rPr>
        <w:t>form that may be used for the registration of eligible shares, the holders may request that we register all or a portion of the eligible shares they held by them.</w:t>
      </w:r>
    </w:p>
    <w:p>
      <w:pPr>
        <w:spacing w:after="0" w:line="7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6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completed.</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For further information on our registration rights agreement, you should refer to second amended and restated registration rights agreement, a copy of which is incorporated by reference as an exhibit to the registration statement of which this prospectus is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3" w:lineRule="exact"/>
        <w:rPr>
          <w:sz w:val="20"/>
          <w:szCs w:val="20"/>
          <w:color w:val="auto"/>
        </w:rPr>
      </w:pPr>
    </w:p>
    <w:p>
      <w:pPr>
        <w:ind w:left="70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6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and Bylaw Provisions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73" w:lineRule="exact"/>
        <w:rPr>
          <w:sz w:val="20"/>
          <w:szCs w:val="20"/>
          <w:color w:val="auto"/>
        </w:rPr>
      </w:pPr>
    </w:p>
    <w:p>
      <w:pPr>
        <w:jc w:val="both"/>
        <w:ind w:left="700" w:right="20" w:hanging="356"/>
        <w:spacing w:after="0" w:line="297"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Separate Class B Vote for Certain Transactions</w:t>
      </w:r>
      <w:r>
        <w:rPr>
          <w:rFonts w:ascii="Arial" w:cs="Arial" w:eastAsia="Arial" w:hAnsi="Arial"/>
          <w:sz w:val="16"/>
          <w:szCs w:val="16"/>
          <w:color w:val="auto"/>
        </w:rPr>
        <w:t>. Until the first date on which the outstanding shares of Class B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represent less than 35% 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50" w:lineRule="exact"/>
        <w:rPr>
          <w:rFonts w:ascii="Arial" w:cs="Arial" w:eastAsia="Arial" w:hAnsi="Arial"/>
          <w:sz w:val="16"/>
          <w:szCs w:val="16"/>
          <w:color w:val="auto"/>
        </w:rPr>
      </w:pPr>
    </w:p>
    <w:p>
      <w:pPr>
        <w:jc w:val="both"/>
        <w:ind w:left="700" w:right="20" w:hanging="356"/>
        <w:spacing w:after="0" w:line="25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Dual Class Stoc</w:t>
      </w:r>
      <w:r>
        <w:rPr>
          <w:rFonts w:ascii="Arial" w:cs="Arial" w:eastAsia="Arial" w:hAnsi="Arial"/>
          <w:sz w:val="18"/>
          <w:szCs w:val="18"/>
          <w:color w:val="auto"/>
        </w:rPr>
        <w:t>k. As described above in “—Common Stock—Voting Rights,” our charter provides for a dual class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structure, 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80"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Supermajority Approvals</w:t>
      </w:r>
      <w:r>
        <w:rPr>
          <w:rFonts w:ascii="Arial" w:cs="Arial" w:eastAsia="Arial" w:hAnsi="Arial"/>
          <w:sz w:val="18"/>
          <w:szCs w:val="18"/>
          <w:color w:val="auto"/>
        </w:rPr>
        <w:t>. Our charter and bylaws provide that when the outstanding shares of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less than a majority of 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80" w:lineRule="exact"/>
        <w:rPr>
          <w:rFonts w:ascii="Arial" w:cs="Arial" w:eastAsia="Arial" w:hAnsi="Arial"/>
          <w:sz w:val="18"/>
          <w:szCs w:val="18"/>
          <w:color w:val="auto"/>
        </w:rPr>
      </w:pPr>
    </w:p>
    <w:p>
      <w:pPr>
        <w:jc w:val="both"/>
        <w:ind w:left="700" w:right="20" w:hanging="356"/>
        <w:spacing w:after="0" w:line="271"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charter and bylaws provide that stockholders may fill vacant directorships.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shares of Class B 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70" w:lineRule="exact"/>
        <w:rPr>
          <w:rFonts w:ascii="Arial" w:cs="Arial" w:eastAsia="Arial" w:hAnsi="Arial"/>
          <w:sz w:val="17"/>
          <w:szCs w:val="17"/>
          <w:color w:val="auto"/>
        </w:rPr>
      </w:pPr>
    </w:p>
    <w:p>
      <w:pPr>
        <w:jc w:val="both"/>
        <w:ind w:left="700" w:hanging="356"/>
        <w:spacing w:after="0" w:line="255"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The board of directors is not currently classified. Our charter and bylaws provide that when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70"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Stockholder Action; Special Meeting of Stockholders</w:t>
      </w:r>
      <w:r>
        <w:rPr>
          <w:rFonts w:ascii="Arial" w:cs="Arial" w:eastAsia="Arial" w:hAnsi="Arial"/>
          <w:sz w:val="17"/>
          <w:szCs w:val="17"/>
          <w:color w:val="auto"/>
        </w:rPr>
        <w:t>. Our charter provides that stockholders will be able to take 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69" w:lineRule="exact"/>
        <w:rPr>
          <w:rFonts w:ascii="Arial" w:cs="Arial" w:eastAsia="Arial" w:hAnsi="Arial"/>
          <w:sz w:val="17"/>
          <w:szCs w:val="17"/>
          <w:color w:val="auto"/>
        </w:rPr>
      </w:pPr>
    </w:p>
    <w:p>
      <w:pPr>
        <w:jc w:val="both"/>
        <w:ind w:left="700" w:hanging="356"/>
        <w:spacing w:after="0" w:line="297"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Advance Notice Requirements for Stockholder Proposals and Director Nominations</w:t>
      </w:r>
      <w:r>
        <w:rPr>
          <w:rFonts w:ascii="Arial" w:cs="Arial" w:eastAsia="Arial" w:hAnsi="Arial"/>
          <w:sz w:val="16"/>
          <w:szCs w:val="16"/>
          <w:color w:val="auto"/>
        </w:rPr>
        <w:t>. Our bylaws provide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50" w:lineRule="exact"/>
        <w:rPr>
          <w:rFonts w:ascii="Arial" w:cs="Arial" w:eastAsia="Arial" w:hAnsi="Arial"/>
          <w:sz w:val="16"/>
          <w:szCs w:val="16"/>
          <w:color w:val="auto"/>
        </w:rPr>
      </w:pPr>
    </w:p>
    <w:p>
      <w:pPr>
        <w:jc w:val="both"/>
        <w:ind w:left="700" w:hanging="356"/>
        <w:spacing w:after="0" w:line="25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The board of directors has the authority, without further action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issue shares of 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Class A common stock is listed on the Nasdaq Global Market under the symbol “ACMR.”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We may offer debt securities that are senior or subordinated. We refer to senior debt securities and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8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will be either filed as exhibits to the registration statement of which this prospectus forms a part or filed as exhibits to a Current Report on Form 8-K and incorporated by reference in such registration statement.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Subordinated Debt Securities—Subordination.” The debt securities will be structurally subordinated to all existing and future indebtedness and other liabilities of our subsidiaries unless such subsidiaries expressly guarantee such debt securities. Because the debt securities will be our unsecured obligations, any secured debt or other secured obligations will be effectively senior to the debt securities to the extent of the value of the assets securing such debt or other obligations.</w:t>
      </w:r>
    </w:p>
    <w:p>
      <w:pPr>
        <w:spacing w:after="0" w:line="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2"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rate or rates, if any, at which the debt securities will bear interest, or the method of determining such rate or rates;</w:t>
      </w:r>
    </w:p>
    <w:p>
      <w:pPr>
        <w:spacing w:after="0" w:line="128"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definitive or global form or in definitive form only upon satisfaction of certain conditions;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When we refer to “principal” in this section with reference to debt securities, we are also referring to premium, if any.</w:t>
      </w:r>
    </w:p>
    <w:p>
      <w:pPr>
        <w:spacing w:after="0" w:line="1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85"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Holders may present debt securities for exchange and may present debt securities for transfer in the manner, at the places and subject to the restrictions set forth in the debt securities and the applicable prospectus supplement. We will provide those services without charge, although a holder may have to pay any tax or other governmental charge payable in connection with any exchange or transfer, as set forth in the indenture.</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that are treated as having been issued at a discount for U.S. federal income tax purposes will be described in the applicable prospectus supplement.</w:t>
      </w:r>
    </w:p>
    <w:p>
      <w:pPr>
        <w:spacing w:after="0" w:line="8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Senior Debt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secured by a lien on any of our or our subsidiaries’ property or capital stock, or restricting either us or any of our subsidiaries from entering into sale and leaseback transactions.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57"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and</w:t>
      </w:r>
    </w:p>
    <w:p>
      <w:pPr>
        <w:spacing w:after="0" w:line="140" w:lineRule="exact"/>
        <w:rPr>
          <w:rFonts w:ascii="Arial" w:cs="Arial" w:eastAsia="Arial" w:hAnsi="Arial"/>
          <w:sz w:val="16"/>
          <w:szCs w:val="16"/>
          <w:color w:val="auto"/>
        </w:rPr>
      </w:pPr>
    </w:p>
    <w:p>
      <w:pPr>
        <w:jc w:val="both"/>
        <w:ind w:left="700" w:hanging="356"/>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7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79"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 Protection in the Event of a Change in Control</w:t>
      </w:r>
    </w:p>
    <w:p>
      <w:pPr>
        <w:spacing w:after="0" w:line="117"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Events of Default</w:t>
      </w:r>
    </w:p>
    <w:p>
      <w:pPr>
        <w:spacing w:after="0" w:line="117"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Unless we indicate otherwise in a prospectus supplement with respect to a particular series of senior debt securities, the following are events of default under the senior indenture with respect to senior debt securities of each series:</w:t>
      </w:r>
    </w:p>
    <w:p>
      <w:pPr>
        <w:spacing w:after="0" w:line="38" w:lineRule="exact"/>
        <w:rPr>
          <w:sz w:val="20"/>
          <w:szCs w:val="20"/>
          <w:color w:val="auto"/>
        </w:rPr>
      </w:pPr>
    </w:p>
    <w:p>
      <w:pPr>
        <w:ind w:left="70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62"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73" w:lineRule="exact"/>
        <w:rPr>
          <w:rFonts w:ascii="Arial" w:cs="Arial" w:eastAsia="Arial" w:hAnsi="Arial"/>
          <w:sz w:val="18"/>
          <w:szCs w:val="18"/>
          <w:color w:val="auto"/>
        </w:rPr>
      </w:pPr>
    </w:p>
    <w:p>
      <w:pPr>
        <w:jc w:val="both"/>
        <w:ind w:left="700" w:hanging="356"/>
        <w:spacing w:after="0" w:line="279"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default in the performance of or breach of any of our covenants or agreements in the senior indenture applicable to senior debt securities of such series, other than a covenant breach that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senior debt securities as may be specified in the applicable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default by us under any other debt, including any other series of debt securities, is not a default under the senior indenture.</w:t>
      </w:r>
    </w:p>
    <w:p>
      <w:pPr>
        <w:spacing w:after="0" w:line="14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5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7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that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6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59"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indemnity; and</w:t>
      </w:r>
    </w:p>
    <w:p>
      <w:pPr>
        <w:spacing w:after="0" w:line="128" w:lineRule="exact"/>
        <w:rPr>
          <w:rFonts w:ascii="Arial" w:cs="Arial" w:eastAsia="Arial" w:hAnsi="Arial"/>
          <w:sz w:val="17"/>
          <w:szCs w:val="17"/>
          <w:color w:val="auto"/>
        </w:rPr>
      </w:pPr>
    </w:p>
    <w:p>
      <w:pPr>
        <w:ind w:left="70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6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Satisfaction and Discharge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can satisfy and discharge our obligations to holders of any series of debt securities if:</w:t>
      </w:r>
    </w:p>
    <w:p>
      <w:pPr>
        <w:spacing w:after="0" w:line="117" w:lineRule="exact"/>
        <w:rPr>
          <w:sz w:val="20"/>
          <w:szCs w:val="20"/>
          <w:color w:val="auto"/>
        </w:rPr>
      </w:pPr>
    </w:p>
    <w:p>
      <w:pPr>
        <w:ind w:left="700" w:right="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62" w:lineRule="exact"/>
        <w:rPr>
          <w:rFonts w:ascii="Arial" w:cs="Arial" w:eastAsia="Arial" w:hAnsi="Arial"/>
          <w:sz w:val="18"/>
          <w:szCs w:val="18"/>
          <w:color w:val="auto"/>
        </w:rPr>
      </w:pPr>
    </w:p>
    <w:p>
      <w:pPr>
        <w:jc w:val="both"/>
        <w:ind w:left="700" w:right="20" w:hanging="356"/>
        <w:spacing w:after="0" w:line="255"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or</w:t>
      </w:r>
    </w:p>
    <w:p>
      <w:pPr>
        <w:spacing w:after="0" w:line="85"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7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Defeasance</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Unless the applicable prospectus supplement provides otherwise, the following discussion of legal defeasance and covenant defeasance will apply to any series of debt securities issued under the indentures.</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u w:val="single" w:color="auto"/>
          <w:color w:val="auto"/>
        </w:rPr>
        <w:t>Legal Defeasance</w:t>
      </w:r>
      <w:r>
        <w:rPr>
          <w:rFonts w:ascii="Arial" w:cs="Arial" w:eastAsia="Arial" w:hAnsi="Arial"/>
          <w:sz w:val="18"/>
          <w:szCs w:val="18"/>
          <w:color w:val="auto"/>
        </w:rPr>
        <w:t>. We can legally release ourselves from any payment or other obligations on the debt securities of any series, a procedure known as legal defeasance, if certain conditions are met, including the following:</w:t>
      </w:r>
    </w:p>
    <w:p>
      <w:pPr>
        <w:spacing w:after="0" w:line="62" w:lineRule="exact"/>
        <w:rPr>
          <w:sz w:val="20"/>
          <w:szCs w:val="20"/>
          <w:color w:val="auto"/>
        </w:rPr>
      </w:pPr>
    </w:p>
    <w:p>
      <w:pPr>
        <w:jc w:val="both"/>
        <w:ind w:left="700" w:hanging="356"/>
        <w:spacing w:after="0" w:line="25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0" w:lineRule="exact"/>
        <w:rPr>
          <w:rFonts w:ascii="Arial" w:cs="Arial" w:eastAsia="Arial" w:hAnsi="Arial"/>
          <w:sz w:val="18"/>
          <w:szCs w:val="18"/>
          <w:color w:val="auto"/>
        </w:rPr>
      </w:pPr>
    </w:p>
    <w:p>
      <w:pPr>
        <w:jc w:val="both"/>
        <w:ind w:left="700" w:hanging="356"/>
        <w:spacing w:after="0" w:line="255"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5"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deliver to the trustee a legal opinion of our counsel confirming the tax law change or ruling described above.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6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u w:val="single" w:color="auto"/>
          <w:color w:val="auto"/>
        </w:rPr>
        <w:t>Covenant Defeasance</w:t>
      </w:r>
      <w:r>
        <w:rPr>
          <w:rFonts w:ascii="Arial" w:cs="Arial" w:eastAsia="Arial" w:hAnsi="Arial"/>
          <w:sz w:val="16"/>
          <w:szCs w:val="16"/>
          <w:color w:val="auto"/>
        </w:rPr>
        <w:t>. Without any change in current U.S. federal tax law, we can make the same type of deposit described above and be released from some of the covenants in the debt securities, a procedure known as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46" w:lineRule="exact"/>
        <w:rPr>
          <w:sz w:val="20"/>
          <w:szCs w:val="20"/>
          <w:color w:val="auto"/>
        </w:rPr>
      </w:pPr>
    </w:p>
    <w:p>
      <w:pPr>
        <w:jc w:val="both"/>
        <w:ind w:left="700" w:right="20" w:hanging="356"/>
        <w:spacing w:after="0" w:line="25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0"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73"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Modification and Waiver</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and the trustee may amend or supplement the senior indenture or the senior debt securities of any series without the consent of any holder to:</w:t>
      </w:r>
    </w:p>
    <w:p>
      <w:pPr>
        <w:spacing w:after="0" w:line="62"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convey, transfer, assign, mortgage or pledge any assets as security for the senior debt securities of one or more series;</w:t>
      </w:r>
    </w:p>
    <w:p>
      <w:pPr>
        <w:spacing w:after="0" w:line="140"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the senior indenture under the Trust Indenture Act of 1939;</w:t>
      </w:r>
    </w:p>
    <w:p>
      <w:pPr>
        <w:spacing w:after="0" w:line="62"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 of any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the forms or terms of the senior debt securities as permitted by the senior indenture;</w:t>
      </w:r>
    </w:p>
    <w:p>
      <w:pPr>
        <w:spacing w:after="0" w:line="117"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73" w:lineRule="exact"/>
        <w:rPr>
          <w:rFonts w:ascii="Arial" w:cs="Arial" w:eastAsia="Arial" w:hAnsi="Arial"/>
          <w:sz w:val="18"/>
          <w:szCs w:val="18"/>
          <w:color w:val="auto"/>
        </w:rPr>
      </w:pPr>
    </w:p>
    <w:p>
      <w:pPr>
        <w:jc w:val="both"/>
        <w:ind w:left="700" w:right="20" w:hanging="356"/>
        <w:spacing w:after="0" w:line="288"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add to, change or eliminate any of the provisions of the senior indenture in respect of one or more series of senior debt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addition, change or elimination shall (a) neither (1) apply to any senior debt security of any series created prior to the execution of such supplemental indenture and entitled to the benefit of such provision nor</w:t>
      </w:r>
    </w:p>
    <w:p>
      <w:pPr>
        <w:ind w:left="700" w:right="20"/>
        <w:spacing w:after="0" w:line="261" w:lineRule="auto"/>
        <w:rPr>
          <w:rFonts w:ascii="Arial" w:cs="Arial" w:eastAsia="Arial" w:hAnsi="Arial"/>
          <w:sz w:val="16"/>
          <w:szCs w:val="16"/>
          <w:color w:val="auto"/>
        </w:rPr>
      </w:pPr>
      <w:r>
        <w:rPr>
          <w:rFonts w:ascii="Arial" w:cs="Arial" w:eastAsia="Arial" w:hAnsi="Arial"/>
          <w:sz w:val="18"/>
          <w:szCs w:val="18"/>
          <w:color w:val="auto"/>
        </w:rPr>
        <w:t>(2) modify the rights of the holder of any such senior debt security with respect to such provision or (b) become effective only when there is no senior debt security described in the preceding clause (a)(1) outstanding;</w:t>
      </w:r>
    </w:p>
    <w:p>
      <w:pPr>
        <w:spacing w:after="0" w:line="75" w:lineRule="exact"/>
        <w:rPr>
          <w:rFonts w:ascii="Arial" w:cs="Arial" w:eastAsia="Arial" w:hAnsi="Arial"/>
          <w:sz w:val="16"/>
          <w:szCs w:val="16"/>
          <w:color w:val="auto"/>
        </w:rPr>
      </w:pPr>
    </w:p>
    <w:p>
      <w:pPr>
        <w:ind w:left="70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change to the senior debt securities of any series so long as no senior debt securities of such series are outstanding;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0"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62"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73"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Class A common stock or other property in accordance with the terms of the senior debt securities; or</w:t>
      </w:r>
    </w:p>
    <w:p>
      <w:pPr>
        <w:spacing w:after="0" w:line="62" w:lineRule="exact"/>
        <w:rPr>
          <w:rFonts w:ascii="Arial" w:cs="Arial" w:eastAsia="Arial" w:hAnsi="Arial"/>
          <w:sz w:val="18"/>
          <w:szCs w:val="18"/>
          <w:color w:val="auto"/>
        </w:rPr>
      </w:pPr>
    </w:p>
    <w:p>
      <w:pPr>
        <w:ind w:left="700" w:hanging="356"/>
        <w:spacing w:after="0" w:line="342"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 Personal Liability of Stockholders, Officers, Directors</w:t>
      </w:r>
    </w:p>
    <w:p>
      <w:pPr>
        <w:spacing w:after="0" w:line="11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Concerning the Trustee</w:t>
      </w:r>
    </w:p>
    <w:p>
      <w:pPr>
        <w:spacing w:after="0" w:line="11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4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senior indenture and the provisions of the Trust Indenture Act of 1939 incorporated by reference therein contain limitations on the rights of the trustee thereunder, should it become a creditor of ours or any of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of 1939), it must eliminate such conflict or resign.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Unclaimed Funds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senior indenture and the senior debt securities will be governed by, and construed in accordance with, the internal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Subordinated Debt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Similarity to Certain Terms of Senior Debt Securities</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Additional or different subordination terms may be specified in the prospectus supplement applicable to a particular series.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Subordination</w:t>
      </w:r>
    </w:p>
    <w:p>
      <w:pPr>
        <w:spacing w:after="0" w:line="11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5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73" w:lineRule="exact"/>
        <w:rPr>
          <w:sz w:val="20"/>
          <w:szCs w:val="20"/>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lease obligations that are capitalized on the books of that person in accordance with generally accepted accounting principles;</w:t>
      </w:r>
    </w:p>
    <w:p>
      <w:pPr>
        <w:spacing w:after="0" w:line="62" w:lineRule="exact"/>
        <w:rPr>
          <w:rFonts w:ascii="Arial" w:cs="Arial" w:eastAsia="Arial" w:hAnsi="Arial"/>
          <w:sz w:val="18"/>
          <w:szCs w:val="18"/>
          <w:color w:val="auto"/>
        </w:rPr>
      </w:pPr>
    </w:p>
    <w:p>
      <w:pPr>
        <w:jc w:val="both"/>
        <w:ind w:left="700" w:right="20" w:hanging="356"/>
        <w:spacing w:after="0" w:line="312"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line="308" w:lineRule="auto"/>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renewals, extensions or refunding of indebtedness of the kinds described in the first, second or fourth bullet point above and all renewals or extensions of leases of the kinds described in the third or fourth bullet point above;</w:t>
      </w:r>
    </w:p>
    <w:p>
      <w:pPr>
        <w:spacing w:after="0" w:line="3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may issue warrants for the purchase of shares of Class A common stock, shares of preferred stock or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7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62" w:lineRule="exact"/>
        <w:rPr>
          <w:sz w:val="20"/>
          <w:szCs w:val="20"/>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of Class A common stock or preferred stock purchasable upon the exercise of warrants to purchase such shares and the price at which such number of shares may be purchased upon such exercise;</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stated value and terms (including liquidation, dividend, conversion and voting rights) of the series of preferred stock purchasable upon exercise of warrants to purchase preferred stock;</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Class A common stock will be separately transferable;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equity warrants will not be entitled to:</w:t>
      </w:r>
    </w:p>
    <w:p>
      <w:pPr>
        <w:spacing w:after="0" w:line="117" w:lineRule="exact"/>
        <w:rPr>
          <w:sz w:val="20"/>
          <w:szCs w:val="20"/>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any rights as stockholders of Sienna.</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Each warrant will entitle its holder to purchase the principal amount of debt securities or the number of shares of preferred stock or Class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8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Class A common stock or preferred stock are exercised, the holders of the warrants will not have any rights of holders of the underlying Class A common stock or preferred stock, including any rights to receive dividends or payments upon any liquidation, dissolution or winding up of the Class A common stock or preferred stock, if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6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8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the following, as applicable:</w:t>
      </w:r>
    </w:p>
    <w:p>
      <w:pPr>
        <w:spacing w:after="0" w:line="62" w:lineRule="exact"/>
        <w:rPr>
          <w:sz w:val="20"/>
          <w:szCs w:val="20"/>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date, if any, on and after which the constituent securities comprising the units will be separately transferable;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117" w:lineRule="exact"/>
        <w:rPr>
          <w:sz w:val="20"/>
          <w:szCs w:val="20"/>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1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59"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the actual purchaser of a security, whom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58"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5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3"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7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if not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70"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5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62" w:lineRule="exact"/>
        <w:rPr>
          <w:sz w:val="20"/>
          <w:szCs w:val="20"/>
          <w:color w:val="auto"/>
        </w:rPr>
      </w:pPr>
    </w:p>
    <w:p>
      <w:pPr>
        <w:jc w:val="both"/>
        <w:ind w:left="700" w:hanging="356"/>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determine, in our sole discretion, not to have such securities represented by one or more global securities; or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then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 and Clearstream</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that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81"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3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7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7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73"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fixed prices, which may be changed;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73"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8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5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Any Class A common stock that we issue and sell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6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K&amp;L Gates LLP, Boston, Massachusetts, will pass upon certain legal matters relating to the issuance and sale of the securities offered hereby on our behalf. Additional legal matters may be passed upon for us or any underwriters, dealers or agents, by counsel that we will name in the applicable prospectus supplement.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BDO China Shu Lun Pan Certified Public Accountants LLP, our independent registered public accounting firm in the People’s Republic of China, has audited our consolidated financial statements at, and for the years ended, December 31, 2017 and 2016, as set forth in their report incorporated by reference herein. We have incorporated by reference herein the consolidated financial statements in reliance on said firm’s report, given on their authority as experts in accounting and auditing.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071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1113155</wp:posOffset>
            </wp:positionV>
            <wp:extent cx="1269365" cy="788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1269365" cy="78867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60"/>
        <w:spacing w:after="0"/>
        <w:rPr>
          <w:sz w:val="20"/>
          <w:szCs w:val="20"/>
          <w:color w:val="auto"/>
        </w:rPr>
      </w:pPr>
      <w:r>
        <w:rPr>
          <w:rFonts w:ascii="Arial" w:cs="Arial" w:eastAsia="Arial" w:hAnsi="Arial"/>
          <w:sz w:val="23"/>
          <w:szCs w:val="23"/>
          <w:b w:val="1"/>
          <w:bCs w:val="1"/>
          <w:color w:val="auto"/>
        </w:rPr>
        <w:t>$30,000,000</w:t>
      </w:r>
    </w:p>
    <w:p>
      <w:pPr>
        <w:spacing w:after="0" w:line="45" w:lineRule="exact"/>
        <w:rPr>
          <w:sz w:val="20"/>
          <w:szCs w:val="20"/>
          <w:color w:val="auto"/>
        </w:rPr>
      </w:pPr>
    </w:p>
    <w:p>
      <w:pPr>
        <w:jc w:val="center"/>
        <w:ind w:right="-260"/>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1082675</wp:posOffset>
            </wp:positionV>
            <wp:extent cx="21869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140"/>
        <w:spacing w:after="0"/>
        <w:rPr>
          <w:sz w:val="20"/>
          <w:szCs w:val="20"/>
          <w:color w:val="auto"/>
        </w:rPr>
      </w:pPr>
      <w:r>
        <w:rPr>
          <w:rFonts w:ascii="Arial" w:cs="Arial" w:eastAsia="Arial" w:hAnsi="Arial"/>
          <w:sz w:val="23"/>
          <w:szCs w:val="23"/>
          <w:b w:val="1"/>
          <w:bCs w:val="1"/>
          <w:color w:val="auto"/>
        </w:rPr>
        <w:t>PROSPECTUS SUPPLEMENT</w:t>
      </w:r>
    </w:p>
    <w:p>
      <w:pPr>
        <w:spacing w:after="0" w:line="45" w:lineRule="exact"/>
        <w:rPr>
          <w:sz w:val="20"/>
          <w:szCs w:val="20"/>
          <w:color w:val="auto"/>
        </w:rPr>
      </w:pPr>
    </w:p>
    <w:p>
      <w:pPr>
        <w:ind w:left="5040"/>
        <w:spacing w:after="0"/>
        <w:rPr>
          <w:sz w:val="20"/>
          <w:szCs w:val="20"/>
          <w:color w:val="auto"/>
        </w:rPr>
      </w:pPr>
      <w:r>
        <w:rPr>
          <w:rFonts w:ascii="Arial" w:cs="Arial" w:eastAsia="Arial" w:hAnsi="Arial"/>
          <w:sz w:val="23"/>
          <w:szCs w:val="23"/>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165100</wp:posOffset>
            </wp:positionV>
            <wp:extent cx="21869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60"/>
        <w:spacing w:after="0"/>
        <w:rPr>
          <w:sz w:val="20"/>
          <w:szCs w:val="20"/>
          <w:color w:val="auto"/>
        </w:rPr>
      </w:pPr>
      <w:r>
        <w:rPr>
          <w:rFonts w:ascii="Arial" w:cs="Arial" w:eastAsia="Arial" w:hAnsi="Arial"/>
          <w:sz w:val="20"/>
          <w:szCs w:val="20"/>
          <w:i w:val="1"/>
          <w:iCs w:val="1"/>
          <w:color w:val="auto"/>
        </w:rPr>
        <w:t>Joint Bookrunning Managers</w:t>
      </w:r>
    </w:p>
    <w:p>
      <w:pPr>
        <w:spacing w:after="0" w:line="36" w:lineRule="exact"/>
        <w:rPr>
          <w:sz w:val="20"/>
          <w:szCs w:val="20"/>
          <w:color w:val="auto"/>
        </w:rPr>
      </w:pPr>
    </w:p>
    <w:p>
      <w:pPr>
        <w:ind w:left="1840"/>
        <w:spacing w:after="0"/>
        <w:tabs>
          <w:tab w:leader="none" w:pos="5300" w:val="left"/>
        </w:tabs>
        <w:rPr>
          <w:sz w:val="20"/>
          <w:szCs w:val="20"/>
          <w:color w:val="auto"/>
        </w:rPr>
      </w:pPr>
      <w:r>
        <w:rPr>
          <w:rFonts w:ascii="Arial" w:cs="Arial" w:eastAsia="Arial" w:hAnsi="Arial"/>
          <w:sz w:val="35"/>
          <w:szCs w:val="35"/>
          <w:b w:val="1"/>
          <w:bCs w:val="1"/>
          <w:color w:val="auto"/>
        </w:rPr>
        <w:t>Stifel</w:t>
      </w:r>
      <w:r>
        <w:rPr>
          <w:sz w:val="20"/>
          <w:szCs w:val="20"/>
          <w:color w:val="auto"/>
        </w:rPr>
        <w:tab/>
      </w:r>
      <w:r>
        <w:rPr>
          <w:rFonts w:ascii="Arial" w:cs="Arial" w:eastAsia="Arial" w:hAnsi="Arial"/>
          <w:sz w:val="35"/>
          <w:szCs w:val="35"/>
          <w:b w:val="1"/>
          <w:bCs w:val="1"/>
          <w:color w:val="auto"/>
        </w:rPr>
        <w:t>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400685</wp:posOffset>
            </wp:positionV>
            <wp:extent cx="6071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701040</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279"/>
      </w:cols>
      <w:pgMar w:left="1180" w:top="27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lvl w:ilvl="1">
      <w:lvlJc w:val="left"/>
      <w:lvlText w:val="(%2)"/>
      <w:numFmt w:val="lowerRoman"/>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510"/>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510"/>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jpe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jpe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44" Type="http://schemas.openxmlformats.org/officeDocument/2006/relationships/hyperlink" Target="http://www.sec.gov/Archives/edgar/data/1680062/000165495419002737/acm_10k.htm" TargetMode="External"/><Relationship Id="rId45" Type="http://schemas.openxmlformats.org/officeDocument/2006/relationships/hyperlink" Target="http://www.sec.gov/Archives/edgar/data/1680062/000165495419006553/acm_10ka.htm" TargetMode="External"/><Relationship Id="rId46" Type="http://schemas.openxmlformats.org/officeDocument/2006/relationships/hyperlink" Target="http://www.sec.gov/Archives/edgar/data/1680062/000114036119008072/formdef14a.htm" TargetMode="External"/><Relationship Id="rId47" Type="http://schemas.openxmlformats.org/officeDocument/2006/relationships/hyperlink" Target="http://www.sec.gov/Archives/edgar/data/1680062/000165495419005926/acm_10q.htm" TargetMode="External"/><Relationship Id="rId48" Type="http://schemas.openxmlformats.org/officeDocument/2006/relationships/hyperlink" Target="http://www.sec.gov/Archives/edgar/data/1680062/000165495419009210/acmr_10q.htm" TargetMode="External"/><Relationship Id="rId49" Type="http://schemas.openxmlformats.org/officeDocument/2006/relationships/hyperlink" Target="http://www.sec.gov/Archives/edgar/data/1680062/000165495419007239/acmr-8k.htm" TargetMode="External"/><Relationship Id="rId50" Type="http://schemas.openxmlformats.org/officeDocument/2006/relationships/hyperlink" Target="http://www.sec.gov/Archives/edgar/data/1680062/000165495419007394/acmr_8k.htm" TargetMode="External"/><Relationship Id="rId51" Type="http://schemas.openxmlformats.org/officeDocument/2006/relationships/hyperlink" Target="http://www.sec.gov/Archives/edgar/data/1680062/000165495419007444/acmr_8k.htm" TargetMode="External"/><Relationship Id="rId52" Type="http://schemas.openxmlformats.org/officeDocument/2006/relationships/hyperlink" Target="http://www.sec.gov/Archives/edgar/data/1680062/000114036119014943/nc10003786x1_8k.htm" TargetMode="External"/><Relationship Id="rId62" Type="http://schemas.openxmlformats.org/officeDocument/2006/relationships/hyperlink" Target="http://www.sec.gov/Archives/edgar/data/1680062/000165495418002950/acmr_10k.htm" TargetMode="External"/><Relationship Id="rId63" Type="http://schemas.openxmlformats.org/officeDocument/2006/relationships/hyperlink" Target="http://www.sec.gov/Archives/edgar/data/1680062/000165495418004788/acm_def14a.htm" TargetMode="External"/><Relationship Id="rId64" Type="http://schemas.openxmlformats.org/officeDocument/2006/relationships/hyperlink" Target="http://www.sec.gov/Archives/edgar/data/1680062/000165495418011154/acmr_10qa.htm" TargetMode="External"/><Relationship Id="rId65" Type="http://schemas.openxmlformats.org/officeDocument/2006/relationships/hyperlink" Target="http://www.sec.gov/Archives/edgar/data/1680062/000165495418012716/acm_10q.htm" TargetMode="External"/><Relationship Id="rId66" Type="http://schemas.openxmlformats.org/officeDocument/2006/relationships/hyperlink" Target="http://www.sec.gov/Archives/edgar/data/1680062/000119312518011276/d640980d8k.htm" TargetMode="External"/><Relationship Id="rId67" Type="http://schemas.openxmlformats.org/officeDocument/2006/relationships/hyperlink" Target="http://www.sec.gov/Archives/edgar/data/1680062/000119312518016109/d486270d8k.htm" TargetMode="External"/><Relationship Id="rId68" Type="http://schemas.openxmlformats.org/officeDocument/2006/relationships/hyperlink" Target="http://www.sec.gov/Archives/edgar/data/1680062/000165495418004619/acm_8k.htm" TargetMode="External"/><Relationship Id="rId69" Type="http://schemas.openxmlformats.org/officeDocument/2006/relationships/hyperlink" Target="http://www.sec.gov/Archives/edgar/data/1680062/000165495418006793/acm_8k.htm" TargetMode="External"/><Relationship Id="rId70" Type="http://schemas.openxmlformats.org/officeDocument/2006/relationships/hyperlink" Target="http://www.sec.gov/Archives/edgar/data/1680062/000165495418007318/acmr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2019-12-20T15:43:48Z</dcterms:created>
  <dcterms:modified xsi:type="dcterms:W3CDTF">2019-12-20T15:43:48Z</dcterms:modified>
</cp:coreProperties>
</file>