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652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Chen Fuping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19"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423"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680" w:type="dxa"/>
            <w:vAlign w:val="bottom"/>
            <w:gridSpan w:val="8"/>
          </w:tcPr>
          <w:p>
            <w:pPr>
              <w:jc w:val="center"/>
              <w:ind w:right="4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13,500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13,500</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25.45</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12/30/2022</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13,500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03/03/2032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4, 2022, the reporting person was granted an option to purchase 30,000 shares of Class A Common Stock of the Issuer. The option vests and becomes exercisable based on the Issuer's satisfaction of certain performance criteria. On December 30, 2022, the Issuer confirmed that certain of the performance criteria were met, resulting in vesting of the option as to 13,500 shares.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Vice President, Sales-China of ACM Research (Shanghai), Inc., a subsidiary of the Issuer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01/04/2023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Fuping 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31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18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9184"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2023-01-04T17:11:49Z</dcterms:created>
  <dcterms:modified xsi:type="dcterms:W3CDTF">2023-01-04T17:11:49Z</dcterms:modified>
</cp:coreProperties>
</file>