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p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00" w:after="200"/>
        <w:jc w:val="both"/>
      </w:pPr>
      <w:hyperlink w:anchor="ia22e01e7fdae4b968e9b46967ef89c75_7">
        <w:r>
          <w:rPr>
            <w:rStyle w:val="InternetLink"/>
            <w:rFonts w:ascii="Times New Roman;serif" w:hAnsi="Times New Roman;serif"/>
            <w:b w:val="false"/>
            <w:i/>
            <w:color w:val="0000FF"/>
            <w:sz w:val="16"/>
            <w:u w:val="single"/>
            <w:shd w:fill="FFFFFF" w:val="clear"/>
          </w:rPr>
          <w:t>Table of Contents</w:t>
        </w:r>
      </w:hyperlink>
    </w:p>
    <w:p>
      <w:pPr>
        <w:pStyle w:val="TextBody"/>
        <w:bidi w:val="0"/>
        <w:spacing w:before="200" w:after="200"/>
        <w:jc w:val="both"/>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UNITED STATES SECURITIES AND EXCHANGE COMMISSION</w:t>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Washington, D.C. 20549</w:t>
      </w:r>
    </w:p>
    <w:p>
      <w:pPr>
        <w:pStyle w:val="TextBody"/>
        <w:bidi w:val="0"/>
        <w:spacing w:lineRule="auto" w:line="288" w:before="200" w:after="283"/>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FORM 10-Q</w:t>
      </w:r>
    </w:p>
    <w:p>
      <w:pPr>
        <w:pStyle w:val="TextBody"/>
        <w:bidi w:val="0"/>
        <w:spacing w:lineRule="auto" w:line="288" w:before="0" w:after="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0"/>
        <w:jc w:val="left"/>
      </w:pPr>
      <w:r>
        <w:rPr>
          <w:rFonts w:ascii="Times New Roman;serif" w:hAnsi="Times New Roman;serif"/>
          <w:b/>
          <w:color w:val="000000"/>
          <w:sz w:val="20"/>
          <w:shd w:fill="FFFFFF" w:val="clear"/>
        </w:rPr>
        <w:t xml:space="preserve">For the quarterly period ended </w:t>
      </w:r>
      <w:r>
        <w:rPr>
          <w:rFonts w:ascii="Times New Roman;serif" w:hAnsi="Times New Roman;serif"/>
          <w:b/>
          <w:color w:val="000000"/>
          <w:sz w:val="20"/>
        </w:rPr>
        <w:t>September 30, 2026</w:t>
      </w:r>
      <w:r>
        <w:rPr>
          <w:color w:val="000000"/>
          <w:shd w:fill="FFFFFF" w:val="clear"/>
        </w:rPr>
        <w:t xml:space="preserve"> </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For the transition period from _________ to _____________</w:t>
      </w:r>
    </w:p>
    <w:p>
      <w:pPr>
        <w:pStyle w:val="TextBody"/>
        <w:bidi w:val="0"/>
        <w:spacing w:lineRule="auto" w:line="288" w:before="12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Commission file number: 001-38273</w:t>
      </w:r>
    </w:p>
    <w:p>
      <w:pPr>
        <w:pStyle w:val="TextBody"/>
        <w:bidi w:val="0"/>
        <w:spacing w:before="120" w:after="283"/>
        <w:jc w:val="center"/>
      </w:pPr>
      <w:r>
        <w:drawing>
          <wp:inline distT="0" distB="0" distL="0" distR="0">
            <wp:extent cx="581025" cy="361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81025" cy="361950"/>
                    </a:xfrm>
                    <a:prstGeom prst="rect">
                      <a:avLst/>
                    </a:prstGeom>
                  </pic:spPr>
                </pic:pic>
              </a:graphicData>
            </a:graphic>
          </wp:inline>
        </w:drawing>
      </w:r>
      <w:bookmarkStart w:id="0" w:name="i-1"/>
      <w:bookmarkEnd w:id="0"/>
    </w:p>
    <w:p>
      <w:pPr>
        <w:pStyle w:val="TextBody"/>
        <w:bidi w:val="0"/>
        <w:spacing w:lineRule="auto" w:line="288" w:before="120" w:after="283"/>
        <w:jc w:val="center"/>
        <w:rPr>
          <w:rFonts w:ascii="Times New Roman;serif" w:hAnsi="Times New Roman;serif"/>
          <w:b/>
          <w:color w:val="000000"/>
          <w:sz w:val="48"/>
          <w:shd w:fill="FFFFFF" w:val="clear"/>
        </w:rPr>
      </w:pPr>
      <w:r>
        <w:rPr>
          <w:rFonts w:ascii="Times New Roman;serif" w:hAnsi="Times New Roman;serif"/>
          <w:b/>
          <w:color w:val="000000"/>
          <w:sz w:val="48"/>
          <w:shd w:fill="FFFFFF" w:val="clear"/>
        </w:rPr>
        <w:t>ACM Research, Inc.</w:t>
      </w:r>
    </w:p>
    <w:p>
      <w:pPr>
        <w:pStyle w:val="TextBody"/>
        <w:bidi w:val="0"/>
        <w:spacing w:lineRule="auto" w:line="288" w:before="0" w:after="0"/>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(Exact Name of Registrant as Specified in Its Charter)</w:t>
      </w:r>
    </w:p>
    <w:tbl>
      <w:tblPr>
        <w:tblW w:w="8218" w:type="dxa"/>
        <w:jc w:val="left"/>
        <w:tblInd w:w="0" w:type="dxa"/>
        <w:tblLayout w:type="fixed"/>
        <w:tblCellMar>
          <w:top w:w="28" w:type="dxa"/>
          <w:left w:w="28" w:type="dxa"/>
          <w:bottom w:w="28" w:type="dxa"/>
          <w:right w:w="28" w:type="dxa"/>
        </w:tblCellMar>
      </w:tblPr>
      <w:tblGrid>
        <w:gridCol w:w="1880"/>
        <w:gridCol w:w="1652"/>
        <w:gridCol w:w="1672"/>
        <w:gridCol w:w="881"/>
        <w:gridCol w:w="881"/>
        <w:gridCol w:w="1252"/>
      </w:tblGrid>
      <w:tr>
        <w:tc>
          <w:tcPr>
            <w:tcW w:w="1880"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r>
      <w:tr>
        <w:tc>
          <w:tcPr>
            <w:tcW w:w="52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0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94-3290283</w:t>
            </w:r>
          </w:p>
        </w:tc>
      </w:tr>
      <w:tr>
        <w:tc>
          <w:tcPr>
            <w:tcW w:w="52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(State or Other Jurisdiction of Incorporation or Organization)</w:t>
            </w:r>
          </w:p>
        </w:tc>
        <w:tc>
          <w:tcPr>
            <w:tcW w:w="30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(I.R.S. Employer Identification No.)</w:t>
            </w:r>
          </w:p>
        </w:tc>
      </w:tr>
      <w:tr>
        <w:tc>
          <w:tcPr>
            <w:tcW w:w="5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2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42307 Osgood Road, Suite I</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Fremont, California</w:t>
            </w:r>
          </w:p>
        </w:tc>
        <w:tc>
          <w:tcPr>
            <w:tcW w:w="30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94539</w:t>
            </w:r>
          </w:p>
        </w:tc>
      </w:tr>
      <w:tr>
        <w:tc>
          <w:tcPr>
            <w:tcW w:w="52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(Address of Principal Executive Offices)</w:t>
            </w:r>
          </w:p>
        </w:tc>
        <w:tc>
          <w:tcPr>
            <w:tcW w:w="30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(Zip Code)</w:t>
            </w:r>
          </w:p>
        </w:tc>
      </w:tr>
    </w:tbl>
    <w:p>
      <w:pPr>
        <w:pStyle w:val="TextBody"/>
        <w:bidi w:val="0"/>
        <w:spacing w:lineRule="auto" w:line="288" w:before="120" w:after="283"/>
        <w:jc w:val="center"/>
      </w:pPr>
      <w:r>
        <w:rPr>
          <w:rFonts w:ascii="Times New Roman;serif" w:hAnsi="Times New Roman;serif"/>
          <w:b w:val="false"/>
          <w:i/>
          <w:color w:val="000000"/>
          <w:sz w:val="20"/>
          <w:shd w:fill="FFFFFF" w:val="clear"/>
        </w:rPr>
        <w:t>Registrant’s telephone number, including area code:</w:t>
      </w:r>
      <w:r>
        <w:rPr>
          <w:color w:val="000000"/>
          <w:shd w:fill="FFFFFF" w:val="clear"/>
        </w:rPr>
        <w:t xml:space="preserve"> </w:t>
      </w:r>
      <w:r>
        <w:rPr>
          <w:rFonts w:ascii="Times New Roman;serif" w:hAnsi="Times New Roman;serif"/>
          <w:b/>
          <w:color w:val="000000"/>
          <w:sz w:val="20"/>
          <w:shd w:fill="FFFFFF" w:val="clear"/>
        </w:rPr>
        <w:t>(510) 445-3700</w:t>
      </w:r>
    </w:p>
    <w:p>
      <w:pPr>
        <w:pStyle w:val="TextBody"/>
        <w:bidi w:val="0"/>
        <w:spacing w:lineRule="auto" w:line="288" w:before="12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Securities registered pursuant to Section 12(b) of the Act:</w:t>
      </w:r>
    </w:p>
    <w:tbl>
      <w:tblPr>
        <w:tblW w:w="9621" w:type="dxa"/>
        <w:jc w:val="left"/>
        <w:tblInd w:w="0" w:type="dxa"/>
        <w:tblLayout w:type="fixed"/>
        <w:tblCellMar>
          <w:top w:w="28" w:type="dxa"/>
          <w:left w:w="28" w:type="dxa"/>
          <w:bottom w:w="28" w:type="dxa"/>
          <w:right w:w="28" w:type="dxa"/>
        </w:tblCellMar>
      </w:tblPr>
      <w:tblGrid>
        <w:gridCol w:w="1339"/>
        <w:gridCol w:w="1179"/>
        <w:gridCol w:w="1186"/>
        <w:gridCol w:w="109"/>
        <w:gridCol w:w="109"/>
        <w:gridCol w:w="109"/>
        <w:gridCol w:w="474"/>
        <w:gridCol w:w="474"/>
        <w:gridCol w:w="476"/>
        <w:gridCol w:w="109"/>
        <w:gridCol w:w="109"/>
        <w:gridCol w:w="109"/>
        <w:gridCol w:w="1124"/>
        <w:gridCol w:w="1124"/>
        <w:gridCol w:w="1591"/>
      </w:tblGrid>
      <w:tr>
        <w:tc>
          <w:tcPr>
            <w:tcW w:w="1339"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r>
      <w:tr>
        <w:tc>
          <w:tcPr>
            <w:tcW w:w="37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c>
          <w:tcPr>
            <w:tcW w:w="37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Class A Common Stock, $0.0001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ACMR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120" w:after="283"/>
        <w:jc w:val="both"/>
      </w:pPr>
      <w:r>
        <w:rPr>
          <w:rFonts w:ascii="Times New Roman;serif" w:hAnsi="Times New Roman;serif"/>
          <w:b w:val="false"/>
          <w:color w:val="000000"/>
          <w:sz w:val="20"/>
          <w:shd w:fill="FFFFFF" w:val="clear"/>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shd w:fill="FFFFFF" w:val="clear"/>
        </w:rPr>
        <w:t xml:space="preserve">☑ </w:t>
      </w:r>
      <w:r>
        <w:rPr>
          <w:rFonts w:ascii="Times New Roman;serif" w:hAnsi="Times New Roman;serif"/>
          <w:b w:val="false"/>
          <w:color w:val="000000"/>
          <w:sz w:val="20"/>
          <w:shd w:fill="FFFFFF" w:val="clear"/>
        </w:rPr>
        <w:t xml:space="preserve">No </w:t>
      </w:r>
      <w:r>
        <w:rPr>
          <w:rFonts w:ascii="Wingdings;sans-serif" w:hAnsi="Wingdings;sans-serif"/>
          <w:b w:val="false"/>
          <w:color w:val="000000"/>
          <w:sz w:val="20"/>
          <w:shd w:fill="FFFFFF" w:val="clear"/>
        </w:rPr>
        <w:t>o</w:t>
      </w:r>
    </w:p>
    <w:p>
      <w:pPr>
        <w:pStyle w:val="TextBody"/>
        <w:bidi w:val="0"/>
        <w:spacing w:lineRule="auto" w:line="288" w:before="120" w:after="283"/>
        <w:jc w:val="both"/>
      </w:pPr>
      <w:r>
        <w:rPr>
          <w:rFonts w:ascii="Times New Roman;serif" w:hAnsi="Times New Roman;serif"/>
          <w:b w:val="false"/>
          <w:color w:val="000000"/>
          <w:sz w:val="20"/>
          <w:shd w:fill="FFFFFF" w:val="clear"/>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shd w:fill="FFFFFF" w:val="clear"/>
        </w:rPr>
        <w:t xml:space="preserve">☑ </w:t>
      </w:r>
      <w:r>
        <w:rPr>
          <w:rFonts w:ascii="Times New Roman;serif" w:hAnsi="Times New Roman;serif"/>
          <w:b w:val="false"/>
          <w:color w:val="000000"/>
          <w:sz w:val="20"/>
          <w:shd w:fill="FFFFFF" w:val="clear"/>
        </w:rPr>
        <w:t xml:space="preserve">No </w:t>
      </w:r>
      <w:r>
        <w:rPr>
          <w:rFonts w:ascii="Wingdings;sans-serif" w:hAnsi="Wingdings;sans-serif"/>
          <w:b w:val="false"/>
          <w:color w:val="000000"/>
          <w:sz w:val="20"/>
          <w:shd w:fill="FFFFFF" w:val="clear"/>
        </w:rPr>
        <w:t>o</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5627" w:type="dxa"/>
        <w:jc w:val="left"/>
        <w:tblInd w:w="0" w:type="dxa"/>
        <w:tblLayout w:type="fixed"/>
        <w:tblCellMar>
          <w:top w:w="28" w:type="dxa"/>
          <w:left w:w="28" w:type="dxa"/>
          <w:bottom w:w="28" w:type="dxa"/>
          <w:right w:w="28" w:type="dxa"/>
        </w:tblCellMar>
      </w:tblPr>
      <w:tblGrid>
        <w:gridCol w:w="124"/>
        <w:gridCol w:w="109"/>
        <w:gridCol w:w="109"/>
        <w:gridCol w:w="649"/>
        <w:gridCol w:w="649"/>
        <w:gridCol w:w="651"/>
        <w:gridCol w:w="109"/>
        <w:gridCol w:w="109"/>
        <w:gridCol w:w="109"/>
        <w:gridCol w:w="109"/>
        <w:gridCol w:w="109"/>
        <w:gridCol w:w="109"/>
        <w:gridCol w:w="769"/>
        <w:gridCol w:w="769"/>
        <w:gridCol w:w="772"/>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Large 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bidi w:val="0"/>
        <w:spacing w:lineRule="auto" w:line="288" w:before="120" w:after="283"/>
        <w:jc w:val="both"/>
      </w:pPr>
      <w:r>
        <w:rPr>
          <w:rFonts w:ascii="Times New Roman;serif" w:hAnsi="Times New Roman;serif"/>
          <w:b w:val="false"/>
          <w:color w:val="000000"/>
          <w:sz w:val="20"/>
          <w:shd w:fill="FFFFFF" w:val="clear"/>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shd w:fill="FFFFFF" w:val="clear"/>
        </w:rPr>
        <w:t>o</w:t>
      </w:r>
    </w:p>
    <w:p>
      <w:pPr>
        <w:pStyle w:val="TextBody"/>
        <w:bidi w:val="0"/>
        <w:spacing w:lineRule="auto" w:line="288" w:before="120" w:after="283"/>
        <w:jc w:val="both"/>
      </w:pPr>
      <w:r>
        <w:rPr>
          <w:rFonts w:ascii="Times New Roman;serif" w:hAnsi="Times New Roman;serif"/>
          <w:b w:val="false"/>
          <w:color w:val="000000"/>
          <w:sz w:val="20"/>
          <w:shd w:fill="FFFFFF" w:val="clear"/>
        </w:rPr>
        <w:t xml:space="preserve">Indicate by check mark whether the registrant is a shell company (as defined in Rule 12b-2 of the Exchange Act). Yes </w:t>
      </w:r>
      <w:r>
        <w:rPr>
          <w:rFonts w:ascii="Wingdings;sans-serif" w:hAnsi="Wingdings;sans-serif"/>
          <w:b w:val="false"/>
          <w:color w:val="000000"/>
          <w:sz w:val="20"/>
          <w:shd w:fill="FFFFFF" w:val="clear"/>
        </w:rPr>
        <w:t>o</w:t>
      </w:r>
      <w:r>
        <w:rPr>
          <w:color w:val="000000"/>
          <w:shd w:fill="FFFFFF" w:val="clear"/>
        </w:rPr>
        <w:t xml:space="preserve"> </w:t>
      </w:r>
      <w:r>
        <w:rPr>
          <w:rFonts w:ascii="Times New Roman;serif" w:hAnsi="Times New Roman;serif"/>
          <w:b w:val="false"/>
          <w:color w:val="000000"/>
          <w:sz w:val="20"/>
          <w:shd w:fill="FFFFFF" w:val="clear"/>
        </w:rPr>
        <w:t xml:space="preserve">No </w:t>
      </w:r>
      <w:r>
        <w:rPr>
          <w:color w:val="000000"/>
          <w:shd w:fill="FFFFFF" w:val="clear"/>
        </w:rPr>
        <w:t>☑</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Indicate the number of shares outstanding of each of the registrant’s classes of common stock, as of the latest practicable date.</w:t>
      </w:r>
    </w:p>
    <w:tbl>
      <w:tblPr>
        <w:tblW w:w="8532" w:type="dxa"/>
        <w:jc w:val="left"/>
        <w:tblInd w:w="0" w:type="dxa"/>
        <w:tblLayout w:type="fixed"/>
        <w:tblCellMar>
          <w:top w:w="28" w:type="dxa"/>
          <w:left w:w="28" w:type="dxa"/>
          <w:bottom w:w="28" w:type="dxa"/>
          <w:right w:w="28" w:type="dxa"/>
        </w:tblCellMar>
      </w:tblPr>
      <w:tblGrid>
        <w:gridCol w:w="1302"/>
        <w:gridCol w:w="1141"/>
        <w:gridCol w:w="1157"/>
        <w:gridCol w:w="109"/>
        <w:gridCol w:w="109"/>
        <w:gridCol w:w="109"/>
        <w:gridCol w:w="1347"/>
        <w:gridCol w:w="1347"/>
        <w:gridCol w:w="1911"/>
      </w:tblGrid>
      <w:tr>
        <w:tc>
          <w:tcPr>
            <w:tcW w:w="1302"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911" w:type="dxa"/>
            <w:tcBorders/>
            <w:vAlign w:val="center"/>
          </w:tcPr>
          <w:p>
            <w:pPr>
              <w:pStyle w:val="TableContents"/>
              <w:bidi w:val="0"/>
              <w:spacing w:before="0" w:after="283"/>
              <w:jc w:val="left"/>
              <w:rPr>
                <w:sz w:val="4"/>
                <w:szCs w:val="4"/>
              </w:rPr>
            </w:pPr>
            <w:r>
              <w:rPr>
                <w:sz w:val="4"/>
                <w:szCs w:val="4"/>
              </w:rPr>
            </w:r>
          </w:p>
        </w:tc>
      </w:tr>
      <w:tr>
        <w:tc>
          <w:tcPr>
            <w:tcW w:w="36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Number of Shares Outstanding</w:t>
            </w:r>
          </w:p>
        </w:tc>
      </w:tr>
      <w:tr>
        <w:tc>
          <w:tcPr>
            <w:tcW w:w="36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65,019,350 shares outstanding as of November 2, 2026</w:t>
            </w:r>
          </w:p>
        </w:tc>
      </w:tr>
      <w:tr>
        <w:tc>
          <w:tcPr>
            <w:tcW w:w="36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Class B Common Stock, $0.0001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4,991,808 shares outstanding as of November 2, 2026</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02260"/>
                <wp:effectExtent l="0" t="0" r="0" b="0"/>
                <wp:wrapNone/>
                <wp:docPr id="2" name="Frame1"/>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200"/>
                              <w:jc w:val="center"/>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200"/>
                        <w:jc w:val="center"/>
                      </w:pPr>
                      <w:r/>
                    </w:p>
                  </w:txbxContent>
                </v:textbox>
                <w10:wrap type="none"/>
              </v:rect>
            </w:pict>
          </mc:Fallback>
        </mc:AlternateContent>
      </w:r>
    </w:p>
    <w:p>
      <w:pPr>
        <w:pStyle w:val="TextBody"/>
        <w:bidi w:val="0"/>
        <w:spacing w:lineRule="auto" w:line="288" w:before="200" w:after="200"/>
        <w:jc w:val="both"/>
      </w:pPr>
      <w:hyperlink w:anchor="ia22e01e7fdae4b968e9b46967ef89c75_7">
        <w:r>
          <w:rPr>
            <w:rStyle w:val="InternetLink"/>
            <w:rFonts w:ascii="Times New Roman;serif" w:hAnsi="Times New Roman;serif"/>
            <w:b w:val="false"/>
            <w:i/>
            <w:color w:val="0000FF"/>
            <w:sz w:val="16"/>
            <w:u w:val="single"/>
            <w:shd w:fill="FFFFFF" w:val="clear"/>
          </w:rPr>
          <w:t>Table of Contents</w:t>
        </w:r>
      </w:hyperlink>
    </w:p>
    <w:p>
      <w:pPr>
        <w:pStyle w:val="TextBody"/>
        <w:bidi w:val="0"/>
        <w:spacing w:before="200" w:after="200"/>
        <w:jc w:val="both"/>
      </w:pPr>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TABLE OF CONTENTS</w:t>
      </w:r>
    </w:p>
    <w:tbl>
      <w:tblPr>
        <w:tblW w:w="10205" w:type="dxa"/>
        <w:jc w:val="left"/>
        <w:tblInd w:w="0" w:type="dxa"/>
        <w:tblLayout w:type="fixed"/>
        <w:tblCellMar>
          <w:top w:w="28" w:type="dxa"/>
          <w:left w:w="28" w:type="dxa"/>
          <w:bottom w:w="28" w:type="dxa"/>
          <w:right w:w="28" w:type="dxa"/>
        </w:tblCellMar>
      </w:tblPr>
      <w:tblGrid>
        <w:gridCol w:w="137"/>
        <w:gridCol w:w="120"/>
        <w:gridCol w:w="120"/>
        <w:gridCol w:w="239"/>
        <w:gridCol w:w="239"/>
        <w:gridCol w:w="241"/>
        <w:gridCol w:w="2909"/>
        <w:gridCol w:w="2909"/>
        <w:gridCol w:w="2915"/>
        <w:gridCol w:w="109"/>
        <w:gridCol w:w="109"/>
        <w:gridCol w:w="158"/>
      </w:tblGrid>
      <w:tr>
        <w:tc>
          <w:tcPr>
            <w:tcW w:w="13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909" w:type="dxa"/>
            <w:tcBorders/>
            <w:vAlign w:val="center"/>
          </w:tcPr>
          <w:p>
            <w:pPr>
              <w:pStyle w:val="TableContents"/>
              <w:bidi w:val="0"/>
              <w:spacing w:before="0" w:after="283"/>
              <w:jc w:val="left"/>
              <w:rPr>
                <w:sz w:val="4"/>
                <w:szCs w:val="4"/>
              </w:rPr>
            </w:pPr>
            <w:r>
              <w:rPr>
                <w:sz w:val="4"/>
                <w:szCs w:val="4"/>
              </w:rPr>
            </w:r>
          </w:p>
        </w:tc>
        <w:tc>
          <w:tcPr>
            <w:tcW w:w="2909" w:type="dxa"/>
            <w:tcBorders/>
            <w:vAlign w:val="center"/>
          </w:tcPr>
          <w:p>
            <w:pPr>
              <w:pStyle w:val="TableContents"/>
              <w:bidi w:val="0"/>
              <w:spacing w:before="0" w:after="283"/>
              <w:jc w:val="left"/>
              <w:rPr>
                <w:sz w:val="4"/>
                <w:szCs w:val="4"/>
              </w:rPr>
            </w:pPr>
            <w:r>
              <w:rPr>
                <w:sz w:val="4"/>
                <w:szCs w:val="4"/>
              </w:rPr>
            </w:r>
          </w:p>
        </w:tc>
        <w:tc>
          <w:tcPr>
            <w:tcW w:w="29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1096"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left"/>
            </w:pPr>
            <w:hyperlink w:anchor="ia22e01e7fdae4b968e9b46967ef89c75_13">
              <w:r>
                <w:rPr>
                  <w:rStyle w:val="InternetLink"/>
                  <w:rFonts w:ascii="Times New Roman;serif" w:hAnsi="Times New Roman;serif"/>
                  <w:b w:val="false"/>
                  <w:strike w:val="false"/>
                  <w:dstrike w:val="false"/>
                  <w:color w:val="000000"/>
                  <w:sz w:val="20"/>
                  <w:u w:val="none"/>
                  <w:effect w:val="none"/>
                </w:rPr>
                <w:t>PART I.</w:t>
              </w:r>
            </w:hyperlink>
          </w:p>
        </w:tc>
        <w:tc>
          <w:tcPr>
            <w:tcW w:w="87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pPr>
            <w:hyperlink w:anchor="ia22e01e7fdae4b968e9b46967ef89c75_13">
              <w:r>
                <w:rPr>
                  <w:rStyle w:val="InternetLink"/>
                  <w:rFonts w:ascii="Times New Roman;serif" w:hAnsi="Times New Roman;serif"/>
                  <w:b w:val="false"/>
                  <w:color w:val="0000FF"/>
                  <w:sz w:val="20"/>
                  <w:u w:val="single"/>
                </w:rPr>
                <w:t>FINANCIAL INFORMATION</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pPr>
            <w:hyperlink w:anchor="ia22e01e7fdae4b968e9b46967ef89c75_13">
              <w:r>
                <w:rPr>
                  <w:rStyle w:val="InternetLink"/>
                  <w:rFonts w:ascii="Times New Roman;serif" w:hAnsi="Times New Roman;serif"/>
                  <w:b w:val="false"/>
                  <w:strike w:val="false"/>
                  <w:dstrike w:val="false"/>
                  <w:color w:val="3051F2"/>
                  <w:sz w:val="20"/>
                  <w:u w:val="none"/>
                  <w:effect w:val="none"/>
                </w:rPr>
                <w:t>4</w:t>
              </w:r>
            </w:hyperlink>
          </w:p>
        </w:tc>
      </w:tr>
      <w:tr>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hyperlink w:anchor="ia22e01e7fdae4b968e9b46967ef89c75_16">
              <w:r>
                <w:rPr>
                  <w:rStyle w:val="InternetLink"/>
                  <w:rFonts w:ascii="Times New Roman;serif" w:hAnsi="Times New Roman;serif"/>
                  <w:b w:val="false"/>
                  <w:strike w:val="false"/>
                  <w:dstrike w:val="false"/>
                  <w:color w:val="000000"/>
                  <w:sz w:val="20"/>
                  <w:u w:val="none"/>
                  <w:effect w:val="none"/>
                </w:rPr>
                <w:t>Item 1.</w:t>
              </w:r>
            </w:hyperlink>
          </w:p>
        </w:tc>
        <w:tc>
          <w:tcPr>
            <w:tcW w:w="87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pPr>
            <w:hyperlink w:anchor="ia22e01e7fdae4b968e9b46967ef89c75_16">
              <w:r>
                <w:rPr>
                  <w:rStyle w:val="InternetLink"/>
                  <w:rFonts w:ascii="Times New Roman;serif" w:hAnsi="Times New Roman;serif"/>
                  <w:b w:val="false"/>
                  <w:color w:val="0000FF"/>
                  <w:sz w:val="20"/>
                  <w:u w:val="single"/>
                </w:rPr>
                <w:t>Financial Statements (unaudited)</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pPr>
            <w:hyperlink w:anchor="ia22e01e7fdae4b968e9b46967ef89c75_16">
              <w:r>
                <w:rPr>
                  <w:rStyle w:val="InternetLink"/>
                  <w:rFonts w:ascii="Times New Roman;serif" w:hAnsi="Times New Roman;serif"/>
                  <w:b w:val="false"/>
                  <w:strike w:val="false"/>
                  <w:dstrike w:val="false"/>
                  <w:color w:val="3051F2"/>
                  <w:sz w:val="20"/>
                  <w:u w:val="none"/>
                  <w:effect w:val="none"/>
                </w:rPr>
                <w:t>4</w:t>
              </w:r>
            </w:hyperlink>
          </w:p>
        </w:tc>
      </w:tr>
      <w:tr>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pPr>
            <w:hyperlink w:anchor="ia22e01e7fdae4b968e9b46967ef89c75_19">
              <w:r>
                <w:rPr>
                  <w:rStyle w:val="InternetLink"/>
                  <w:rFonts w:ascii="Times New Roman;serif" w:hAnsi="Times New Roman;serif"/>
                  <w:b w:val="false"/>
                  <w:color w:val="0000FF"/>
                  <w:sz w:val="20"/>
                  <w:u w:val="single"/>
                </w:rPr>
                <w:t>Condensed Consolidated Balance Sheets as of September 30, 2026 and December 31, 2025</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pPr>
            <w:hyperlink w:anchor="ia22e01e7fdae4b968e9b46967ef89c75_19">
              <w:r>
                <w:rPr>
                  <w:rStyle w:val="InternetLink"/>
                  <w:rFonts w:ascii="Times New Roman;serif" w:hAnsi="Times New Roman;serif"/>
                  <w:b w:val="false"/>
                  <w:strike w:val="false"/>
                  <w:dstrike w:val="false"/>
                  <w:color w:val="3051F2"/>
                  <w:sz w:val="20"/>
                  <w:u w:val="none"/>
                  <w:effect w:val="none"/>
                </w:rPr>
                <w:t>4</w:t>
              </w:r>
            </w:hyperlink>
          </w:p>
        </w:tc>
      </w:tr>
      <w:tr>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pPr>
            <w:hyperlink w:anchor="ia22e01e7fdae4b968e9b46967ef89c75_22">
              <w:r>
                <w:rPr>
                  <w:rStyle w:val="InternetLink"/>
                  <w:rFonts w:ascii="Times New Roman;serif" w:hAnsi="Times New Roman;serif"/>
                  <w:b w:val="false"/>
                  <w:color w:val="0000FF"/>
                  <w:sz w:val="20"/>
                  <w:u w:val="single"/>
                </w:rPr>
                <w:t>Condensed Consolidated Statements of Comprehensive Income for the Three and Nine Months Ended September 30, 2026 and 2025</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pPr>
            <w:hyperlink w:anchor="ia22e01e7fdae4b968e9b46967ef89c75_22">
              <w:r>
                <w:rPr>
                  <w:rStyle w:val="InternetLink"/>
                  <w:rFonts w:ascii="Times New Roman;serif" w:hAnsi="Times New Roman;serif"/>
                  <w:b w:val="false"/>
                  <w:strike w:val="false"/>
                  <w:dstrike w:val="false"/>
                  <w:color w:val="3051F2"/>
                  <w:sz w:val="20"/>
                  <w:u w:val="none"/>
                  <w:effect w:val="none"/>
                </w:rPr>
                <w:t>5</w:t>
              </w:r>
            </w:hyperlink>
          </w:p>
        </w:tc>
      </w:tr>
      <w:tr>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pPr>
            <w:hyperlink w:anchor="ia22e01e7fdae4b968e9b46967ef89c75_25">
              <w:r>
                <w:rPr>
                  <w:rStyle w:val="InternetLink"/>
                  <w:rFonts w:ascii="Times New Roman;serif" w:hAnsi="Times New Roman;serif"/>
                  <w:b w:val="false"/>
                  <w:color w:val="000080"/>
                  <w:sz w:val="20"/>
                  <w:u w:val="single"/>
                </w:rPr>
                <w:t xml:space="preserve">Condensed Consolidated Statements of Changes in Equity for the Three and Nine Months Ended September 30, 2026 </w:t>
              </w:r>
            </w:hyperlink>
            <w:hyperlink w:anchor="ia22e01e7fdae4b968e9b46967ef89c75_25">
              <w:r>
                <w:rPr>
                  <w:rStyle w:val="InternetLink"/>
                  <w:rFonts w:ascii="Times New Roman;serif" w:hAnsi="Times New Roman;serif"/>
                  <w:b w:val="false"/>
                  <w:color w:val="000080"/>
                  <w:sz w:val="20"/>
                  <w:u w:val="single"/>
                </w:rPr>
                <w:t>and 2025</w:t>
              </w:r>
            </w:hyperlink>
            <w:r>
              <w:rPr>
                <w:color w:val="000000"/>
              </w:rPr>
              <w:t xml:space="preserve"> </w:t>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pPr>
            <w:hyperlink w:anchor="ia22e01e7fdae4b968e9b46967ef89c75_25">
              <w:r>
                <w:rPr>
                  <w:rStyle w:val="InternetLink"/>
                  <w:rFonts w:ascii="Times New Roman;serif" w:hAnsi="Times New Roman;serif"/>
                  <w:b w:val="false"/>
                  <w:strike w:val="false"/>
                  <w:dstrike w:val="false"/>
                  <w:color w:val="3051F2"/>
                  <w:sz w:val="20"/>
                  <w:u w:val="none"/>
                  <w:effect w:val="none"/>
                </w:rPr>
                <w:t>6</w:t>
              </w:r>
            </w:hyperlink>
          </w:p>
        </w:tc>
      </w:tr>
      <w:tr>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pPr>
            <w:hyperlink w:anchor="ia22e01e7fdae4b968e9b46967ef89c75_28">
              <w:r>
                <w:rPr>
                  <w:rStyle w:val="InternetLink"/>
                  <w:rFonts w:ascii="Times New Roman;serif" w:hAnsi="Times New Roman;serif"/>
                  <w:b w:val="false"/>
                  <w:color w:val="0000FF"/>
                  <w:sz w:val="20"/>
                  <w:u w:val="single"/>
                </w:rPr>
                <w:t>Condensed Consolidated Statements of Cash Flows for the Nine Months Ended September 30, 2026 and 2025</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pPr>
            <w:hyperlink w:anchor="ia22e01e7fdae4b968e9b46967ef89c75_28">
              <w:r>
                <w:rPr>
                  <w:rStyle w:val="InternetLink"/>
                  <w:rFonts w:ascii="Times New Roman;serif" w:hAnsi="Times New Roman;serif"/>
                  <w:b w:val="false"/>
                  <w:strike w:val="false"/>
                  <w:dstrike w:val="false"/>
                  <w:color w:val="3051F2"/>
                  <w:sz w:val="20"/>
                  <w:u w:val="none"/>
                  <w:effect w:val="none"/>
                </w:rPr>
                <w:t>9</w:t>
              </w:r>
            </w:hyperlink>
          </w:p>
        </w:tc>
      </w:tr>
      <w:tr>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pPr>
            <w:hyperlink w:anchor="ia22e01e7fdae4b968e9b46967ef89c75_31">
              <w:r>
                <w:rPr>
                  <w:rStyle w:val="InternetLink"/>
                  <w:rFonts w:ascii="Times New Roman;serif" w:hAnsi="Times New Roman;serif"/>
                  <w:b w:val="false"/>
                  <w:color w:val="0000FF"/>
                  <w:sz w:val="20"/>
                  <w:u w:val="single"/>
                </w:rPr>
                <w:t>Notes to the Condensed Consolidated Financial Statements</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pPr>
            <w:hyperlink w:anchor="ia22e01e7fdae4b968e9b46967ef89c75_31">
              <w:r>
                <w:rPr>
                  <w:rStyle w:val="InternetLink"/>
                  <w:rFonts w:ascii="Times New Roman;serif" w:hAnsi="Times New Roman;serif"/>
                  <w:b w:val="false"/>
                  <w:strike w:val="false"/>
                  <w:dstrike w:val="false"/>
                  <w:color w:val="3051F2"/>
                  <w:sz w:val="20"/>
                  <w:u w:val="none"/>
                  <w:effect w:val="none"/>
                </w:rPr>
                <w:t>10</w:t>
              </w:r>
            </w:hyperlink>
          </w:p>
        </w:tc>
      </w:tr>
      <w:tr>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hyperlink w:anchor="ia22e01e7fdae4b968e9b46967ef89c75_91">
              <w:r>
                <w:rPr>
                  <w:rStyle w:val="InternetLink"/>
                  <w:rFonts w:ascii="Times New Roman;serif" w:hAnsi="Times New Roman;serif"/>
                  <w:b w:val="false"/>
                  <w:strike w:val="false"/>
                  <w:dstrike w:val="false"/>
                  <w:color w:val="000000"/>
                  <w:sz w:val="20"/>
                  <w:u w:val="none"/>
                  <w:effect w:val="none"/>
                </w:rPr>
                <w:t>Item 2.</w:t>
              </w:r>
            </w:hyperlink>
          </w:p>
        </w:tc>
        <w:tc>
          <w:tcPr>
            <w:tcW w:w="87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pPr>
            <w:hyperlink w:anchor="ia22e01e7fdae4b968e9b46967ef89c75_91">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pPr>
            <w:hyperlink w:anchor="ia22e01e7fdae4b968e9b46967ef89c75_91">
              <w:r>
                <w:rPr>
                  <w:rStyle w:val="InternetLink"/>
                  <w:rFonts w:ascii="Times New Roman;serif" w:hAnsi="Times New Roman;serif"/>
                  <w:b w:val="false"/>
                  <w:strike w:val="false"/>
                  <w:dstrike w:val="false"/>
                  <w:color w:val="3051F2"/>
                  <w:sz w:val="20"/>
                  <w:u w:val="none"/>
                  <w:effect w:val="none"/>
                </w:rPr>
                <w:t>28</w:t>
              </w:r>
            </w:hyperlink>
          </w:p>
        </w:tc>
      </w:tr>
      <w:tr>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pPr>
            <w:hyperlink w:anchor="ia22e01e7fdae4b968e9b46967ef89c75_127">
              <w:r>
                <w:rPr>
                  <w:rStyle w:val="InternetLink"/>
                  <w:rFonts w:ascii="Times New Roman;serif" w:hAnsi="Times New Roman;serif"/>
                  <w:b w:val="false"/>
                  <w:strike w:val="false"/>
                  <w:dstrike w:val="false"/>
                  <w:color w:val="000000"/>
                  <w:sz w:val="20"/>
                  <w:u w:val="none"/>
                  <w:effect w:val="none"/>
                </w:rPr>
                <w:t>Item 3.</w:t>
              </w:r>
            </w:hyperlink>
          </w:p>
        </w:tc>
        <w:tc>
          <w:tcPr>
            <w:tcW w:w="87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pPr>
            <w:hyperlink w:anchor="ia22e01e7fdae4b968e9b46967ef89c75_127">
              <w:r>
                <w:rPr>
                  <w:rStyle w:val="InternetLink"/>
                  <w:rFonts w:ascii="Times New Roman;serif" w:hAnsi="Times New Roman;serif"/>
                  <w:b w:val="false"/>
                  <w:color w:val="0000FF"/>
                  <w:sz w:val="20"/>
                  <w:u w:val="single"/>
                </w:rPr>
                <w:t>Quantitative and Qualitative Disclosures about Market Risks</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pPr>
            <w:hyperlink w:anchor="ia22e01e7fdae4b968e9b46967ef89c75_127">
              <w:r>
                <w:rPr>
                  <w:rStyle w:val="InternetLink"/>
                  <w:rFonts w:ascii="Times New Roman;serif" w:hAnsi="Times New Roman;serif"/>
                  <w:b w:val="false"/>
                  <w:strike w:val="false"/>
                  <w:dstrike w:val="false"/>
                  <w:color w:val="3051F2"/>
                  <w:sz w:val="20"/>
                  <w:u w:val="none"/>
                  <w:effect w:val="none"/>
                </w:rPr>
                <w:t>47</w:t>
              </w:r>
            </w:hyperlink>
          </w:p>
        </w:tc>
      </w:tr>
      <w:tr>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hyperlink w:anchor="ia22e01e7fdae4b968e9b46967ef89c75_130">
              <w:r>
                <w:rPr>
                  <w:rStyle w:val="InternetLink"/>
                  <w:rFonts w:ascii="Times New Roman;serif" w:hAnsi="Times New Roman;serif"/>
                  <w:b w:val="false"/>
                  <w:strike w:val="false"/>
                  <w:dstrike w:val="false"/>
                  <w:color w:val="000000"/>
                  <w:sz w:val="20"/>
                  <w:u w:val="none"/>
                  <w:effect w:val="none"/>
                </w:rPr>
                <w:t>Item 4.</w:t>
              </w:r>
            </w:hyperlink>
          </w:p>
        </w:tc>
        <w:tc>
          <w:tcPr>
            <w:tcW w:w="87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pPr>
            <w:hyperlink w:anchor="ia22e01e7fdae4b968e9b46967ef89c75_130">
              <w:r>
                <w:rPr>
                  <w:rStyle w:val="InternetLink"/>
                  <w:rFonts w:ascii="Times New Roman;serif" w:hAnsi="Times New Roman;serif"/>
                  <w:b w:val="false"/>
                  <w:color w:val="0000FF"/>
                  <w:sz w:val="20"/>
                  <w:u w:val="single"/>
                </w:rPr>
                <w:t>Controls and Procedures</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pPr>
            <w:hyperlink w:anchor="ia22e01e7fdae4b968e9b46967ef89c75_130">
              <w:r>
                <w:rPr>
                  <w:rStyle w:val="InternetLink"/>
                  <w:rFonts w:ascii="Times New Roman;serif" w:hAnsi="Times New Roman;serif"/>
                  <w:b w:val="false"/>
                  <w:strike w:val="false"/>
                  <w:dstrike w:val="false"/>
                  <w:color w:val="3051F2"/>
                  <w:sz w:val="20"/>
                  <w:u w:val="none"/>
                  <w:effect w:val="none"/>
                </w:rPr>
                <w:t>47</w:t>
              </w:r>
            </w:hyperlink>
          </w:p>
        </w:tc>
      </w:tr>
      <w:tr>
        <w:tc>
          <w:tcPr>
            <w:tcW w:w="1096"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left"/>
            </w:pPr>
            <w:hyperlink w:anchor="ia22e01e7fdae4b968e9b46967ef89c75_133">
              <w:r>
                <w:rPr>
                  <w:rStyle w:val="InternetLink"/>
                  <w:rFonts w:ascii="Times New Roman;serif" w:hAnsi="Times New Roman;serif"/>
                  <w:b w:val="false"/>
                  <w:strike w:val="false"/>
                  <w:dstrike w:val="false"/>
                  <w:color w:val="000000"/>
                  <w:sz w:val="20"/>
                  <w:u w:val="none"/>
                  <w:effect w:val="none"/>
                </w:rPr>
                <w:t>PART II.</w:t>
              </w:r>
            </w:hyperlink>
          </w:p>
        </w:tc>
        <w:tc>
          <w:tcPr>
            <w:tcW w:w="87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pPr>
            <w:hyperlink w:anchor="ia22e01e7fdae4b968e9b46967ef89c75_133">
              <w:r>
                <w:rPr>
                  <w:rStyle w:val="InternetLink"/>
                  <w:rFonts w:ascii="Times New Roman;serif" w:hAnsi="Times New Roman;serif"/>
                  <w:b w:val="false"/>
                  <w:color w:val="0000FF"/>
                  <w:sz w:val="20"/>
                  <w:u w:val="single"/>
                </w:rPr>
                <w:t>OTHER INFORMATION</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pPr>
            <w:hyperlink w:anchor="ia22e01e7fdae4b968e9b46967ef89c75_133">
              <w:r>
                <w:rPr>
                  <w:rStyle w:val="InternetLink"/>
                  <w:rFonts w:ascii="Times New Roman;serif" w:hAnsi="Times New Roman;serif"/>
                  <w:b w:val="false"/>
                  <w:strike w:val="false"/>
                  <w:dstrike w:val="false"/>
                  <w:color w:val="3051F2"/>
                  <w:sz w:val="20"/>
                  <w:u w:val="none"/>
                  <w:effect w:val="none"/>
                </w:rPr>
                <w:t>48</w:t>
              </w:r>
            </w:hyperlink>
          </w:p>
        </w:tc>
      </w:tr>
      <w:tr>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hyperlink w:anchor="ia22e01e7fdae4b968e9b46967ef89c75_136">
              <w:r>
                <w:rPr>
                  <w:rStyle w:val="InternetLink"/>
                  <w:rFonts w:ascii="Times New Roman;serif" w:hAnsi="Times New Roman;serif"/>
                  <w:b w:val="false"/>
                  <w:strike w:val="false"/>
                  <w:dstrike w:val="false"/>
                  <w:color w:val="000000"/>
                  <w:sz w:val="20"/>
                  <w:u w:val="none"/>
                  <w:effect w:val="none"/>
                </w:rPr>
                <w:t>Item 1.</w:t>
              </w:r>
            </w:hyperlink>
          </w:p>
        </w:tc>
        <w:tc>
          <w:tcPr>
            <w:tcW w:w="87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pPr>
            <w:hyperlink w:anchor="ia22e01e7fdae4b968e9b46967ef89c75_136">
              <w:r>
                <w:rPr>
                  <w:rStyle w:val="InternetLink"/>
                  <w:rFonts w:ascii="Times New Roman;serif" w:hAnsi="Times New Roman;serif"/>
                  <w:b w:val="false"/>
                  <w:color w:val="0000FF"/>
                  <w:sz w:val="20"/>
                  <w:u w:val="single"/>
                </w:rPr>
                <w:t>Legal Proceedings</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pPr>
            <w:hyperlink w:anchor="ia22e01e7fdae4b968e9b46967ef89c75_136">
              <w:r>
                <w:rPr>
                  <w:rStyle w:val="InternetLink"/>
                  <w:rFonts w:ascii="Times New Roman;serif" w:hAnsi="Times New Roman;serif"/>
                  <w:b w:val="false"/>
                  <w:strike w:val="false"/>
                  <w:dstrike w:val="false"/>
                  <w:color w:val="3051F2"/>
                  <w:sz w:val="20"/>
                  <w:u w:val="none"/>
                  <w:effect w:val="none"/>
                </w:rPr>
                <w:t>48</w:t>
              </w:r>
            </w:hyperlink>
          </w:p>
        </w:tc>
      </w:tr>
      <w:tr>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pPr>
            <w:hyperlink w:anchor="ia22e01e7fdae4b968e9b46967ef89c75_139">
              <w:r>
                <w:rPr>
                  <w:rStyle w:val="InternetLink"/>
                  <w:rFonts w:ascii="Times New Roman;serif" w:hAnsi="Times New Roman;serif"/>
                  <w:b w:val="false"/>
                  <w:strike w:val="false"/>
                  <w:dstrike w:val="false"/>
                  <w:color w:val="000000"/>
                  <w:sz w:val="20"/>
                  <w:u w:val="none"/>
                  <w:effect w:val="none"/>
                </w:rPr>
                <w:t>Item 1A.</w:t>
              </w:r>
            </w:hyperlink>
          </w:p>
        </w:tc>
        <w:tc>
          <w:tcPr>
            <w:tcW w:w="87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pPr>
            <w:hyperlink w:anchor="ia22e01e7fdae4b968e9b46967ef89c75_139">
              <w:r>
                <w:rPr>
                  <w:rStyle w:val="InternetLink"/>
                  <w:rFonts w:ascii="Times New Roman;serif" w:hAnsi="Times New Roman;serif"/>
                  <w:b w:val="false"/>
                  <w:color w:val="0000FF"/>
                  <w:sz w:val="20"/>
                  <w:u w:val="single"/>
                </w:rPr>
                <w:t>Risk Factors</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pPr>
            <w:hyperlink w:anchor="ia22e01e7fdae4b968e9b46967ef89c75_139">
              <w:r>
                <w:rPr>
                  <w:rStyle w:val="InternetLink"/>
                  <w:rFonts w:ascii="Times New Roman;serif" w:hAnsi="Times New Roman;serif"/>
                  <w:b w:val="false"/>
                  <w:strike w:val="false"/>
                  <w:dstrike w:val="false"/>
                  <w:color w:val="3051F2"/>
                  <w:sz w:val="20"/>
                  <w:u w:val="none"/>
                  <w:effect w:val="none"/>
                </w:rPr>
                <w:t>48</w:t>
              </w:r>
            </w:hyperlink>
          </w:p>
        </w:tc>
      </w:tr>
      <w:tr>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hyperlink w:anchor="ia22e01e7fdae4b968e9b46967ef89c75_142">
              <w:r>
                <w:rPr>
                  <w:rStyle w:val="InternetLink"/>
                  <w:rFonts w:ascii="Times New Roman;serif" w:hAnsi="Times New Roman;serif"/>
                  <w:b w:val="false"/>
                  <w:strike w:val="false"/>
                  <w:dstrike w:val="false"/>
                  <w:color w:val="000000"/>
                  <w:sz w:val="20"/>
                  <w:u w:val="none"/>
                  <w:effect w:val="none"/>
                </w:rPr>
                <w:t>Item 2.</w:t>
              </w:r>
            </w:hyperlink>
          </w:p>
        </w:tc>
        <w:tc>
          <w:tcPr>
            <w:tcW w:w="87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pPr>
            <w:hyperlink w:anchor="ia22e01e7fdae4b968e9b46967ef89c75_142">
              <w:r>
                <w:rPr>
                  <w:rStyle w:val="InternetLink"/>
                  <w:rFonts w:ascii="Times New Roman;serif" w:hAnsi="Times New Roman;serif"/>
                  <w:b w:val="false"/>
                  <w:color w:val="0000FF"/>
                  <w:sz w:val="20"/>
                  <w:u w:val="single"/>
                </w:rPr>
                <w:t>Unregistered Sales of Equity Securities and Use of Proceeds</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pPr>
            <w:hyperlink w:anchor="ia22e01e7fdae4b968e9b46967ef89c75_142">
              <w:r>
                <w:rPr>
                  <w:rStyle w:val="InternetLink"/>
                  <w:rFonts w:ascii="Times New Roman;serif" w:hAnsi="Times New Roman;serif"/>
                  <w:b w:val="false"/>
                  <w:strike w:val="false"/>
                  <w:dstrike w:val="false"/>
                  <w:color w:val="3051F2"/>
                  <w:sz w:val="20"/>
                  <w:u w:val="none"/>
                  <w:effect w:val="none"/>
                </w:rPr>
                <w:t>48</w:t>
              </w:r>
            </w:hyperlink>
          </w:p>
        </w:tc>
      </w:tr>
      <w:tr>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7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pPr>
            <w:hyperlink w:anchor="ia22e01e7fdae4b968e9b46967ef89c75_145">
              <w:r>
                <w:rPr>
                  <w:rStyle w:val="InternetLink"/>
                  <w:rFonts w:ascii="Times New Roman;serif" w:hAnsi="Times New Roman;serif"/>
                  <w:b w:val="false"/>
                  <w:color w:val="0000FF"/>
                  <w:sz w:val="20"/>
                  <w:u w:val="single"/>
                </w:rPr>
                <w:t>Defaults Upon Senior Securities</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3051F2"/>
                <w:sz w:val="20"/>
              </w:rPr>
            </w:pPr>
            <w:r>
              <w:rPr>
                <w:rFonts w:ascii="Times New Roman;serif" w:hAnsi="Times New Roman;serif"/>
                <w:b w:val="false"/>
                <w:color w:val="3051F2"/>
                <w:sz w:val="20"/>
              </w:rPr>
              <w:t>52</w:t>
            </w:r>
          </w:p>
        </w:tc>
      </w:tr>
      <w:tr>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7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pPr>
            <w:hyperlink w:anchor="ia22e01e7fdae4b968e9b46967ef89c75_148">
              <w:r>
                <w:rPr>
                  <w:rStyle w:val="InternetLink"/>
                  <w:rFonts w:ascii="Times New Roman;serif" w:hAnsi="Times New Roman;serif"/>
                  <w:b w:val="false"/>
                  <w:color w:val="0000FF"/>
                  <w:sz w:val="20"/>
                  <w:u w:val="single"/>
                </w:rPr>
                <w:t>Mine Safety Disclosures</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3051F2"/>
                <w:sz w:val="20"/>
              </w:rPr>
            </w:pPr>
            <w:r>
              <w:rPr>
                <w:rFonts w:ascii="Times New Roman;serif" w:hAnsi="Times New Roman;serif"/>
                <w:b w:val="false"/>
                <w:color w:val="3051F2"/>
                <w:sz w:val="20"/>
              </w:rPr>
              <w:t>52</w:t>
            </w:r>
          </w:p>
        </w:tc>
      </w:tr>
      <w:tr>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87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pPr>
            <w:hyperlink w:anchor="ia22e01e7fdae4b968e9b46967ef89c75_151">
              <w:r>
                <w:rPr>
                  <w:rStyle w:val="InternetLink"/>
                  <w:rFonts w:ascii="Times New Roman;serif" w:hAnsi="Times New Roman;serif"/>
                  <w:b w:val="false"/>
                  <w:color w:val="661DE8"/>
                  <w:sz w:val="20"/>
                  <w:u w:val="single"/>
                </w:rPr>
                <w:t>Other Information</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pPr>
            <w:hyperlink w:anchor="ia22e01e7fdae4b968e9b46967ef89c75_151">
              <w:r>
                <w:rPr>
                  <w:rStyle w:val="InternetLink"/>
                  <w:rFonts w:ascii="Times New Roman;serif" w:hAnsi="Times New Roman;serif"/>
                  <w:b w:val="false"/>
                  <w:strike w:val="false"/>
                  <w:dstrike w:val="false"/>
                  <w:color w:val="3051F2"/>
                  <w:sz w:val="20"/>
                  <w:u w:val="none"/>
                  <w:effect w:val="none"/>
                </w:rPr>
                <w:t>48</w:t>
              </w:r>
            </w:hyperlink>
          </w:p>
        </w:tc>
      </w:tr>
      <w:tr>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hyperlink w:anchor="ia22e01e7fdae4b968e9b46967ef89c75_157">
              <w:r>
                <w:rPr>
                  <w:rStyle w:val="InternetLink"/>
                  <w:rFonts w:ascii="Times New Roman;serif" w:hAnsi="Times New Roman;serif"/>
                  <w:b w:val="false"/>
                  <w:strike w:val="false"/>
                  <w:dstrike w:val="false"/>
                  <w:color w:val="000000"/>
                  <w:sz w:val="20"/>
                  <w:u w:val="none"/>
                  <w:effect w:val="none"/>
                </w:rPr>
                <w:t>Item 6.</w:t>
              </w:r>
            </w:hyperlink>
          </w:p>
        </w:tc>
        <w:tc>
          <w:tcPr>
            <w:tcW w:w="87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pPr>
            <w:hyperlink w:anchor="ia22e01e7fdae4b968e9b46967ef89c75_157">
              <w:r>
                <w:rPr>
                  <w:rStyle w:val="InternetLink"/>
                  <w:rFonts w:ascii="Times New Roman;serif" w:hAnsi="Times New Roman;serif"/>
                  <w:b w:val="false"/>
                  <w:color w:val="0000FF"/>
                  <w:sz w:val="20"/>
                  <w:u w:val="single"/>
                </w:rPr>
                <w:t>Exhibits</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pPr>
            <w:hyperlink w:anchor="ia22e01e7fdae4b968e9b46967ef89c75_157">
              <w:r>
                <w:rPr>
                  <w:rStyle w:val="InternetLink"/>
                  <w:rFonts w:ascii="Times New Roman;serif" w:hAnsi="Times New Roman;serif"/>
                  <w:b w:val="false"/>
                  <w:strike w:val="false"/>
                  <w:dstrike w:val="false"/>
                  <w:color w:val="3051F2"/>
                  <w:sz w:val="20"/>
                  <w:u w:val="none"/>
                  <w:effect w:val="none"/>
                </w:rPr>
                <w:t>49</w:t>
              </w:r>
            </w:hyperlink>
          </w:p>
        </w:tc>
      </w:tr>
      <w:tr>
        <w:tc>
          <w:tcPr>
            <w:tcW w:w="9829" w:type="dxa"/>
            <w:gridSpan w:val="9"/>
            <w:tcBorders/>
            <w:shd w:fill="CCEEFF" w:val="clear"/>
            <w:tcMar>
              <w:top w:w="0" w:type="dxa"/>
              <w:left w:w="0" w:type="dxa"/>
              <w:bottom w:w="0" w:type="dxa"/>
              <w:right w:w="0" w:type="dxa"/>
            </w:tcMar>
            <w:vAlign w:val="center"/>
          </w:tcPr>
          <w:p>
            <w:pPr>
              <w:pStyle w:val="TableContents"/>
              <w:bidi w:val="0"/>
              <w:spacing w:lineRule="auto" w:line="288" w:before="0" w:after="0"/>
              <w:jc w:val="left"/>
            </w:pPr>
            <w:hyperlink w:anchor="ia22e01e7fdae4b968e9b46967ef89c75_160">
              <w:r>
                <w:rPr>
                  <w:rStyle w:val="InternetLink"/>
                  <w:rFonts w:ascii="Times New Roman;serif" w:hAnsi="Times New Roman;serif"/>
                  <w:b w:val="false"/>
                  <w:color w:val="0000FF"/>
                  <w:sz w:val="20"/>
                  <w:u w:val="single"/>
                </w:rPr>
                <w:t>Signatures</w:t>
              </w:r>
            </w:hyperlink>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pPr>
            <w:hyperlink w:anchor="ia22e01e7fdae4b968e9b46967ef89c75_160">
              <w:r>
                <w:rPr>
                  <w:rStyle w:val="InternetLink"/>
                  <w:rFonts w:ascii="Times New Roman;serif" w:hAnsi="Times New Roman;serif"/>
                  <w:b w:val="false"/>
                  <w:strike w:val="false"/>
                  <w:dstrike w:val="false"/>
                  <w:color w:val="3051F2"/>
                  <w:sz w:val="20"/>
                  <w:u w:val="none"/>
                  <w:effect w:val="none"/>
                </w:rPr>
                <w:t>50</w:t>
              </w:r>
            </w:hyperlink>
          </w:p>
        </w:tc>
      </w:tr>
    </w:tbl>
    <w:p>
      <w:pPr>
        <w:pStyle w:val="TextBody"/>
        <w:bidi w:val="0"/>
        <w:spacing w:before="0" w:after="0"/>
        <w:jc w:val="both"/>
      </w:pPr>
      <w:r/>
    </w:p>
    <w:p>
      <w:pPr>
        <w:pStyle w:val="TextBody"/>
        <w:bidi w:val="0"/>
        <w:spacing w:lineRule="auto" w:line="288" w:before="0" w:after="0"/>
        <w:jc w:val="both"/>
      </w:pPr>
      <w:r>
        <w:rPr>
          <w:rFonts w:ascii="Times New Roman;serif" w:hAnsi="Times New Roman;serif"/>
          <w:b w:val="false"/>
          <w:color w:val="000000"/>
          <w:sz w:val="20"/>
          <w:shd w:fill="FFFFFF" w:val="clear"/>
        </w:rPr>
        <w:t>ACM Research, Inc., or ACM Research, is a Delaware corporation founded in California in 1998 to supply capital equipment developed for the global semiconductor industry. Since 2005, ACM Research has conducted its business operations principally through its subsidiary ACM Research (Shanghai), Inc., or ACM Shanghai, a corporation formed by ACM Research in the People’s Republic of Chin</w:t>
      </w:r>
      <w:r>
        <w:rPr>
          <w:rFonts w:ascii="Times New Roman;serif" w:hAnsi="Times New Roman;serif"/>
          <w:b w:val="false"/>
          <w:color w:val="000000"/>
          <w:sz w:val="20"/>
        </w:rPr>
        <w:t>a, or mainland Chi</w:t>
      </w:r>
      <w:r>
        <w:rPr>
          <w:rFonts w:ascii="Times New Roman;serif" w:hAnsi="Times New Roman;serif"/>
          <w:b w:val="false"/>
          <w:color w:val="000000"/>
          <w:sz w:val="20"/>
          <w:shd w:fill="FFFFFF" w:val="clear"/>
        </w:rPr>
        <w:t>na, in 2005.</w:t>
      </w:r>
      <w:r>
        <w:rPr>
          <w:color w:val="000000"/>
        </w:rPr>
        <w:t xml:space="preserve"> </w:t>
      </w:r>
      <w:r>
        <w:rPr>
          <w:rFonts w:ascii="Times New Roman;serif" w:hAnsi="Times New Roman;serif"/>
          <w:b w:val="false"/>
          <w:color w:val="000000"/>
          <w:sz w:val="20"/>
        </w:rPr>
        <w:t xml:space="preserve">The shares of ACM Shanghai currently trade under the symbol SSEC: 688082.SS on the Shanghai Sci-Tech Innovation Board, </w:t>
      </w:r>
      <w:r>
        <w:rPr>
          <w:rFonts w:ascii="Times New Roman;serif" w:hAnsi="Times New Roman;serif"/>
          <w:b w:val="false"/>
          <w:color w:val="000000"/>
          <w:sz w:val="20"/>
          <w:shd w:fill="FFFFFF" w:val="clear"/>
        </w:rPr>
        <w:t>known as the STAR Market</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Unless the context requires otherwise, references in this report to “our company,” “our,” “us,” “we” and similar terms refer to ACM Research, Inc. and its subsidiaries, including ACM Shanghai, collectively.</w:t>
      </w:r>
    </w:p>
    <w:p>
      <w:pPr>
        <w:pStyle w:val="TextBody"/>
        <w:bidi w:val="0"/>
        <w:spacing w:before="0" w:after="0"/>
        <w:jc w:val="left"/>
      </w:pPr>
      <w:r/>
    </w:p>
    <w:p>
      <w:pPr>
        <w:pStyle w:val="TextBody"/>
        <w:bidi w:val="0"/>
        <w:spacing w:lineRule="auto" w:line="288" w:before="0" w:after="0"/>
        <w:jc w:val="both"/>
      </w:pPr>
      <w:r>
        <w:rPr>
          <w:rFonts w:ascii="Times New Roman;serif" w:hAnsi="Times New Roman;serif"/>
          <w:b w:val="false"/>
          <w:color w:val="000000"/>
          <w:sz w:val="20"/>
          <w:shd w:fill="FFFFFF" w:val="clear"/>
        </w:rPr>
        <w:t>We conduct a substantial majority of our product development, manufacturing, support and services in mainland China through ACM Shanghai.</w:t>
      </w:r>
      <w:r>
        <w:rPr>
          <w:color w:val="000000"/>
        </w:rPr>
        <w:t xml:space="preserve"> </w:t>
      </w:r>
      <w:r>
        <w:rPr>
          <w:rFonts w:ascii="Times New Roman;serif" w:hAnsi="Times New Roman;serif"/>
          <w:b w:val="false"/>
          <w:color w:val="000000"/>
          <w:sz w:val="20"/>
          <w:shd w:fill="FFFFFF" w:val="clear"/>
        </w:rPr>
        <w:t>We are not a mainland China operating company, and we do not conduct our operations in mainland China through the use of a variable interest entity or any other structure designed for the purpose of avoiding mainland China legal restrictions on direct foreign investments in mainland China-based companies. For a description of certain matters relating to our operations in mainland China, including our corporate structure, the movement of cash throughout our organization, certain audit and regulatory matters, and risks associated therewith, please see “Item 2—Management’s Discussion and Analysis of Financial Condition and Results of Operations” in this report, the disclosure at the forefront of our Annual Report on Form 10-K for the fiscal year end</w:t>
      </w:r>
      <w:r>
        <w:rPr>
          <w:rFonts w:ascii="Times New Roman;serif" w:hAnsi="Times New Roman;serif"/>
          <w:b w:val="false"/>
          <w:color w:val="000000"/>
          <w:sz w:val="20"/>
        </w:rPr>
        <w:t>ed December 31, 2025</w:t>
      </w:r>
      <w:r>
        <w:rPr>
          <w:rFonts w:ascii="Times New Roman;serif" w:hAnsi="Times New Roman;serif"/>
          <w:b w:val="false"/>
          <w:color w:val="000000"/>
          <w:sz w:val="20"/>
          <w:shd w:fill="FFFFFF" w:val="clear"/>
        </w:rPr>
        <w:t>, and the Risk Factors included t</w:t>
      </w:r>
      <w:r>
        <w:rPr>
          <w:rFonts w:ascii="Times New Roman;serif" w:hAnsi="Times New Roman;serif"/>
          <w:b w:val="false"/>
          <w:color w:val="000000"/>
          <w:sz w:val="20"/>
        </w:rPr>
        <w:t xml:space="preserve">herein, as referenced or updated by the disclosure included in “Part II. Item 1A—Risk Factors” in this report. </w:t>
      </w:r>
    </w:p>
    <w:p>
      <w:pPr>
        <w:pStyle w:val="TextBody"/>
        <w:bidi w:val="0"/>
        <w:spacing w:lineRule="auto" w:line="288" w:before="24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For purposes of this report, certain amounts in Renminbi, or RMB, have been translated into U.S. dollars solely for the convenience of the reader. The translations have been made based on the conversion rates published by the State Administration of Foreign Exchange of the People’s Republic of China.</w:t>
      </w:r>
    </w:p>
    <w:p>
      <w:pPr>
        <w:pStyle w:val="TextBody"/>
        <w:bidi w:val="0"/>
        <w:spacing w:lineRule="auto" w:line="288" w:before="24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SAPS, TEBO, ULTRA C, ULTRA Fn, Ultra ECP, Ultra ECP map, and Ultra ECP ap are trademarks of ACM Research. For convenience, these trademarks appear in this report without ™ symbols, but that practice does not mean that ACM Research will not assert, to the fullest extent under applicable law, ACM Research’s rights to the trademarks. This report also contains other companies’ trademarks, registered marks and trade names, which are the property of those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200" w:after="200"/>
        <w:jc w:val="both"/>
      </w:pPr>
      <w:hyperlink w:anchor="ia22e01e7fdae4b968e9b46967ef89c75_7">
        <w:r>
          <w:rPr>
            <w:rStyle w:val="InternetLink"/>
            <w:rFonts w:ascii="Times New Roman;serif" w:hAnsi="Times New Roman;serif"/>
            <w:b w:val="false"/>
            <w:i/>
            <w:color w:val="0000FF"/>
            <w:sz w:val="16"/>
            <w:u w:val="single"/>
            <w:shd w:fill="FFFFFF" w:val="clear"/>
          </w:rPr>
          <w:t>Table of Contents</w:t>
        </w:r>
      </w:hyperlink>
    </w:p>
    <w:p>
      <w:pPr>
        <w:pStyle w:val="TextBody"/>
        <w:bidi w:val="0"/>
        <w:spacing w:before="200" w:after="200"/>
        <w:jc w:val="both"/>
      </w:pPr>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FORWARD-LOOKING STATEMENTS AND STATISTICAL DATA</w:t>
      </w:r>
    </w:p>
    <w:p>
      <w:pPr>
        <w:pStyle w:val="TextBody"/>
        <w:bidi w:val="0"/>
        <w:spacing w:lineRule="auto" w:line="288" w:before="240" w:after="283"/>
        <w:jc w:val="both"/>
      </w:pPr>
      <w:r>
        <w:rPr>
          <w:rFonts w:ascii="Times New Roman;serif" w:hAnsi="Times New Roman;serif"/>
          <w:b w:val="false"/>
          <w:color w:val="000000"/>
          <w:sz w:val="20"/>
          <w:shd w:fill="FFFFFF" w:val="clear"/>
        </w:rPr>
        <w:t>This report contains forward-looking statements within the meaning of the Private Securities Litigation Reform Act of 1995. All statements, other than statements of historical facts</w:t>
      </w:r>
      <w:r>
        <w:rPr>
          <w:rFonts w:ascii="Times New Roman;serif" w:hAnsi="Times New Roman;serif"/>
          <w:b w:val="false"/>
          <w:color w:val="000000"/>
          <w:sz w:val="20"/>
        </w:rPr>
        <w:t xml:space="preserve">, included in this report regarding our strategy, future operations, future financial position, future revenue, projected costs, prospects, plans and objectives of management are forward-looking statements. In some cases, you can identify forward-looking statements by terms such as “may,” “might,” “will,” “objective,” “intend,” “should,” “could,” “can,” “would,” “expect,” “believe,” “anticipate,” “project,” “target,” “design,” “estimate,” “predict,” “potential,” “plan” or the negative of these terms, and similar expressions intended to identify forward-looking statements. These statements reflect our current views with </w:t>
      </w:r>
      <w:r>
        <w:rPr>
          <w:rFonts w:ascii="Times New Roman;serif" w:hAnsi="Times New Roman;serif"/>
          <w:b w:val="false"/>
          <w:color w:val="000000"/>
          <w:sz w:val="20"/>
          <w:shd w:fill="FFFFFF" w:val="clear"/>
        </w:rPr>
        <w:t xml:space="preserve">respect to future events and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including those described or incorporated by reference in “Item 1A. Risk Factors” of Part </w:t>
      </w:r>
      <w:r>
        <w:rPr>
          <w:rFonts w:ascii="Times New Roman;serif" w:hAnsi="Times New Roman;serif"/>
          <w:b w:val="false"/>
          <w:color w:val="008080"/>
          <w:sz w:val="20"/>
        </w:rPr>
        <w:t>I</w:t>
      </w:r>
      <w:r>
        <w:rPr>
          <w:color w:val="000000"/>
          <w:shd w:fill="FFFFFF" w:val="clear"/>
        </w:rPr>
        <w:t xml:space="preserve"> </w:t>
      </w:r>
      <w:r>
        <w:rPr>
          <w:rFonts w:ascii="Times New Roman;serif" w:hAnsi="Times New Roman;serif"/>
          <w:b w:val="false"/>
          <w:color w:val="000000"/>
          <w:sz w:val="20"/>
          <w:shd w:fill="FFFFFF" w:val="clear"/>
        </w:rPr>
        <w:t>of this report, that may cause our actual results, performance or achievements to be materially different from any future results, performance or achievements expressed or implied by these forward-looking statements.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information included under the heading “Item 2. Management's Discussion and Analysis of Financial Condition and Results of Operations” of Part I of this report contains statistical data and estimates, including forecasts, that are based on information provided by Frost &amp; Sullivan (as defined below) in "Global and China Semiconductor Equipment Market Research, June 2026." </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Frost &amp; Sullivan is a trademark of Frost &amp; Sullivan, Inc. and its affiliates (“Frost &amp; Sullivan”).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Frost &amp; Sullivan content described herein (the "Frost &amp; Sullivan Content"), represents research opinions or viewpoints published, as part of a syndicated subscription service, by Frost &amp; Sullivan, and are not representations of fact. Frost &amp; Sullivan speaks as of its original publication date (not as of the date of this report) and the opinions expressed in the Frost &amp; Sullivan Content are subject to change without notice.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While we are not aware of any misstatements in the Frost &amp; Sullivan Content, estimates, and in particular forecasts, involve numerous assumptions and are subject to risks and uncertainties, as well as change based on various factors, that could cause results to differ materially from those expressed in the data presented below.</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Any forward-looking statement made by us in this report speaks only as of the date on which it is made. Except as required by law, we assume no obligation to update these statements publicly or to update the reasons actual results could differ materially from those anticipated in these statements, even if new information becomes available in the future.</w:t>
      </w:r>
    </w:p>
    <w:p>
      <w:pPr>
        <w:pStyle w:val="TextBody"/>
        <w:bidi w:val="0"/>
        <w:spacing w:before="0" w:after="0"/>
        <w:jc w:val="both"/>
      </w:pPr>
      <w:r/>
    </w:p>
    <w:p>
      <w:pPr>
        <w:pStyle w:val="TextBody"/>
        <w:bidi w:val="0"/>
        <w:spacing w:lineRule="auto" w:line="288" w:before="0" w:after="0"/>
        <w:jc w:val="both"/>
      </w:pPr>
      <w:r>
        <w:rPr>
          <w:rFonts w:ascii="Times New Roman;serif" w:hAnsi="Times New Roman;serif"/>
          <w:b w:val="false"/>
          <w:color w:val="000000"/>
          <w:sz w:val="20"/>
          <w:shd w:fill="FFFFFF" w:val="clear"/>
        </w:rPr>
        <w:t>You should read this report, and the documents that we reference in this report and have filed as exhibits to this report, completely and with the understanding that our actual future results may be materially different from what we expect. We qualify all of our forward-looking statements by these cautionary statements.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200" w:after="200"/>
        <w:jc w:val="both"/>
      </w:pPr>
      <w:hyperlink w:anchor="ia22e01e7fdae4b968e9b46967ef89c75_7">
        <w:r>
          <w:rPr>
            <w:rStyle w:val="InternetLink"/>
            <w:rFonts w:ascii="Times New Roman;serif" w:hAnsi="Times New Roman;serif"/>
            <w:b w:val="false"/>
            <w:i/>
            <w:color w:val="0000FF"/>
            <w:sz w:val="16"/>
            <w:u w:val="single"/>
            <w:shd w:fill="FFFFFF" w:val="clear"/>
          </w:rPr>
          <w:t>Table of Contents</w:t>
        </w:r>
      </w:hyperlink>
    </w:p>
    <w:p>
      <w:pPr>
        <w:pStyle w:val="TextBody"/>
        <w:bidi w:val="0"/>
        <w:spacing w:before="200" w:after="200"/>
        <w:jc w:val="both"/>
      </w:p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ACM RESEARCH,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Condensed Consolidated Balance Sheets</w:t>
      </w:r>
    </w:p>
    <w:p>
      <w:pPr>
        <w:pStyle w:val="TextBody"/>
        <w:bidi w:val="0"/>
        <w:spacing w:lineRule="auto" w:line="288" w:before="0" w:after="0"/>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(In thousands, except per share data)</w:t>
      </w:r>
    </w:p>
    <w:p>
      <w:pPr>
        <w:pStyle w:val="TextBody"/>
        <w:bidi w:val="0"/>
        <w:spacing w:before="0" w:after="0"/>
        <w:jc w:val="center"/>
      </w:pPr>
      <w:r/>
    </w:p>
    <w:tbl>
      <w:tblPr>
        <w:tblW w:w="7193" w:type="dxa"/>
        <w:jc w:val="left"/>
        <w:tblInd w:w="0" w:type="dxa"/>
        <w:tblLayout w:type="fixed"/>
        <w:tblCellMar>
          <w:top w:w="28" w:type="dxa"/>
          <w:left w:w="28" w:type="dxa"/>
          <w:bottom w:w="28" w:type="dxa"/>
          <w:right w:w="28" w:type="dxa"/>
        </w:tblCellMar>
      </w:tblPr>
      <w:tblGrid>
        <w:gridCol w:w="1527"/>
        <w:gridCol w:w="1345"/>
        <w:gridCol w:w="1357"/>
        <w:gridCol w:w="211"/>
        <w:gridCol w:w="976"/>
        <w:gridCol w:w="109"/>
        <w:gridCol w:w="109"/>
        <w:gridCol w:w="109"/>
        <w:gridCol w:w="109"/>
        <w:gridCol w:w="211"/>
        <w:gridCol w:w="976"/>
        <w:gridCol w:w="154"/>
      </w:tblGrid>
      <w:tr>
        <w:tc>
          <w:tcPr>
            <w:tcW w:w="1527"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31,</w:t>
            </w:r>
          </w:p>
        </w:tc>
      </w:tr>
      <w:t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242424"/>
                <w:sz w:val="20"/>
              </w:rPr>
            </w:pPr>
            <w:r>
              <w:rPr>
                <w:rFonts w:ascii="Times New Roman;serif" w:hAnsi="Times New Roman;serif"/>
                <w:b w:val="false"/>
                <w:color w:val="242424"/>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c>
          <w:tcPr>
            <w:tcW w:w="42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242424"/>
                <w:sz w:val="20"/>
              </w:rPr>
            </w:pPr>
            <w:r>
              <w:rPr>
                <w:rFonts w:ascii="Times New Roman;serif" w:hAnsi="Times New Roman;serif"/>
                <w:b w:val="false"/>
                <w:color w:val="242424"/>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2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color w:val="000000"/>
                <w:sz w:val="20"/>
              </w:rPr>
              <w:t xml:space="preserve">Current assets: </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Cash and cash equivalents (note 2) </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884,934 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757,373 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Restricted cash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Short-term time deposits (note 2)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366,591 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Short-term investments (note 11)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Account receivables, net (note 4)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704,686 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504,250 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Other receivables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48,655 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Inventories, net (note 5)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851,224 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702,631 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Advances to related parties (note 12)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Prepaid expenses and other current assets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 xml:space="preserve">Total current assets </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3,039,819 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2,436,680 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Property, plant and equipment, net (note 6) </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414,479 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314,830 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Operating lease right-of-use assets, net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Intangible assets, net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Deferred tax assets (note 15)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Long-term investments (note 10)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66,035 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Other long-term assets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color w:val="000000"/>
                <w:sz w:val="20"/>
              </w:rPr>
              <w:t>Total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3,592,114 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2,872,185 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color w:val="000000"/>
                <w:sz w:val="20"/>
              </w:rPr>
              <w:t xml:space="preserve">Liabilities and Equity </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color w:val="000000"/>
                <w:sz w:val="20"/>
              </w:rPr>
              <w:t xml:space="preserve">Current liabilities: </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Short-term borrowings (note 7) </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74,041 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Current portion of long-term borrowings (note 9)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Related parties accounts payable (note 12)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Bills and accounts payable (note 2)</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215,440 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Advances from customers (note 3)</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187,809 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Deferred revenue (note 3)</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Income taxes payable (note 15)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FIN-48 payable (note 15)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Other payables and accrued expenses (note 8)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150,396 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Current portion of operating lease liabilities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 xml:space="preserve">Total current liabilities </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961,148 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745,712 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Long-term borrowings (note 9) </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148,276 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178,930 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Long-term operating lease liabilities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Other long-term liabilities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color w:val="000000"/>
                <w:sz w:val="20"/>
              </w:rPr>
              <w:t>Total liabilities</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1,123,930 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941,676 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color w:val="000000"/>
                <w:sz w:val="20"/>
              </w:rPr>
              <w:t xml:space="preserve">Commitments and contingencies (note 16) </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color w:val="000000"/>
                <w:sz w:val="20"/>
              </w:rPr>
              <w:t xml:space="preserve">Equity: </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color w:val="000000"/>
                <w:sz w:val="20"/>
              </w:rPr>
              <w:t xml:space="preserve">Stockholders’ equity: </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Class A Common stock (note 13)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Class B Common stock (note 13)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Additional paid-in capital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1,377,577 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1,115,504 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Retained earnings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458,263 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350,428 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Statutory surplus reserve (note 18)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Accumulated other comprehensive income (loss)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color w:val="000000"/>
                <w:sz w:val="20"/>
              </w:rPr>
              <w:t>Total ACM Research, Inc. stockholders’ equity</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1,895,927 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1,464,363 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Non-controlling interests </w:t>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572,257 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466,146 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color w:val="000000"/>
                <w:sz w:val="20"/>
              </w:rPr>
              <w:t xml:space="preserve">Total equity </w:t>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2,468,184 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1,930,509 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color w:val="000000"/>
                <w:sz w:val="20"/>
              </w:rPr>
              <w:t xml:space="preserve">Total liabilities and equity </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3,592,114 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2,872,185 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ind w:left="0" w:right="0" w:firstLine="720"/>
        <w:jc w:val="both"/>
      </w:pPr>
      <w:r/>
    </w:p>
    <w:p>
      <w:pPr>
        <w:pStyle w:val="TextBody"/>
        <w:bidi w:val="0"/>
        <w:spacing w:lineRule="auto" w:line="288" w:before="240" w:after="283"/>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200" w:after="200"/>
        <w:jc w:val="both"/>
      </w:pPr>
      <w:hyperlink w:anchor="ia22e01e7fdae4b968e9b46967ef89c75_7">
        <w:r>
          <w:rPr>
            <w:rStyle w:val="InternetLink"/>
            <w:rFonts w:ascii="Times New Roman;serif" w:hAnsi="Times New Roman;serif"/>
            <w:b w:val="false"/>
            <w:i/>
            <w:color w:val="0000FF"/>
            <w:sz w:val="16"/>
            <w:u w:val="single"/>
            <w:shd w:fill="FFFFFF" w:val="clear"/>
          </w:rPr>
          <w:t>Table of Contents</w:t>
        </w:r>
      </w:hyperlink>
    </w:p>
    <w:p>
      <w:pPr>
        <w:pStyle w:val="TextBody"/>
        <w:bidi w:val="0"/>
        <w:spacing w:before="200" w:after="200"/>
        <w:jc w:val="both"/>
      </w:pPr>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ACM RESEARCH,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Condensed Consolidated Statements of Comprehensive Income </w:t>
      </w:r>
    </w:p>
    <w:p>
      <w:pPr>
        <w:pStyle w:val="TextBody"/>
        <w:bidi w:val="0"/>
        <w:spacing w:lineRule="auto" w:line="288" w:before="0" w:after="0"/>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(In thousands, except share and per share data)</w:t>
      </w:r>
    </w:p>
    <w:p>
      <w:pPr>
        <w:pStyle w:val="TextBody"/>
        <w:bidi w:val="0"/>
        <w:spacing w:lineRule="auto" w:line="288" w:before="0" w:after="0"/>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(Unaudited)</w:t>
      </w:r>
    </w:p>
    <w:tbl>
      <w:tblPr>
        <w:tblW w:w="10205" w:type="dxa"/>
        <w:jc w:val="center"/>
        <w:tblInd w:w="0" w:type="dxa"/>
        <w:tblLayout w:type="fixed"/>
        <w:tblCellMar>
          <w:top w:w="28" w:type="dxa"/>
          <w:left w:w="28" w:type="dxa"/>
          <w:bottom w:w="28" w:type="dxa"/>
          <w:right w:w="28" w:type="dxa"/>
        </w:tblCellMar>
      </w:tblPr>
      <w:tblGrid>
        <w:gridCol w:w="3060"/>
        <w:gridCol w:w="692"/>
        <w:gridCol w:w="626"/>
        <w:gridCol w:w="251"/>
        <w:gridCol w:w="838"/>
        <w:gridCol w:w="110"/>
        <w:gridCol w:w="110"/>
        <w:gridCol w:w="110"/>
        <w:gridCol w:w="110"/>
        <w:gridCol w:w="251"/>
        <w:gridCol w:w="838"/>
        <w:gridCol w:w="110"/>
        <w:gridCol w:w="109"/>
        <w:gridCol w:w="109"/>
        <w:gridCol w:w="109"/>
        <w:gridCol w:w="241"/>
        <w:gridCol w:w="845"/>
        <w:gridCol w:w="109"/>
        <w:gridCol w:w="109"/>
        <w:gridCol w:w="109"/>
        <w:gridCol w:w="109"/>
        <w:gridCol w:w="241"/>
        <w:gridCol w:w="845"/>
        <w:gridCol w:w="164"/>
      </w:tblGrid>
      <w:tr>
        <w:tc>
          <w:tcPr>
            <w:tcW w:w="3060"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c>
          <w:tcPr>
            <w:tcW w:w="4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2" w:type="dxa"/>
            <w:gridSpan w:val="9"/>
            <w:tcBorders/>
            <w:tcMar>
              <w:top w:w="0" w:type="dxa"/>
              <w:left w:w="0" w:type="dxa"/>
              <w:bottom w:w="0" w:type="dxa"/>
              <w:right w:w="0" w:type="dxa"/>
            </w:tcMar>
            <w:vAlign w:val="center"/>
          </w:tcPr>
          <w:p>
            <w:pPr>
              <w:pStyle w:val="TableContents"/>
              <w:bidi w:val="0"/>
              <w:spacing w:lineRule="auto" w:line="288" w:before="0" w:after="0"/>
              <w:jc w:val="center"/>
            </w:pPr>
            <w:hyperlink w:anchor="ia22e01e7fdae4b968e9b46967ef89c75_22">
              <w:r>
                <w:rPr>
                  <w:rStyle w:val="InternetLink"/>
                  <w:rFonts w:ascii="Times New Roman;serif" w:hAnsi="Times New Roman;serif"/>
                  <w:b/>
                  <w:strike w:val="false"/>
                  <w:dstrike w:val="false"/>
                  <w:color w:val="000000"/>
                  <w:sz w:val="20"/>
                  <w:u w:val="none"/>
                  <w:effect w:val="none"/>
                </w:rPr>
                <w:t>Nine Months Ended September 30,</w:t>
              </w:r>
            </w:hyperlink>
          </w:p>
        </w:tc>
      </w:tr>
      <w:tr>
        <w:tc>
          <w:tcPr>
            <w:tcW w:w="4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242424"/>
                <w:sz w:val="20"/>
              </w:rPr>
            </w:pPr>
            <w:r>
              <w:rPr>
                <w:rFonts w:ascii="Times New Roman;serif" w:hAnsi="Times New Roman;serif"/>
                <w:b/>
                <w:color w:val="242424"/>
                <w:sz w:val="20"/>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242424"/>
                <w:sz w:val="20"/>
              </w:rPr>
            </w:pPr>
            <w:r>
              <w:rPr>
                <w:rFonts w:ascii="Times New Roman;serif" w:hAnsi="Times New Roman;serif"/>
                <w:b/>
                <w:color w:val="242424"/>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43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(note 3)</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367,687 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269,160 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891,869 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656,879 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7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Cost of revenue, including cost of revenue from related parties of $26,678 and $58,730 for the three and nine months ended September 30, 2026, respectively and $19,293 and $45,209 for the three and nine months ended September 30, 2025 respectively.</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215,275 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156,011 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497,601 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356,719 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7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Gross profit</w:t>
            </w:r>
          </w:p>
        </w:tc>
        <w:tc>
          <w:tcPr>
            <w:tcW w:w="10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152,412 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113,149 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394,268 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300,160 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Sales and marketing</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26,906 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22,311 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60,756 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Research and development</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51,372 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39,651 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130,175 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100,971 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General and administrative</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18,607 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22,264 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52,039 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7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Total operating expenses</w:t>
            </w:r>
          </w:p>
        </w:tc>
        <w:tc>
          <w:tcPr>
            <w:tcW w:w="10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96,885 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84,226 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252,821 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213,766 </w:t>
            </w:r>
          </w:p>
        </w:tc>
        <w:tc>
          <w:tcPr>
            <w:tcW w:w="16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Income from operations</w:t>
            </w:r>
          </w:p>
        </w:tc>
        <w:tc>
          <w:tcPr>
            <w:tcW w:w="10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55,527 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28,923 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141,447 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86,394 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7,422 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3,100 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19,283 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10,452 </w:t>
            </w:r>
          </w:p>
        </w:tc>
        <w:tc>
          <w:tcPr>
            <w:tcW w:w="16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(1,572)</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(1,851)</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(5,166)</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 on short-term investments (note 11)</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gain on short-term investments (note 11)</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(39,133)</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18,656 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20,304 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(6,923)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(26,016)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(4,019)</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from equity method investments</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(7,140)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6,395 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Income before income taxes</w:t>
            </w:r>
          </w:p>
        </w:tc>
        <w:tc>
          <w:tcPr>
            <w:tcW w:w="10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8,209 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49,087 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173,937 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114,414 </w:t>
            </w:r>
          </w:p>
        </w:tc>
        <w:tc>
          <w:tcPr>
            <w:tcW w:w="16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(note 15)</w:t>
            </w:r>
          </w:p>
        </w:tc>
        <w:tc>
          <w:tcPr>
            <w:tcW w:w="10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(1,886)</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(2,689)</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(19,129)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(6,733)</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10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6,323 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46,398 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154,808 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107,681 </w:t>
            </w:r>
          </w:p>
        </w:tc>
        <w:tc>
          <w:tcPr>
            <w:tcW w:w="164" w:type="dxa"/>
            <w:tcBorders>
              <w:top w:val="single" w:sz="8" w:space="0" w:color="000000"/>
            </w:tcBorders>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43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10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4,779 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10,509 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46,973 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21,652 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43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 attributable to ACM Research, Inc.</w:t>
            </w:r>
          </w:p>
        </w:tc>
        <w:tc>
          <w:tcPr>
            <w:tcW w:w="2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1,544 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35,889 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107,835 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86,029 </w:t>
            </w:r>
          </w:p>
        </w:tc>
        <w:tc>
          <w:tcPr>
            <w:tcW w:w="16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7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6,323 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46,398 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107,681 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7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 net of tax of nil</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25,290 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9,899 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83,228 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15,554 </w:t>
            </w:r>
          </w:p>
        </w:tc>
        <w:tc>
          <w:tcPr>
            <w:tcW w:w="16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43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Unrealized gain on available-for-sale investments, net of tax</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7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Comprehensive income</w:t>
            </w:r>
          </w:p>
        </w:tc>
        <w:tc>
          <w:tcPr>
            <w:tcW w:w="10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31,613 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58,688 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238,711 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125,626 </w:t>
            </w:r>
          </w:p>
        </w:tc>
        <w:tc>
          <w:tcPr>
            <w:tcW w:w="16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7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Less: Comprehensive income attributable to non-controlling interests</w:t>
            </w:r>
          </w:p>
        </w:tc>
        <w:tc>
          <w:tcPr>
            <w:tcW w:w="10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11,576 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13,017 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69,220 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25,224 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7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Comprehensive income attributable to ACM Research, Inc.</w:t>
            </w:r>
          </w:p>
        </w:tc>
        <w:tc>
          <w:tcPr>
            <w:tcW w:w="2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20,037 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45,671 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169,491 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100,402 </w:t>
            </w:r>
          </w:p>
        </w:tc>
        <w:tc>
          <w:tcPr>
            <w:tcW w:w="164" w:type="dxa"/>
            <w:tcBorders>
              <w:top w:val="single" w:sz="8" w:space="0" w:color="000000"/>
            </w:tcBorders>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43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ACM Research, Inc. per share of common stock (note 2):</w:t>
            </w:r>
          </w:p>
        </w:tc>
        <w:tc>
          <w:tcPr>
            <w:tcW w:w="11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5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1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0.52 </w:t>
            </w:r>
          </w:p>
        </w:tc>
        <w:tc>
          <w:tcPr>
            <w:tcW w:w="11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6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43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of common stock outstanding used in computing per share amounts (note 2):</w:t>
            </w:r>
          </w:p>
        </w:tc>
        <w:tc>
          <w:tcPr>
            <w:tcW w:w="11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43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Basic</w:t>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69,713,048</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64,381,296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67,817,058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63,876,709</w:t>
            </w:r>
          </w:p>
        </w:tc>
      </w:tr>
      <w:tr>
        <w:tc>
          <w:tcPr>
            <w:tcW w:w="43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89"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73,629,630 </w:t>
            </w:r>
          </w:p>
        </w:tc>
        <w:tc>
          <w:tcPr>
            <w:tcW w:w="110"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68,414,313 </w:t>
            </w:r>
          </w:p>
        </w:tc>
        <w:tc>
          <w:tcPr>
            <w:tcW w:w="110"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71,600,446 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67,551,302 </w:t>
            </w:r>
          </w:p>
        </w:tc>
        <w:tc>
          <w:tcPr>
            <w:tcW w:w="16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240" w:after="283"/>
        <w:jc w:val="center"/>
      </w:pPr>
      <w:r>
        <w:rPr>
          <w:rFonts w:ascii="Times New Roman;serif" w:hAnsi="Times New Roman;serif"/>
          <w:b w:val="false"/>
          <w:i/>
          <w:color w:val="000000"/>
          <w:sz w:val="20"/>
        </w:rPr>
        <w:t>The accompanying notes are an integral</w:t>
      </w:r>
      <w:r>
        <w:rPr>
          <w:color w:val="000000"/>
          <w:shd w:fill="FFFFFF" w:val="clear"/>
        </w:rPr>
        <w:t xml:space="preserve"> </w:t>
      </w:r>
      <w:r>
        <w:rPr>
          <w:rFonts w:ascii="Times New Roman;serif" w:hAnsi="Times New Roman;serif"/>
          <w:b w:val="false"/>
          <w:i/>
          <w:color w:val="000000"/>
          <w:sz w:val="20"/>
          <w:shd w:fill="FFFFFF" w:val="clear"/>
        </w:rPr>
        <w:t>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200" w:after="200"/>
        <w:jc w:val="both"/>
      </w:pPr>
      <w:hyperlink w:anchor="ia22e01e7fdae4b968e9b46967ef89c75_7">
        <w:r>
          <w:rPr>
            <w:rStyle w:val="InternetLink"/>
            <w:rFonts w:ascii="Times New Roman;serif" w:hAnsi="Times New Roman;serif"/>
            <w:b w:val="false"/>
            <w:i/>
            <w:color w:val="0000FF"/>
            <w:sz w:val="16"/>
            <w:u w:val="single"/>
            <w:shd w:fill="FFFFFF" w:val="clear"/>
          </w:rPr>
          <w:t>Table of Contents</w:t>
        </w:r>
      </w:hyperlink>
    </w:p>
    <w:p>
      <w:pPr>
        <w:pStyle w:val="TextBody"/>
        <w:bidi w:val="0"/>
        <w:spacing w:before="200" w:after="200"/>
        <w:jc w:val="both"/>
      </w:pPr>
      <w:r/>
    </w:p>
    <w:p>
      <w:pPr>
        <w:pStyle w:val="TextBody"/>
        <w:bidi w:val="0"/>
        <w:spacing w:lineRule="auto" w:line="288" w:before="12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ACM RESEARCH,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Condensed Consolidated Statements of Changes in Equity</w:t>
      </w:r>
    </w:p>
    <w:p>
      <w:pPr>
        <w:pStyle w:val="TextBody"/>
        <w:bidi w:val="0"/>
        <w:spacing w:lineRule="auto" w:line="288" w:before="0" w:after="0"/>
        <w:jc w:val="center"/>
      </w:pPr>
      <w:r>
        <w:rPr>
          <w:rFonts w:ascii="Times New Roman;serif" w:hAnsi="Times New Roman;serif"/>
          <w:b/>
          <w:color w:val="000000"/>
          <w:sz w:val="20"/>
          <w:shd w:fill="FFFFFF" w:val="clear"/>
        </w:rPr>
        <w:t xml:space="preserve">For the Three Months Ended </w:t>
      </w:r>
      <w:hyperlink w:anchor="ia22e01e7fdae4b968e9b46967ef89c75_22">
        <w:r>
          <w:rPr>
            <w:rStyle w:val="InternetLink"/>
            <w:rFonts w:ascii="Times New Roman;serif" w:hAnsi="Times New Roman;serif"/>
            <w:b w:val="false"/>
            <w:color w:val="0000FF"/>
            <w:sz w:val="20"/>
            <w:u w:val="single"/>
          </w:rPr>
          <w:t xml:space="preserve">September 30, 2026 </w:t>
        </w:r>
      </w:hyperlink>
      <w:r>
        <w:rPr>
          <w:rFonts w:ascii="Times New Roman;serif" w:hAnsi="Times New Roman;serif"/>
          <w:b/>
          <w:color w:val="000000"/>
          <w:sz w:val="20"/>
          <w:shd w:fill="FFFFFF" w:val="clear"/>
        </w:rPr>
        <w:t>and 2025</w:t>
      </w:r>
    </w:p>
    <w:p>
      <w:pPr>
        <w:pStyle w:val="TextBody"/>
        <w:bidi w:val="0"/>
        <w:spacing w:lineRule="auto" w:line="288" w:before="0" w:after="0"/>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(In thousands, except share and per share data)</w:t>
      </w:r>
    </w:p>
    <w:p>
      <w:pPr>
        <w:pStyle w:val="TextBody"/>
        <w:bidi w:val="0"/>
        <w:spacing w:lineRule="auto" w:line="288" w:before="0" w:after="0"/>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(Unaudited)</w:t>
      </w:r>
    </w:p>
    <w:tbl>
      <w:tblPr>
        <w:tblW w:w="14280" w:type="dxa"/>
        <w:jc w:val="center"/>
        <w:tblInd w:w="0" w:type="dxa"/>
        <w:tblLayout w:type="fixed"/>
        <w:tblCellMar>
          <w:top w:w="28" w:type="dxa"/>
          <w:left w:w="28" w:type="dxa"/>
          <w:bottom w:w="28" w:type="dxa"/>
          <w:right w:w="28" w:type="dxa"/>
        </w:tblCellMar>
      </w:tblPr>
      <w:tblGrid>
        <w:gridCol w:w="718"/>
        <w:gridCol w:w="248"/>
        <w:gridCol w:w="250"/>
        <w:gridCol w:w="368"/>
        <w:gridCol w:w="368"/>
        <w:gridCol w:w="308"/>
        <w:gridCol w:w="109"/>
        <w:gridCol w:w="109"/>
        <w:gridCol w:w="109"/>
        <w:gridCol w:w="262"/>
        <w:gridCol w:w="342"/>
        <w:gridCol w:w="147"/>
        <w:gridCol w:w="109"/>
        <w:gridCol w:w="109"/>
        <w:gridCol w:w="109"/>
        <w:gridCol w:w="274"/>
        <w:gridCol w:w="274"/>
        <w:gridCol w:w="278"/>
        <w:gridCol w:w="109"/>
        <w:gridCol w:w="109"/>
        <w:gridCol w:w="109"/>
        <w:gridCol w:w="262"/>
        <w:gridCol w:w="342"/>
        <w:gridCol w:w="147"/>
        <w:gridCol w:w="109"/>
        <w:gridCol w:w="109"/>
        <w:gridCol w:w="109"/>
        <w:gridCol w:w="196"/>
        <w:gridCol w:w="886"/>
        <w:gridCol w:w="109"/>
        <w:gridCol w:w="109"/>
        <w:gridCol w:w="109"/>
        <w:gridCol w:w="109"/>
        <w:gridCol w:w="196"/>
        <w:gridCol w:w="751"/>
        <w:gridCol w:w="109"/>
        <w:gridCol w:w="109"/>
        <w:gridCol w:w="109"/>
        <w:gridCol w:w="109"/>
        <w:gridCol w:w="196"/>
        <w:gridCol w:w="661"/>
        <w:gridCol w:w="109"/>
        <w:gridCol w:w="109"/>
        <w:gridCol w:w="109"/>
        <w:gridCol w:w="109"/>
        <w:gridCol w:w="264"/>
        <w:gridCol w:w="893"/>
        <w:gridCol w:w="149"/>
        <w:gridCol w:w="109"/>
        <w:gridCol w:w="109"/>
        <w:gridCol w:w="109"/>
        <w:gridCol w:w="245"/>
        <w:gridCol w:w="939"/>
        <w:gridCol w:w="137"/>
        <w:gridCol w:w="196"/>
        <w:gridCol w:w="886"/>
        <w:gridCol w:w="154"/>
      </w:tblGrid>
      <w:tr>
        <w:tc>
          <w:tcPr>
            <w:tcW w:w="71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Common</w:t>
              <w:br/>
              <w:t> Stock Class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Common</w:t>
              <w:br/>
              <w:t> Stock 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Additional Paid-</w:t>
              <w:br/>
              <w:t>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Statutory </w:t>
              <w:br/>
              <w:t>Surplus</w:t>
              <w:br/>
              <w:t>Reserve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Accumulated</w:t>
              <w:br/>
              <w:t>Other</w:t>
              <w:br/>
              <w:t>Comprehensive</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Non-controlling</w:t>
              <w:br/>
              <w:t>Interests</w:t>
            </w:r>
          </w:p>
        </w:tc>
        <w:tc>
          <w:tcPr>
            <w:tcW w:w="123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br/>
              <w:t>Equity</w:t>
            </w:r>
          </w:p>
        </w:tc>
      </w:tr>
      <w:t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321" w:type="dxa"/>
            <w:gridSpan w:val="3"/>
            <w:vMerge w:val="continue"/>
            <w:tcBorders/>
            <w:tcMar>
              <w:top w:w="0" w:type="dxa"/>
              <w:left w:w="0" w:type="dxa"/>
              <w:bottom w:w="0" w:type="dxa"/>
              <w:right w:w="0" w:type="dxa"/>
            </w:tcMar>
            <w:vAlign w:val="center"/>
          </w:tcPr>
          <w:p>
            <w:pPr>
              <w:pStyle w:val="Normal"/>
              <w:bidi w:val="0"/>
              <w:jc w:val="left"/>
            </w:pPr>
            <w:r/>
          </w:p>
        </w:tc>
        <w:tc>
          <w:tcPr>
            <w:tcW w:w="1236" w:type="dxa"/>
            <w:gridSpan w:val="3"/>
            <w:vMerge w:val="continue"/>
            <w:tcBorders/>
            <w:tcMar>
              <w:top w:w="0" w:type="dxa"/>
              <w:left w:w="0" w:type="dxa"/>
              <w:bottom w:w="0" w:type="dxa"/>
              <w:right w:w="0" w:type="dxa"/>
            </w:tcMar>
            <w:vAlign w:val="center"/>
          </w:tcPr>
          <w:p>
            <w:pPr>
              <w:pStyle w:val="Normal"/>
              <w:bidi w:val="0"/>
              <w:jc w:val="left"/>
            </w:pPr>
            <w:r/>
          </w:p>
        </w:tc>
      </w:tr>
      <w:t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color w:val="000000"/>
                <w:sz w:val="18"/>
              </w:rPr>
              <w:t xml:space="preserve">Balance at June 30, 2026 </w:t>
            </w:r>
          </w:p>
        </w:tc>
        <w:tc>
          <w:tcPr>
            <w:tcW w:w="104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64,651,365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18"/>
              </w:rPr>
              <w:t>6</w:t>
            </w:r>
            <w:r>
              <w:rPr>
                <w:color w:val="000000"/>
              </w:rPr>
              <w:t> </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4,991,808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18"/>
              </w:rPr>
              <w:t>1</w:t>
            </w:r>
            <w:r>
              <w:rPr>
                <w:color w:val="000000"/>
              </w:rPr>
              <w:t> </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18"/>
              </w:rPr>
              <w:t>1,361,841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18"/>
              </w:rPr>
              <w:t>456,719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18"/>
              </w:rPr>
              <w:t>34,164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18"/>
              </w:rPr>
              <w:t>7,423</w:t>
            </w:r>
            <w:r>
              <w:rPr>
                <w:color w:val="000000"/>
              </w:rPr>
              <w:t>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18"/>
              </w:rPr>
              <w:t>544,969</w:t>
            </w:r>
            <w:r>
              <w:rPr>
                <w:color w:val="000000"/>
              </w:rPr>
              <w:t>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18"/>
              </w:rPr>
              <w:t>2,405,123</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 xml:space="preserve">Net income </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4,779 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 xml:space="preserve">Foreign currency translation adjustment </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18,493 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6,797 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25,290 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 xml:space="preserve">Exercise of stock options </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225,240 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13,491 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20,608 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 xml:space="preserve">Stock-based compensation </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2,083 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 xml:space="preserve">Capital contribution by non-controlling shareholder </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color w:val="000000"/>
                <w:sz w:val="18"/>
              </w:rPr>
              <w:t xml:space="preserve">Balance at September 30, 2026 </w:t>
            </w:r>
          </w:p>
        </w:tc>
        <w:tc>
          <w:tcPr>
            <w:tcW w:w="1044"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64,876,605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18"/>
              </w:rPr>
              <w:t>6</w:t>
            </w:r>
            <w:r>
              <w:rPr>
                <w:color w:val="000000"/>
              </w:rPr>
              <w:t> </w:t>
            </w:r>
          </w:p>
        </w:tc>
        <w:tc>
          <w:tcPr>
            <w:tcW w:w="1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4,991,808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18"/>
              </w:rPr>
              <w:t>1</w:t>
            </w:r>
            <w:r>
              <w:rPr>
                <w:color w:val="000000"/>
              </w:rPr>
              <w:t> </w:t>
            </w:r>
          </w:p>
        </w:tc>
        <w:tc>
          <w:tcPr>
            <w:tcW w:w="1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18"/>
              </w:rPr>
              <w:t>1,377,577</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18"/>
              </w:rPr>
              <w:t>458,263</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18"/>
              </w:rPr>
              <w:t>34,164</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18"/>
              </w:rPr>
              <w:t>25,916</w:t>
            </w:r>
            <w:r>
              <w:rPr>
                <w:color w:val="000000"/>
              </w:rPr>
              <w:t> </w:t>
            </w:r>
          </w:p>
        </w:tc>
        <w:tc>
          <w:tcPr>
            <w:tcW w:w="1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18"/>
              </w:rPr>
              <w:t>572,257</w:t>
            </w:r>
            <w:r>
              <w:rPr>
                <w:color w:val="000000"/>
              </w:rPr>
              <w:t> </w:t>
            </w:r>
          </w:p>
        </w:tc>
        <w:tc>
          <w:tcPr>
            <w:tcW w:w="1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18"/>
              </w:rPr>
              <w:t>2,468,184</w:t>
            </w: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color w:val="000000"/>
        </w:rPr>
      </w:pPr>
      <w:r>
        <w:rPr>
          <w:color w:val="000000"/>
        </w:rPr>
        <w:t>    </w:t>
      </w:r>
    </w:p>
    <w:tbl>
      <w:tblPr>
        <w:tblW w:w="14400" w:type="dxa"/>
        <w:jc w:val="left"/>
        <w:tblInd w:w="0" w:type="dxa"/>
        <w:tblLayout w:type="fixed"/>
        <w:tblCellMar>
          <w:top w:w="28" w:type="dxa"/>
          <w:left w:w="28" w:type="dxa"/>
          <w:bottom w:w="28" w:type="dxa"/>
          <w:right w:w="28" w:type="dxa"/>
        </w:tblCellMar>
      </w:tblPr>
      <w:tblGrid>
        <w:gridCol w:w="876"/>
        <w:gridCol w:w="229"/>
        <w:gridCol w:w="231"/>
        <w:gridCol w:w="368"/>
        <w:gridCol w:w="368"/>
        <w:gridCol w:w="308"/>
        <w:gridCol w:w="109"/>
        <w:gridCol w:w="109"/>
        <w:gridCol w:w="109"/>
        <w:gridCol w:w="262"/>
        <w:gridCol w:w="342"/>
        <w:gridCol w:w="147"/>
        <w:gridCol w:w="109"/>
        <w:gridCol w:w="109"/>
        <w:gridCol w:w="109"/>
        <w:gridCol w:w="274"/>
        <w:gridCol w:w="274"/>
        <w:gridCol w:w="278"/>
        <w:gridCol w:w="109"/>
        <w:gridCol w:w="109"/>
        <w:gridCol w:w="109"/>
        <w:gridCol w:w="262"/>
        <w:gridCol w:w="342"/>
        <w:gridCol w:w="147"/>
        <w:gridCol w:w="109"/>
        <w:gridCol w:w="109"/>
        <w:gridCol w:w="109"/>
        <w:gridCol w:w="196"/>
        <w:gridCol w:w="886"/>
        <w:gridCol w:w="109"/>
        <w:gridCol w:w="109"/>
        <w:gridCol w:w="109"/>
        <w:gridCol w:w="109"/>
        <w:gridCol w:w="196"/>
        <w:gridCol w:w="751"/>
        <w:gridCol w:w="109"/>
        <w:gridCol w:w="109"/>
        <w:gridCol w:w="109"/>
        <w:gridCol w:w="109"/>
        <w:gridCol w:w="196"/>
        <w:gridCol w:w="661"/>
        <w:gridCol w:w="109"/>
        <w:gridCol w:w="109"/>
        <w:gridCol w:w="109"/>
        <w:gridCol w:w="109"/>
        <w:gridCol w:w="264"/>
        <w:gridCol w:w="893"/>
        <w:gridCol w:w="149"/>
        <w:gridCol w:w="109"/>
        <w:gridCol w:w="109"/>
        <w:gridCol w:w="109"/>
        <w:gridCol w:w="245"/>
        <w:gridCol w:w="939"/>
        <w:gridCol w:w="137"/>
        <w:gridCol w:w="196"/>
        <w:gridCol w:w="886"/>
        <w:gridCol w:w="154"/>
      </w:tblGrid>
      <w:tr>
        <w:tc>
          <w:tcPr>
            <w:tcW w:w="87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Common</w:t>
              <w:br/>
              <w:t> Stock Class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Common</w:t>
              <w:br/>
              <w:t> Stock 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Additional Paid-</w:t>
              <w:br/>
              <w:t>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Retained</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Statutory </w:t>
              <w:br/>
              <w:t>Surplus</w:t>
              <w:br/>
              <w:t>Reserve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Non-controlling</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Interests</w:t>
            </w:r>
          </w:p>
        </w:tc>
        <w:tc>
          <w:tcPr>
            <w:tcW w:w="123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br/>
              <w:t>Equity</w:t>
            </w:r>
          </w:p>
        </w:tc>
      </w:tr>
      <w:t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Shares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Shares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321" w:type="dxa"/>
            <w:gridSpan w:val="3"/>
            <w:vMerge w:val="continue"/>
            <w:tcBorders/>
            <w:tcMar>
              <w:top w:w="0" w:type="dxa"/>
              <w:left w:w="0" w:type="dxa"/>
              <w:bottom w:w="0" w:type="dxa"/>
              <w:right w:w="0" w:type="dxa"/>
            </w:tcMar>
            <w:vAlign w:val="center"/>
          </w:tcPr>
          <w:p>
            <w:pPr>
              <w:pStyle w:val="Normal"/>
              <w:bidi w:val="0"/>
              <w:jc w:val="left"/>
            </w:pPr>
            <w:r/>
          </w:p>
        </w:tc>
        <w:tc>
          <w:tcPr>
            <w:tcW w:w="1236" w:type="dxa"/>
            <w:gridSpan w:val="3"/>
            <w:vMerge w:val="continue"/>
            <w:tcBorders/>
            <w:tcMar>
              <w:top w:w="0" w:type="dxa"/>
              <w:left w:w="0" w:type="dxa"/>
              <w:bottom w:w="0" w:type="dxa"/>
              <w:right w:w="0" w:type="dxa"/>
            </w:tcMar>
            <w:vAlign w:val="center"/>
          </w:tcPr>
          <w:p>
            <w:pPr>
              <w:pStyle w:val="Normal"/>
              <w:bidi w:val="0"/>
              <w:jc w:val="left"/>
            </w:pPr>
            <w:r/>
          </w:p>
        </w:tc>
      </w:tr>
      <w:t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at June 30, 2025</w:t>
            </w:r>
          </w:p>
        </w:tc>
        <w:tc>
          <w:tcPr>
            <w:tcW w:w="104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59,096,971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18"/>
              </w:rPr>
              <w:t>6</w:t>
            </w:r>
            <w:r>
              <w:rPr>
                <w:color w:val="000000"/>
              </w:rPr>
              <w:t> </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5,021,811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18"/>
              </w:rPr>
              <w:t>1</w:t>
            </w:r>
            <w:r>
              <w:rPr>
                <w:color w:val="000000"/>
              </w:rPr>
              <w:t> </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18"/>
              </w:rPr>
              <w:t>704,570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18"/>
              </w:rPr>
              <w:t>310,140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18"/>
              </w:rPr>
              <w:t>30,514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(58,781)</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18"/>
              </w:rPr>
              <w:t>205,239</w:t>
            </w:r>
            <w:r>
              <w:rPr>
                <w:color w:val="000000"/>
              </w:rPr>
              <w:t>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18"/>
              </w:rPr>
              <w:t>1,191,689</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 xml:space="preserve">Net income </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10,509 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46,398 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 xml:space="preserve">Issuance of shares by ACM Shanghai </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390,170 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232,794 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622,964 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 xml:space="preserve">Foreign currency translation adjustment </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7,998 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1,901 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9,899 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 xml:space="preserve">Exercise of stock options </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757,669 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4,311 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 xml:space="preserve">Stock-based compensation </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7,562 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 xml:space="preserve">Unrealized gain on available-for-sale investments, net of tax </w:t>
            </w:r>
          </w:p>
        </w:tc>
        <w:tc>
          <w:tcPr>
            <w:tcW w:w="10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1,784 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2,391 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at September 30, 2025</w:t>
            </w:r>
          </w:p>
        </w:tc>
        <w:tc>
          <w:tcPr>
            <w:tcW w:w="1044"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59,854,640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18"/>
              </w:rPr>
              <w:t>6</w:t>
            </w:r>
            <w:r>
              <w:rPr>
                <w:color w:val="000000"/>
              </w:rPr>
              <w:t> </w:t>
            </w:r>
          </w:p>
        </w:tc>
        <w:tc>
          <w:tcPr>
            <w:tcW w:w="1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5,021,811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18"/>
              </w:rPr>
              <w:t>1</w:t>
            </w:r>
            <w:r>
              <w:rPr>
                <w:color w:val="000000"/>
              </w:rPr>
              <w:t> </w:t>
            </w:r>
          </w:p>
        </w:tc>
        <w:tc>
          <w:tcPr>
            <w:tcW w:w="1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18"/>
              </w:rPr>
              <w:t>1,105,129</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18"/>
              </w:rPr>
              <w:t>346,029</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18"/>
              </w:rPr>
              <w:t>30,514</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(48,999)</w:t>
            </w:r>
          </w:p>
        </w:tc>
        <w:tc>
          <w:tcPr>
            <w:tcW w:w="1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18"/>
              </w:rPr>
              <w:t>452,534</w:t>
            </w:r>
            <w:r>
              <w:rPr>
                <w:color w:val="000000"/>
              </w:rPr>
              <w:t> </w:t>
            </w:r>
          </w:p>
        </w:tc>
        <w:tc>
          <w:tcPr>
            <w:tcW w:w="1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18"/>
              </w:rPr>
              <w:t>1,885,214</w:t>
            </w:r>
            <w:r>
              <w:rPr>
                <w:color w:val="000000"/>
              </w:rPr>
              <w:t>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pPr>
      <w:r/>
    </w:p>
    <w:p>
      <w:pPr>
        <w:pStyle w:val="TextBody"/>
        <w:bidi w:val="0"/>
        <w:spacing w:lineRule="auto" w:line="288" w:before="120" w:after="283"/>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The accompanying notes are an integral part of these condensed consolidated financial statements.</w:t>
      </w:r>
    </w:p>
    <w:p>
      <w:pPr>
        <w:pStyle w:val="TextBody"/>
        <w:bidi w:val="0"/>
        <w:spacing w:before="0" w:after="0"/>
        <w:jc w:val="center"/>
      </w:pPr>
      <w:r/>
    </w:p>
    <w:p>
      <w:pPr>
        <w:pStyle w:val="TextBody"/>
        <w:bidi w:val="0"/>
        <w:spacing w:before="0" w:after="0"/>
        <w:jc w:val="center"/>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200" w:after="200"/>
        <w:jc w:val="both"/>
      </w:pPr>
      <w:hyperlink w:anchor="ia22e01e7fdae4b968e9b46967ef89c75_7">
        <w:r>
          <w:rPr>
            <w:rStyle w:val="InternetLink"/>
            <w:rFonts w:ascii="Times New Roman;serif" w:hAnsi="Times New Roman;serif"/>
            <w:b w:val="false"/>
            <w:i/>
            <w:color w:val="0000FF"/>
            <w:sz w:val="16"/>
            <w:u w:val="single"/>
            <w:shd w:fill="FFFFFF" w:val="clear"/>
          </w:rPr>
          <w:t>Table of Contents</w:t>
        </w:r>
      </w:hyperlink>
    </w:p>
    <w:p>
      <w:pPr>
        <w:pStyle w:val="TextBody"/>
        <w:bidi w:val="0"/>
        <w:spacing w:before="200" w:after="200"/>
        <w:jc w:val="both"/>
      </w:pPr>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ACM RESEARCH,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Condensed Consolidated Statements of Changes in Equity</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For the Nine Months Ended September 30, 2026 and 2025</w:t>
      </w:r>
    </w:p>
    <w:p>
      <w:pPr>
        <w:pStyle w:val="TextBody"/>
        <w:bidi w:val="0"/>
        <w:spacing w:lineRule="auto" w:line="288" w:before="0" w:after="0"/>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(In thousands, except share and per share data)</w:t>
      </w:r>
    </w:p>
    <w:p>
      <w:pPr>
        <w:pStyle w:val="TextBody"/>
        <w:bidi w:val="0"/>
        <w:spacing w:lineRule="auto" w:line="288" w:before="0" w:after="0"/>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(Unaudited)</w:t>
      </w:r>
    </w:p>
    <w:tbl>
      <w:tblPr>
        <w:tblW w:w="12198" w:type="dxa"/>
        <w:jc w:val="center"/>
        <w:tblInd w:w="0" w:type="dxa"/>
        <w:tblLayout w:type="fixed"/>
        <w:tblCellMar>
          <w:top w:w="28" w:type="dxa"/>
          <w:left w:w="28" w:type="dxa"/>
          <w:bottom w:w="28" w:type="dxa"/>
          <w:right w:w="28" w:type="dxa"/>
        </w:tblCellMar>
      </w:tblPr>
      <w:tblGrid>
        <w:gridCol w:w="771"/>
        <w:gridCol w:w="282"/>
        <w:gridCol w:w="283"/>
        <w:gridCol w:w="488"/>
        <w:gridCol w:w="488"/>
        <w:gridCol w:w="211"/>
        <w:gridCol w:w="271"/>
        <w:gridCol w:w="354"/>
        <w:gridCol w:w="126"/>
        <w:gridCol w:w="443"/>
        <w:gridCol w:w="443"/>
        <w:gridCol w:w="211"/>
        <w:gridCol w:w="268"/>
        <w:gridCol w:w="350"/>
        <w:gridCol w:w="133"/>
        <w:gridCol w:w="196"/>
        <w:gridCol w:w="886"/>
        <w:gridCol w:w="109"/>
        <w:gridCol w:w="196"/>
        <w:gridCol w:w="751"/>
        <w:gridCol w:w="109"/>
        <w:gridCol w:w="196"/>
        <w:gridCol w:w="661"/>
        <w:gridCol w:w="109"/>
        <w:gridCol w:w="264"/>
        <w:gridCol w:w="893"/>
        <w:gridCol w:w="149"/>
        <w:gridCol w:w="245"/>
        <w:gridCol w:w="939"/>
        <w:gridCol w:w="137"/>
        <w:gridCol w:w="196"/>
        <w:gridCol w:w="886"/>
        <w:gridCol w:w="154"/>
      </w:tblGrid>
      <w:tr>
        <w:tc>
          <w:tcPr>
            <w:tcW w:w="77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Common</w:t>
              <w:br/>
              <w:t> Stock Class A</w:t>
            </w:r>
          </w:p>
        </w:tc>
        <w:tc>
          <w:tcPr>
            <w:tcW w:w="1848"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Common</w:t>
              <w:br/>
              <w:t> Stock Class B</w:t>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Additional Paid-</w:t>
              <w:br/>
              <w:t>in Capital</w:t>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Retained</w:t>
              <w:br/>
              <w:t>Earnings</w:t>
            </w:r>
          </w:p>
        </w:tc>
        <w:tc>
          <w:tcPr>
            <w:tcW w:w="96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Statutory </w:t>
              <w:br/>
              <w:t>Surplus</w:t>
              <w:br/>
              <w:t>Reserve</w:t>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Accumulated</w:t>
              <w:br/>
              <w:t>Other</w:t>
              <w:br/>
              <w:t>Comprehensive</w:t>
              <w:br/>
              <w:t>(Loss) Income</w:t>
            </w:r>
          </w:p>
        </w:tc>
        <w:tc>
          <w:tcPr>
            <w:tcW w:w="132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Non-controlling</w:t>
              <w:br/>
              <w:t>Interests</w:t>
            </w:r>
          </w:p>
        </w:tc>
        <w:tc>
          <w:tcPr>
            <w:tcW w:w="123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br/>
              <w:t>Equity</w:t>
            </w:r>
          </w:p>
        </w:tc>
      </w:tr>
      <w:t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10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Shares </w:t>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1191" w:type="dxa"/>
            <w:gridSpan w:val="3"/>
            <w:vMerge w:val="continue"/>
            <w:tcBorders/>
            <w:tcMar>
              <w:top w:w="0" w:type="dxa"/>
              <w:left w:w="0" w:type="dxa"/>
              <w:bottom w:w="0" w:type="dxa"/>
              <w:right w:w="0" w:type="dxa"/>
            </w:tcMar>
            <w:vAlign w:val="center"/>
          </w:tcPr>
          <w:p>
            <w:pPr>
              <w:pStyle w:val="Normal"/>
              <w:bidi w:val="0"/>
              <w:jc w:val="left"/>
            </w:pPr>
            <w:r/>
          </w:p>
        </w:tc>
        <w:tc>
          <w:tcPr>
            <w:tcW w:w="1056" w:type="dxa"/>
            <w:gridSpan w:val="3"/>
            <w:vMerge w:val="continue"/>
            <w:tcBorders/>
            <w:tcMar>
              <w:top w:w="0" w:type="dxa"/>
              <w:left w:w="0" w:type="dxa"/>
              <w:bottom w:w="0" w:type="dxa"/>
              <w:right w:w="0" w:type="dxa"/>
            </w:tcMar>
            <w:vAlign w:val="center"/>
          </w:tcPr>
          <w:p>
            <w:pPr>
              <w:pStyle w:val="Normal"/>
              <w:bidi w:val="0"/>
              <w:jc w:val="left"/>
            </w:pPr>
            <w:r/>
          </w:p>
        </w:tc>
        <w:tc>
          <w:tcPr>
            <w:tcW w:w="966" w:type="dxa"/>
            <w:gridSpan w:val="3"/>
            <w:vMerge w:val="continue"/>
            <w:tcBorders/>
            <w:tcMar>
              <w:top w:w="0" w:type="dxa"/>
              <w:left w:w="0" w:type="dxa"/>
              <w:bottom w:w="0" w:type="dxa"/>
              <w:right w:w="0" w:type="dxa"/>
            </w:tcMar>
            <w:vAlign w:val="center"/>
          </w:tcPr>
          <w:p>
            <w:pPr>
              <w:pStyle w:val="Normal"/>
              <w:bidi w:val="0"/>
              <w:jc w:val="left"/>
            </w:pPr>
            <w:r/>
          </w:p>
        </w:tc>
        <w:tc>
          <w:tcPr>
            <w:tcW w:w="1306" w:type="dxa"/>
            <w:gridSpan w:val="3"/>
            <w:vMerge w:val="continue"/>
            <w:tcBorders/>
            <w:tcMar>
              <w:top w:w="0" w:type="dxa"/>
              <w:left w:w="0" w:type="dxa"/>
              <w:bottom w:w="0" w:type="dxa"/>
              <w:right w:w="0" w:type="dxa"/>
            </w:tcMar>
            <w:vAlign w:val="center"/>
          </w:tcPr>
          <w:p>
            <w:pPr>
              <w:pStyle w:val="Normal"/>
              <w:bidi w:val="0"/>
              <w:jc w:val="left"/>
            </w:pPr>
            <w:r/>
          </w:p>
        </w:tc>
        <w:tc>
          <w:tcPr>
            <w:tcW w:w="1321" w:type="dxa"/>
            <w:gridSpan w:val="3"/>
            <w:vMerge w:val="continue"/>
            <w:tcBorders/>
            <w:tcMar>
              <w:top w:w="0" w:type="dxa"/>
              <w:left w:w="0" w:type="dxa"/>
              <w:bottom w:w="0" w:type="dxa"/>
              <w:right w:w="0" w:type="dxa"/>
            </w:tcMar>
            <w:vAlign w:val="center"/>
          </w:tcPr>
          <w:p>
            <w:pPr>
              <w:pStyle w:val="Normal"/>
              <w:bidi w:val="0"/>
              <w:jc w:val="left"/>
            </w:pPr>
            <w:r/>
          </w:p>
        </w:tc>
        <w:tc>
          <w:tcPr>
            <w:tcW w:w="1236" w:type="dxa"/>
            <w:gridSpan w:val="3"/>
            <w:vMerge w:val="continue"/>
            <w:tcBorders/>
            <w:tcMar>
              <w:top w:w="0" w:type="dxa"/>
              <w:left w:w="0" w:type="dxa"/>
              <w:bottom w:w="0" w:type="dxa"/>
              <w:right w:w="0" w:type="dxa"/>
            </w:tcMar>
            <w:vAlign w:val="center"/>
          </w:tcPr>
          <w:p>
            <w:pPr>
              <w:pStyle w:val="Normal"/>
              <w:bidi w:val="0"/>
              <w:jc w:val="left"/>
            </w:pPr>
            <w:r/>
          </w:p>
        </w:tc>
      </w:tr>
      <w:t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at December 31, 2025</w:t>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18"/>
              </w:rPr>
              <w:t>60,590,017</w:t>
            </w:r>
            <w:r>
              <w:rPr>
                <w:color w:val="000000"/>
              </w:rPr>
              <w:t>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18"/>
              </w:rPr>
              <w:t>6</w:t>
            </w:r>
            <w:r>
              <w:rPr>
                <w:color w:val="000000"/>
              </w:rPr>
              <w:t>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18"/>
              </w:rPr>
              <w:t>5,021,811</w:t>
            </w:r>
            <w:r>
              <w:rPr>
                <w:color w:val="000000"/>
              </w:rPr>
              <w:t>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18"/>
              </w:rPr>
              <w:t>1</w:t>
            </w:r>
            <w:r>
              <w:rPr>
                <w:color w:val="000000"/>
              </w:rPr>
              <w:t>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18"/>
              </w:rPr>
              <w:t>1,115,504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18"/>
              </w:rPr>
              <w:t>350,428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18"/>
              </w:rPr>
              <w:t>34,164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(35,740)</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18"/>
              </w:rPr>
              <w:t>466,146</w:t>
            </w:r>
            <w:r>
              <w:rPr>
                <w:color w:val="000000"/>
              </w:rPr>
              <w:t>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18"/>
              </w:rPr>
              <w:t>1,930,509</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 xml:space="preserve">Net income </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46,973 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154,808 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Unrealized gain on available-for-sale investments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ACM Research shares, net of issuance costs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2,884,615 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148,389 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 xml:space="preserve">Foreign currency translation adjustment </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61,163 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22,065 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83,228 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 xml:space="preserve">Exercise of stock options </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1,371,970 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25,544 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51,386 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 xml:space="preserve">Stock-based compensation </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4,271 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22,906 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 xml:space="preserve">Sale of ACM Shanghai shares, net of tax (note 1) </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18,706 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87,913 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 xml:space="preserve">Conversion of Class B common stock to Class A common stock </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30,003 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(30,003)</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 xml:space="preserve">Capital contribution by non-controlling shareholder </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ACM Shanghai dividend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(11,768)</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at September 30, 2026</w:t>
            </w:r>
          </w:p>
        </w:tc>
        <w:tc>
          <w:tcPr>
            <w:tcW w:w="1187"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64,876,605</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18"/>
              </w:rPr>
              <w:t>6</w:t>
            </w:r>
            <w:r>
              <w:rPr>
                <w:color w:val="000000"/>
              </w:rPr>
              <w:t> </w:t>
            </w:r>
          </w:p>
        </w:tc>
        <w:tc>
          <w:tcPr>
            <w:tcW w:w="1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4,991,808</w:t>
            </w:r>
          </w:p>
        </w:tc>
        <w:tc>
          <w:tcPr>
            <w:tcW w:w="2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18"/>
              </w:rPr>
              <w:t>1</w:t>
            </w:r>
            <w:r>
              <w:rPr>
                <w:color w:val="000000"/>
              </w:rPr>
              <w:t> </w:t>
            </w:r>
          </w:p>
        </w:tc>
        <w:tc>
          <w:tcPr>
            <w:tcW w:w="1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18"/>
              </w:rPr>
              <w:t>1,377,577</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18"/>
              </w:rPr>
              <w:t>458,263</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18"/>
              </w:rPr>
              <w:t>34,164</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18"/>
              </w:rPr>
              <w:t>25,916</w:t>
            </w:r>
            <w:r>
              <w:rPr>
                <w:color w:val="000000"/>
              </w:rPr>
              <w:t> </w:t>
            </w:r>
          </w:p>
        </w:tc>
        <w:tc>
          <w:tcPr>
            <w:tcW w:w="1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18"/>
              </w:rPr>
              <w:t>572,257</w:t>
            </w:r>
            <w:r>
              <w:rPr>
                <w:color w:val="000000"/>
              </w:rPr>
              <w:t> </w:t>
            </w:r>
          </w:p>
        </w:tc>
        <w:tc>
          <w:tcPr>
            <w:tcW w:w="1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18"/>
              </w:rPr>
              <w:t>2,468,184</w:t>
            </w:r>
            <w:r>
              <w:rPr>
                <w:color w:val="000000"/>
              </w:rPr>
              <w:t>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200" w:after="200"/>
        <w:jc w:val="both"/>
      </w:pPr>
      <w:hyperlink w:anchor="ia22e01e7fdae4b968e9b46967ef89c75_7">
        <w:r>
          <w:rPr>
            <w:rStyle w:val="InternetLink"/>
            <w:rFonts w:ascii="Times New Roman;serif" w:hAnsi="Times New Roman;serif"/>
            <w:b w:val="false"/>
            <w:i/>
            <w:color w:val="0000FF"/>
            <w:sz w:val="16"/>
            <w:u w:val="single"/>
            <w:shd w:fill="FFFFFF" w:val="clear"/>
          </w:rPr>
          <w:t>Table of Contents</w:t>
        </w:r>
      </w:hyperlink>
    </w:p>
    <w:p>
      <w:pPr>
        <w:pStyle w:val="TextBody"/>
        <w:bidi w:val="0"/>
        <w:spacing w:before="200" w:after="200"/>
        <w:jc w:val="both"/>
      </w:pPr>
      <w:r/>
    </w:p>
    <w:tbl>
      <w:tblPr>
        <w:tblW w:w="12198" w:type="dxa"/>
        <w:jc w:val="left"/>
        <w:tblInd w:w="0" w:type="dxa"/>
        <w:tblLayout w:type="fixed"/>
        <w:tblCellMar>
          <w:top w:w="28" w:type="dxa"/>
          <w:left w:w="28" w:type="dxa"/>
          <w:bottom w:w="28" w:type="dxa"/>
          <w:right w:w="28" w:type="dxa"/>
        </w:tblCellMar>
      </w:tblPr>
      <w:tblGrid>
        <w:gridCol w:w="771"/>
        <w:gridCol w:w="282"/>
        <w:gridCol w:w="283"/>
        <w:gridCol w:w="488"/>
        <w:gridCol w:w="488"/>
        <w:gridCol w:w="211"/>
        <w:gridCol w:w="271"/>
        <w:gridCol w:w="354"/>
        <w:gridCol w:w="126"/>
        <w:gridCol w:w="443"/>
        <w:gridCol w:w="443"/>
        <w:gridCol w:w="211"/>
        <w:gridCol w:w="268"/>
        <w:gridCol w:w="350"/>
        <w:gridCol w:w="133"/>
        <w:gridCol w:w="196"/>
        <w:gridCol w:w="886"/>
        <w:gridCol w:w="109"/>
        <w:gridCol w:w="196"/>
        <w:gridCol w:w="751"/>
        <w:gridCol w:w="109"/>
        <w:gridCol w:w="196"/>
        <w:gridCol w:w="661"/>
        <w:gridCol w:w="109"/>
        <w:gridCol w:w="264"/>
        <w:gridCol w:w="893"/>
        <w:gridCol w:w="149"/>
        <w:gridCol w:w="245"/>
        <w:gridCol w:w="939"/>
        <w:gridCol w:w="137"/>
        <w:gridCol w:w="196"/>
        <w:gridCol w:w="886"/>
        <w:gridCol w:w="154"/>
      </w:tblGrid>
      <w:tr>
        <w:tc>
          <w:tcPr>
            <w:tcW w:w="77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Common</w:t>
              <w:br/>
              <w:t> Stock Class A</w:t>
            </w:r>
          </w:p>
        </w:tc>
        <w:tc>
          <w:tcPr>
            <w:tcW w:w="1848"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Common</w:t>
              <w:br/>
              <w:t> Stock Class B</w:t>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Additional Paid-</w:t>
              <w:br/>
              <w:t>in Capital</w:t>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Retained</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Earnings</w:t>
            </w:r>
          </w:p>
        </w:tc>
        <w:tc>
          <w:tcPr>
            <w:tcW w:w="96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Statutory </w:t>
              <w:br/>
              <w:t>Surplus</w:t>
              <w:br/>
              <w:t>Reserve</w:t>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Accumulated</w:t>
              <w:br/>
              <w:t>Other</w:t>
              <w:br/>
              <w:t>Comprehensive</w:t>
              <w:br/>
              <w:t>Loss</w:t>
            </w:r>
          </w:p>
        </w:tc>
        <w:tc>
          <w:tcPr>
            <w:tcW w:w="1321"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Non-controlling</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Interests</w:t>
            </w:r>
          </w:p>
        </w:tc>
        <w:tc>
          <w:tcPr>
            <w:tcW w:w="123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br/>
              <w:t>Equity</w:t>
            </w:r>
          </w:p>
        </w:tc>
      </w:tr>
      <w:t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10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1191" w:type="dxa"/>
            <w:gridSpan w:val="3"/>
            <w:vMerge w:val="continue"/>
            <w:tcBorders/>
            <w:tcMar>
              <w:top w:w="0" w:type="dxa"/>
              <w:left w:w="0" w:type="dxa"/>
              <w:bottom w:w="0" w:type="dxa"/>
              <w:right w:w="0" w:type="dxa"/>
            </w:tcMar>
            <w:vAlign w:val="center"/>
          </w:tcPr>
          <w:p>
            <w:pPr>
              <w:pStyle w:val="Normal"/>
              <w:bidi w:val="0"/>
              <w:jc w:val="left"/>
            </w:pPr>
            <w:r/>
          </w:p>
        </w:tc>
        <w:tc>
          <w:tcPr>
            <w:tcW w:w="1056" w:type="dxa"/>
            <w:gridSpan w:val="3"/>
            <w:vMerge w:val="continue"/>
            <w:tcBorders/>
            <w:tcMar>
              <w:top w:w="0" w:type="dxa"/>
              <w:left w:w="0" w:type="dxa"/>
              <w:bottom w:w="0" w:type="dxa"/>
              <w:right w:w="0" w:type="dxa"/>
            </w:tcMar>
            <w:vAlign w:val="center"/>
          </w:tcPr>
          <w:p>
            <w:pPr>
              <w:pStyle w:val="Normal"/>
              <w:bidi w:val="0"/>
              <w:jc w:val="left"/>
            </w:pPr>
            <w:r/>
          </w:p>
        </w:tc>
        <w:tc>
          <w:tcPr>
            <w:tcW w:w="966" w:type="dxa"/>
            <w:gridSpan w:val="3"/>
            <w:vMerge w:val="continue"/>
            <w:tcBorders/>
            <w:tcMar>
              <w:top w:w="0" w:type="dxa"/>
              <w:left w:w="0" w:type="dxa"/>
              <w:bottom w:w="0" w:type="dxa"/>
              <w:right w:w="0" w:type="dxa"/>
            </w:tcMar>
            <w:vAlign w:val="center"/>
          </w:tcPr>
          <w:p>
            <w:pPr>
              <w:pStyle w:val="Normal"/>
              <w:bidi w:val="0"/>
              <w:jc w:val="left"/>
            </w:pPr>
            <w:r/>
          </w:p>
        </w:tc>
        <w:tc>
          <w:tcPr>
            <w:tcW w:w="1306" w:type="dxa"/>
            <w:gridSpan w:val="3"/>
            <w:vMerge w:val="continue"/>
            <w:tcBorders/>
            <w:tcMar>
              <w:top w:w="0" w:type="dxa"/>
              <w:left w:w="0" w:type="dxa"/>
              <w:bottom w:w="0" w:type="dxa"/>
              <w:right w:w="0" w:type="dxa"/>
            </w:tcMar>
            <w:vAlign w:val="center"/>
          </w:tcPr>
          <w:p>
            <w:pPr>
              <w:pStyle w:val="Normal"/>
              <w:bidi w:val="0"/>
              <w:jc w:val="left"/>
            </w:pPr>
            <w:r/>
          </w:p>
        </w:tc>
        <w:tc>
          <w:tcPr>
            <w:tcW w:w="1321" w:type="dxa"/>
            <w:gridSpan w:val="3"/>
            <w:vMerge w:val="continue"/>
            <w:tcBorders/>
            <w:tcMar>
              <w:top w:w="0" w:type="dxa"/>
              <w:left w:w="0" w:type="dxa"/>
              <w:bottom w:w="0" w:type="dxa"/>
              <w:right w:w="0" w:type="dxa"/>
            </w:tcMar>
            <w:vAlign w:val="center"/>
          </w:tcPr>
          <w:p>
            <w:pPr>
              <w:pStyle w:val="Normal"/>
              <w:bidi w:val="0"/>
              <w:jc w:val="left"/>
            </w:pPr>
            <w:r/>
          </w:p>
        </w:tc>
        <w:tc>
          <w:tcPr>
            <w:tcW w:w="1236" w:type="dxa"/>
            <w:gridSpan w:val="3"/>
            <w:vMerge w:val="continue"/>
            <w:tcBorders/>
            <w:tcMar>
              <w:top w:w="0" w:type="dxa"/>
              <w:left w:w="0" w:type="dxa"/>
              <w:bottom w:w="0" w:type="dxa"/>
              <w:right w:w="0" w:type="dxa"/>
            </w:tcMar>
            <w:vAlign w:val="center"/>
          </w:tcPr>
          <w:p>
            <w:pPr>
              <w:pStyle w:val="Normal"/>
              <w:bidi w:val="0"/>
              <w:jc w:val="left"/>
            </w:pPr>
            <w:r/>
          </w:p>
        </w:tc>
      </w:tr>
      <w:t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color w:val="000000"/>
                <w:sz w:val="18"/>
              </w:rPr>
              <w:t xml:space="preserve">Balance at December 31, 2024 </w:t>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18"/>
              </w:rPr>
              <w:t>57,938,885</w:t>
            </w:r>
            <w:r>
              <w:rPr>
                <w:color w:val="000000"/>
              </w:rPr>
              <w:t>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18"/>
              </w:rPr>
              <w:t>6</w:t>
            </w:r>
            <w:r>
              <w:rPr>
                <w:color w:val="000000"/>
              </w:rPr>
              <w:t>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18"/>
              </w:rPr>
              <w:t>5,021,811</w:t>
            </w:r>
            <w:r>
              <w:rPr>
                <w:color w:val="000000"/>
              </w:rPr>
              <w:t>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18"/>
              </w:rPr>
              <w:t>1</w:t>
            </w:r>
            <w:r>
              <w:rPr>
                <w:color w:val="000000"/>
              </w:rPr>
              <w:t>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18"/>
              </w:rPr>
              <w:t>677,476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18"/>
              </w:rPr>
              <w:t>260,000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18"/>
              </w:rPr>
              <w:t>30,514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(63,372)</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18"/>
              </w:rPr>
              <w:t>191,281</w:t>
            </w:r>
            <w:r>
              <w:rPr>
                <w:color w:val="000000"/>
              </w:rPr>
              <w:t>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18"/>
              </w:rPr>
              <w:t>1,095,906</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 xml:space="preserve">Net income </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21,652 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107,681 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 xml:space="preserve">Repurchase of shares held by ACM Shanghai </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(2,229)</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 xml:space="preserve">Issuance of shares by ACM Shanghai </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390,170 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232,794 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622,964 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 xml:space="preserve">Foreign currency translation adjustment </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12,589 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2,965 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 xml:space="preserve">Exercise of stock options </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1,915,755 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8,316 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27,893 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 xml:space="preserve">Stock-based compensation </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4,484 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27,149 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 xml:space="preserve">Capital contribution by non-controlling shareholder </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ACM Shanghai dividend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(7,578)</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 xml:space="preserve">Unrealized gain on available-for-sale investments, net of tax </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1,784 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color w:val="000000"/>
                <w:sz w:val="18"/>
              </w:rPr>
              <w:t xml:space="preserve">Balance at September 30, 2025 </w:t>
            </w:r>
          </w:p>
        </w:tc>
        <w:tc>
          <w:tcPr>
            <w:tcW w:w="97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18"/>
              </w:rPr>
              <w:t>59,854,640</w:t>
            </w:r>
            <w:r>
              <w:rPr>
                <w:color w:val="000000"/>
              </w:rPr>
              <w:t> </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18"/>
              </w:rPr>
              <w:t>6</w:t>
            </w:r>
            <w:r>
              <w:rPr>
                <w:color w:val="000000"/>
              </w:rPr>
              <w:t> </w:t>
            </w:r>
          </w:p>
        </w:tc>
        <w:tc>
          <w:tcPr>
            <w:tcW w:w="1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18"/>
              </w:rPr>
              <w:t>5,021,811</w:t>
            </w:r>
            <w:r>
              <w:rPr>
                <w:color w:val="000000"/>
              </w:rPr>
              <w:t> </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18"/>
              </w:rPr>
              <w:t>1</w:t>
            </w:r>
            <w:r>
              <w:rPr>
                <w:color w:val="000000"/>
              </w:rPr>
              <w:t> </w:t>
            </w:r>
          </w:p>
        </w:tc>
        <w:tc>
          <w:tcPr>
            <w:tcW w:w="1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18"/>
              </w:rPr>
              <w:t>1,105,129</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18"/>
              </w:rPr>
              <w:t>346,029</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18"/>
              </w:rPr>
              <w:t>30,514</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(48,999)</w:t>
            </w:r>
          </w:p>
        </w:tc>
        <w:tc>
          <w:tcPr>
            <w:tcW w:w="1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18"/>
              </w:rPr>
              <w:t>452,534</w:t>
            </w:r>
            <w:r>
              <w:rPr>
                <w:color w:val="000000"/>
              </w:rPr>
              <w:t> </w:t>
            </w:r>
          </w:p>
        </w:tc>
        <w:tc>
          <w:tcPr>
            <w:tcW w:w="1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18"/>
              </w:rPr>
              <w:t>1,885,214</w:t>
            </w: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color w:val="000000"/>
        </w:rPr>
      </w:pPr>
      <w:r>
        <w:rPr>
          <w:color w:val="000000"/>
        </w:rPr>
        <w:t>    </w:t>
      </w:r>
    </w:p>
    <w:p>
      <w:pPr>
        <w:pStyle w:val="TextBody"/>
        <w:bidi w:val="0"/>
        <w:spacing w:before="120" w:after="283"/>
        <w:jc w:val="center"/>
      </w:pPr>
      <w:r/>
    </w:p>
    <w:p>
      <w:pPr>
        <w:pStyle w:val="TextBody"/>
        <w:bidi w:val="0"/>
        <w:spacing w:lineRule="auto" w:line="288" w:before="120" w:after="283"/>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200" w:after="200"/>
        <w:jc w:val="both"/>
      </w:pPr>
      <w:hyperlink w:anchor="ia22e01e7fdae4b968e9b46967ef89c75_7">
        <w:r>
          <w:rPr>
            <w:rStyle w:val="InternetLink"/>
            <w:rFonts w:ascii="Times New Roman;serif" w:hAnsi="Times New Roman;serif"/>
            <w:b w:val="false"/>
            <w:i/>
            <w:color w:val="0000FF"/>
            <w:sz w:val="16"/>
            <w:u w:val="single"/>
            <w:shd w:fill="FFFFFF" w:val="clear"/>
          </w:rPr>
          <w:t>Table of Contents</w:t>
        </w:r>
      </w:hyperlink>
    </w:p>
    <w:p>
      <w:pPr>
        <w:pStyle w:val="TextBody"/>
        <w:bidi w:val="0"/>
        <w:spacing w:before="200" w:after="200"/>
        <w:jc w:val="both"/>
      </w:pPr>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ACM RESEARCH, INC.</w:t>
      </w:r>
    </w:p>
    <w:p>
      <w:pPr>
        <w:pStyle w:val="TextBody"/>
        <w:bidi w:val="0"/>
        <w:spacing w:lineRule="auto" w:line="288" w:before="0" w:after="0"/>
        <w:jc w:val="center"/>
      </w:pPr>
      <w:r>
        <w:rPr>
          <w:rFonts w:ascii="Times New Roman;serif" w:hAnsi="Times New Roman;serif"/>
          <w:b/>
          <w:color w:val="000000"/>
          <w:sz w:val="20"/>
          <w:shd w:fill="FFFFFF" w:val="clear"/>
        </w:rPr>
        <w:t>Condensed Consolid</w:t>
      </w:r>
      <w:r>
        <w:rPr>
          <w:rFonts w:ascii="Times New Roman;serif" w:hAnsi="Times New Roman;serif"/>
          <w:b/>
          <w:color w:val="000000"/>
          <w:sz w:val="20"/>
        </w:rPr>
        <w:t>ated Statements of Cash Flow</w:t>
      </w:r>
      <w:r>
        <w:rPr>
          <w:rFonts w:ascii="Times New Roman;serif" w:hAnsi="Times New Roman;serif"/>
          <w:b/>
          <w:color w:val="000000"/>
          <w:sz w:val="20"/>
          <w:shd w:fill="FFFFFF" w:val="clear"/>
        </w:rPr>
        <w:t>s</w:t>
      </w:r>
    </w:p>
    <w:p>
      <w:pPr>
        <w:pStyle w:val="TextBody"/>
        <w:bidi w:val="0"/>
        <w:spacing w:lineRule="auto" w:line="288" w:before="0" w:after="0"/>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(In thousands)</w:t>
      </w:r>
    </w:p>
    <w:p>
      <w:pPr>
        <w:pStyle w:val="TextBody"/>
        <w:bidi w:val="0"/>
        <w:spacing w:lineRule="auto" w:line="288" w:before="0" w:after="0"/>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(Unaudited)</w:t>
      </w:r>
    </w:p>
    <w:tbl>
      <w:tblPr>
        <w:tblW w:w="10205" w:type="dxa"/>
        <w:jc w:val="center"/>
        <w:tblInd w:w="0" w:type="dxa"/>
        <w:tblLayout w:type="fixed"/>
        <w:tblCellMar>
          <w:top w:w="28" w:type="dxa"/>
          <w:left w:w="28" w:type="dxa"/>
          <w:bottom w:w="28" w:type="dxa"/>
          <w:right w:w="28" w:type="dxa"/>
        </w:tblCellMar>
      </w:tblPr>
      <w:tblGrid>
        <w:gridCol w:w="2467"/>
        <w:gridCol w:w="2042"/>
        <w:gridCol w:w="2056"/>
        <w:gridCol w:w="221"/>
        <w:gridCol w:w="883"/>
        <w:gridCol w:w="114"/>
        <w:gridCol w:w="114"/>
        <w:gridCol w:w="114"/>
        <w:gridCol w:w="114"/>
        <w:gridCol w:w="221"/>
        <w:gridCol w:w="1041"/>
        <w:gridCol w:w="114"/>
        <w:gridCol w:w="109"/>
        <w:gridCol w:w="109"/>
        <w:gridCol w:w="109"/>
        <w:gridCol w:w="109"/>
        <w:gridCol w:w="109"/>
        <w:gridCol w:w="159"/>
      </w:tblGrid>
      <w:tr>
        <w:tc>
          <w:tcPr>
            <w:tcW w:w="2467" w:type="dxa"/>
            <w:tcBorders/>
            <w:vAlign w:val="center"/>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color w:val="000000"/>
                <w:sz w:val="20"/>
              </w:rPr>
              <w:t xml:space="preserve">Cash flows from operating activities: </w:t>
            </w:r>
          </w:p>
        </w:tc>
        <w:tc>
          <w:tcPr>
            <w:tcW w:w="12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Net income </w:t>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154,808 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107,681 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Adjustments to reconcile net income to net cash used in operating activities: </w:t>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Non-cash operating lease cost</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Depreciation and amortization</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18,736 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10,460 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Income from equity method investments</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(15,706)</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(6,395)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Unrealized gain on short-term investments</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(29,053)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(20,304)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Inventory provision</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18,927 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9,853 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Provision for credit losses</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9,134 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9,481 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Deferred income taxes</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(11,713)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Stock-based compensation</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22,906 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27,149 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Dividends from unconsolidated affiliates </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4,353 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Others</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Net changes in operating assets and liabilities:</w:t>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Accounts receivable</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(161,610)</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(91,349)</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Other receivables</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(48,122)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(6,041)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Inventories</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(135,162)</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(80,689)</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Advances to related parties</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Prepaid expenses and other current assets</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(16,092)</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(7,271)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Other long-term assets</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(889)</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Related parties accounts payable </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7,190 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Bills and accounts payable</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51,115 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37,354 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Advances from customers</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(31,113)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(43,254)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Deferred revenue</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7,494 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7,012 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Income taxes payable</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(16,421)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(12,934)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FIN-48 payable</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Other payables and accrued expenses</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56,150 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17,713 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Operating lease liabilities</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(3,296)</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Other long-term liabilities</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(895)</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color w:val="000000"/>
                <w:sz w:val="20"/>
              </w:rPr>
              <w:t>Net cash used in operating activities</w:t>
            </w:r>
          </w:p>
        </w:tc>
        <w:tc>
          <w:tcPr>
            <w:tcW w:w="110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(106,339)</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(44,244)</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color w:val="000000"/>
                <w:sz w:val="20"/>
              </w:rPr>
              <w:t xml:space="preserve">Cash flows from investing activities: </w:t>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Purchases of property and equipment</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(112,485)</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(42,473)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Purchase of intangible assets </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Purchase of time deposits </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(25,000)</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(37,000)</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Proceeds from redemption and maturity of time deposits </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38,005 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37,261 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Refund of deposit for land use right </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Purchase of long-term investments </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(4,698)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color w:val="000000"/>
                <w:sz w:val="20"/>
              </w:rPr>
              <w:t xml:space="preserve">Net cash used in investing activities </w:t>
            </w:r>
          </w:p>
        </w:tc>
        <w:tc>
          <w:tcPr>
            <w:tcW w:w="1104"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(105,590)</w:t>
            </w:r>
          </w:p>
        </w:tc>
        <w:tc>
          <w:tcPr>
            <w:tcW w:w="11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(42,784)</w:t>
            </w:r>
          </w:p>
        </w:tc>
        <w:tc>
          <w:tcPr>
            <w:tcW w:w="11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color w:val="000000"/>
                <w:sz w:val="20"/>
              </w:rPr>
              <w:t xml:space="preserve">Cash flows from financing activities: </w:t>
            </w:r>
          </w:p>
        </w:tc>
        <w:tc>
          <w:tcPr>
            <w:tcW w:w="12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Proceeds from short-term borrowings </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129,032 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59,450 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Repayments of short-term borrowings </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(76,230)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(47,648)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Proceeds from long-term borrowings </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75,525 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119,651 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Repayments of long-term borrowings </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(86,850)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(29,871)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Capital contribution by non-controlling shareholder </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Proceeds from exercise of stock options </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51,386 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27,893 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Gross proceeds from sales of ACM Shanghai shares </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110,243 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Net proceeds from issuance of ACM Shanghai shares </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622,964 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ACM Research shares, net of issuance costs</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148,389 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Repurchase of ACM Shanghai shares </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(6,988)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ACM Shanghai dividends </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(11,768)</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(7,578)</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cash provided by financing activities</w:t>
            </w:r>
          </w:p>
        </w:tc>
        <w:tc>
          <w:tcPr>
            <w:tcW w:w="110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339,865 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738,115 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Effect of exchange rate changes on cash, cash equivalents and restricted cash </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12,548 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4,942 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Net increase in cash, cash equivalents and restricted cash </w:t>
            </w:r>
          </w:p>
        </w:tc>
        <w:tc>
          <w:tcPr>
            <w:tcW w:w="11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140,484 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656,029 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period</w:t>
            </w:r>
          </w:p>
        </w:tc>
        <w:tc>
          <w:tcPr>
            <w:tcW w:w="110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765,962 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411,310 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 at end of period</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906,446</w:t>
            </w:r>
            <w:r>
              <w:rPr>
                <w:color w:val="000000"/>
              </w:rPr>
              <w:t>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1,067,339</w:t>
            </w:r>
            <w:r>
              <w:rPr>
                <w:color w:val="000000"/>
              </w:rPr>
              <w:t>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Supplemental disclosure of cash flow information:</w:t>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Interest paid</w:t>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5,564 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5,166 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Income taxes paid </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44,153 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29,951 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color w:val="000000"/>
                <w:sz w:val="20"/>
              </w:rPr>
              <w:t xml:space="preserve">Reconciliation of cash, cash equivalents and restricted cash in consolidated statements of cash flows: </w:t>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Cash and cash equivalents </w:t>
            </w:r>
          </w:p>
        </w:tc>
        <w:tc>
          <w:tcPr>
            <w:tcW w:w="2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884,934 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1,058,909 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Restricted cash </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21,512 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8,430 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color w:val="000000"/>
                <w:sz w:val="20"/>
              </w:rPr>
              <w:t xml:space="preserve">Cash, cash equivalents and restricted cash </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906,446</w:t>
            </w:r>
            <w:r>
              <w:rPr>
                <w:color w:val="000000"/>
              </w:rPr>
              <w:t>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1,067,339</w:t>
            </w:r>
            <w:r>
              <w:rPr>
                <w:color w:val="000000"/>
              </w:rPr>
              <w:t>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color w:val="000000"/>
                <w:sz w:val="20"/>
              </w:rPr>
              <w:t xml:space="preserve">Non-cash investing activities: </w:t>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Transfer of prepayment for property to property, plant, and equipment </w:t>
            </w:r>
          </w:p>
        </w:tc>
        <w:tc>
          <w:tcPr>
            <w:tcW w:w="2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Transfer from other non-current assets to long term investment </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16,737 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Transfer from inventories to property, plant and equipment </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Purchases of property, plant and equipment through other payables and accrued expenses </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18,014 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21,352 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color w:val="000000"/>
                <w:sz w:val="20"/>
              </w:rPr>
              <w:t xml:space="preserve">Non-cash financing activities: </w:t>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5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Cashless exercise of stock options </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6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Deferred offering costs included in other payables and accrued expenses</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color w:val="000000"/>
        </w:rPr>
      </w:pPr>
      <w:r>
        <w:rPr>
          <w:color w:val="000000"/>
        </w:rPr>
        <w:t>        </w:t>
      </w:r>
    </w:p>
    <w:p>
      <w:pPr>
        <w:pStyle w:val="TextBody"/>
        <w:bidi w:val="0"/>
        <w:spacing w:lineRule="auto" w:line="288" w:before="240" w:after="283"/>
        <w:jc w:val="center"/>
        <w:rPr>
          <w:color w:val="000000"/>
        </w:rPr>
      </w:pPr>
      <w:r>
        <w:rPr>
          <w:color w:val="000000"/>
        </w:rPr>
        <w:t>        </w:t>
      </w:r>
    </w:p>
    <w:p>
      <w:pPr>
        <w:pStyle w:val="TextBody"/>
        <w:bidi w:val="0"/>
        <w:spacing w:lineRule="auto" w:line="288" w:before="120" w:after="283"/>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200" w:after="200"/>
        <w:jc w:val="both"/>
      </w:pPr>
      <w:hyperlink w:anchor="ia22e01e7fdae4b968e9b46967ef89c75_7">
        <w:r>
          <w:rPr>
            <w:rStyle w:val="InternetLink"/>
            <w:rFonts w:ascii="Times New Roman;serif" w:hAnsi="Times New Roman;serif"/>
            <w:b w:val="false"/>
            <w:i/>
            <w:color w:val="0000FF"/>
            <w:sz w:val="16"/>
            <w:u w:val="single"/>
            <w:shd w:fill="FFFFFF" w:val="clear"/>
          </w:rPr>
          <w:t>Table 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ACM RESEARCH,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the Condensed Consolidated Financial Statements</w:t>
      </w:r>
    </w:p>
    <w:p>
      <w:pPr>
        <w:pStyle w:val="TextBody"/>
        <w:bidi w:val="0"/>
        <w:spacing w:lineRule="auto" w:line="288" w:before="0" w:after="0"/>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(In thousands, except share, percentage and per share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 – DESCRIPTION OF BUSINESS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ACM Research, Inc. (“ACM” or “ACM Research”) and its subsidiaries (collectively with ACM, the “Company”) develop, manufacture and sell capital equipment to the global semiconductor industry.</w:t>
      </w:r>
    </w:p>
    <w:p>
      <w:pPr>
        <w:pStyle w:val="TextBody"/>
        <w:bidi w:val="0"/>
        <w:spacing w:lineRule="auto" w:line="288" w:before="240" w:after="283"/>
        <w:jc w:val="both"/>
      </w:pPr>
      <w:r>
        <w:rPr>
          <w:rFonts w:ascii="Times New Roman;serif" w:hAnsi="Times New Roman;serif"/>
          <w:b w:val="false"/>
          <w:color w:val="000000"/>
          <w:sz w:val="20"/>
        </w:rPr>
        <w:t>The Company has direct or i</w:t>
      </w:r>
      <w:r>
        <w:rPr>
          <w:rFonts w:ascii="Times New Roman;serif" w:hAnsi="Times New Roman;serif"/>
          <w:b w:val="false"/>
          <w:color w:val="000000"/>
          <w:sz w:val="20"/>
          <w:shd w:fill="FFFFFF" w:val="clear"/>
        </w:rPr>
        <w:t>ndirect interests in the follow</w:t>
      </w:r>
      <w:r>
        <w:rPr>
          <w:rFonts w:ascii="Times New Roman;serif" w:hAnsi="Times New Roman;serif"/>
          <w:b w:val="false"/>
          <w:color w:val="000000"/>
          <w:sz w:val="20"/>
        </w:rPr>
        <w:t>ing subsidiaries:</w:t>
      </w:r>
    </w:p>
    <w:tbl>
      <w:tblPr>
        <w:tblW w:w="10205" w:type="dxa"/>
        <w:jc w:val="left"/>
        <w:tblInd w:w="0" w:type="dxa"/>
        <w:tblLayout w:type="fixed"/>
        <w:tblCellMar>
          <w:top w:w="28" w:type="dxa"/>
          <w:left w:w="28" w:type="dxa"/>
          <w:bottom w:w="28" w:type="dxa"/>
          <w:right w:w="28" w:type="dxa"/>
        </w:tblCellMar>
      </w:tblPr>
      <w:tblGrid>
        <w:gridCol w:w="1129"/>
        <w:gridCol w:w="798"/>
        <w:gridCol w:w="799"/>
        <w:gridCol w:w="802"/>
        <w:gridCol w:w="802"/>
        <w:gridCol w:w="804"/>
        <w:gridCol w:w="1066"/>
        <w:gridCol w:w="798"/>
        <w:gridCol w:w="801"/>
        <w:gridCol w:w="308"/>
        <w:gridCol w:w="308"/>
        <w:gridCol w:w="575"/>
        <w:gridCol w:w="308"/>
        <w:gridCol w:w="308"/>
        <w:gridCol w:w="599"/>
      </w:tblGrid>
      <w:tr>
        <w:tc>
          <w:tcPr>
            <w:tcW w:w="1129"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c>
          <w:tcPr>
            <w:tcW w:w="2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6"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Effective interest held as at</w:t>
            </w:r>
          </w:p>
        </w:tc>
      </w:tr>
      <w:tr>
        <w:tc>
          <w:tcPr>
            <w:tcW w:w="27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Subsidiaries</w:t>
            </w:r>
          </w:p>
        </w:tc>
        <w:tc>
          <w:tcPr>
            <w:tcW w:w="24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Place and date of incorporation</w:t>
            </w:r>
          </w:p>
        </w:tc>
        <w:tc>
          <w:tcPr>
            <w:tcW w:w="2665"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color w:val="000000"/>
                <w:sz w:val="20"/>
              </w:rPr>
              <w:t xml:space="preserve">Principal Activities </w:t>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w:t>
              <w:br/>
              <w:t>2026</w:t>
            </w:r>
          </w:p>
        </w:tc>
        <w:tc>
          <w:tcPr>
            <w:tcW w:w="12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c>
          <w:tcPr>
            <w:tcW w:w="27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ACM Research (Shanghai), Inc. ("ACM Shanghai") </w:t>
            </w:r>
          </w:p>
        </w:tc>
        <w:tc>
          <w:tcPr>
            <w:tcW w:w="240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Mainland China, May 2005 </w:t>
            </w:r>
          </w:p>
        </w:tc>
        <w:tc>
          <w:tcPr>
            <w:tcW w:w="266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Principal operating subsidiary </w:t>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72.8 </w:t>
            </w:r>
          </w:p>
        </w:tc>
        <w:tc>
          <w:tcPr>
            <w:tcW w:w="5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74.6 </w:t>
            </w:r>
          </w:p>
        </w:tc>
        <w:tc>
          <w:tcPr>
            <w:tcW w:w="5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ACM Research (Wuxi), Inc. ("ACM Wuxi") </w:t>
            </w:r>
          </w:p>
        </w:tc>
        <w:tc>
          <w:tcPr>
            <w:tcW w:w="24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Mainland China, July 2011 </w:t>
            </w:r>
          </w:p>
        </w:tc>
        <w:tc>
          <w:tcPr>
            <w:tcW w:w="26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Sales and services </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72.8 </w:t>
            </w:r>
          </w:p>
        </w:tc>
        <w:tc>
          <w:tcPr>
            <w:tcW w:w="5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74.6 </w:t>
            </w:r>
          </w:p>
        </w:tc>
        <w:tc>
          <w:tcPr>
            <w:tcW w:w="5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CleanChip Technologies Limited ("CleanChip") </w:t>
            </w:r>
          </w:p>
        </w:tc>
        <w:tc>
          <w:tcPr>
            <w:tcW w:w="24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Hong Kong, June 2017 </w:t>
            </w:r>
          </w:p>
        </w:tc>
        <w:tc>
          <w:tcPr>
            <w:tcW w:w="26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Trading partner between ACM Shanghai and its customers </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72.8 </w:t>
            </w:r>
          </w:p>
        </w:tc>
        <w:tc>
          <w:tcPr>
            <w:tcW w:w="5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74.6 </w:t>
            </w:r>
          </w:p>
        </w:tc>
        <w:tc>
          <w:tcPr>
            <w:tcW w:w="5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ACM Research Korea CO., LTD. ("ACM Korea") </w:t>
            </w:r>
          </w:p>
        </w:tc>
        <w:tc>
          <w:tcPr>
            <w:tcW w:w="24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Republic of Korea ("South Korea"), December 2017 </w:t>
            </w:r>
          </w:p>
        </w:tc>
        <w:tc>
          <w:tcPr>
            <w:tcW w:w="26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Sales, marketing, R&amp;D, production </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72.8 </w:t>
            </w:r>
          </w:p>
        </w:tc>
        <w:tc>
          <w:tcPr>
            <w:tcW w:w="5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74.6 </w:t>
            </w:r>
          </w:p>
        </w:tc>
        <w:tc>
          <w:tcPr>
            <w:tcW w:w="5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ACM Research (Lingang), Inc. ("ACM Lingang") </w:t>
            </w:r>
          </w:p>
        </w:tc>
        <w:tc>
          <w:tcPr>
            <w:tcW w:w="24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Mainland China, March 2019 </w:t>
            </w:r>
          </w:p>
        </w:tc>
        <w:tc>
          <w:tcPr>
            <w:tcW w:w="26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Management of production activities </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72.8 </w:t>
            </w:r>
          </w:p>
        </w:tc>
        <w:tc>
          <w:tcPr>
            <w:tcW w:w="5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74.6 </w:t>
            </w:r>
          </w:p>
        </w:tc>
        <w:tc>
          <w:tcPr>
            <w:tcW w:w="5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ACM Research (CA), Inc. ("ACM California") </w:t>
            </w:r>
          </w:p>
        </w:tc>
        <w:tc>
          <w:tcPr>
            <w:tcW w:w="24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USA, April 2019 </w:t>
            </w:r>
          </w:p>
        </w:tc>
        <w:tc>
          <w:tcPr>
            <w:tcW w:w="26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Procurement for ACM Shanghai </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72.8 </w:t>
            </w:r>
          </w:p>
        </w:tc>
        <w:tc>
          <w:tcPr>
            <w:tcW w:w="5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74.6 </w:t>
            </w:r>
          </w:p>
        </w:tc>
        <w:tc>
          <w:tcPr>
            <w:tcW w:w="5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ACM Research (Cayman), Inc. </w:t>
            </w:r>
          </w:p>
        </w:tc>
        <w:tc>
          <w:tcPr>
            <w:tcW w:w="24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Cayman Islands, April 2019 </w:t>
            </w:r>
          </w:p>
        </w:tc>
        <w:tc>
          <w:tcPr>
            <w:tcW w:w="26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Administrative function (inactive) </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ACM Research (Singapore) PTE. Ltd. ("ACM Singapore") </w:t>
            </w:r>
          </w:p>
        </w:tc>
        <w:tc>
          <w:tcPr>
            <w:tcW w:w="24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Singapore, August 2021 </w:t>
            </w:r>
          </w:p>
        </w:tc>
        <w:tc>
          <w:tcPr>
            <w:tcW w:w="26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Sales, marketing, business development </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ACM Research (Beijing), Inc. ("ACM Beijing") </w:t>
            </w:r>
          </w:p>
        </w:tc>
        <w:tc>
          <w:tcPr>
            <w:tcW w:w="24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Mainland China, February 2022 </w:t>
            </w:r>
          </w:p>
        </w:tc>
        <w:tc>
          <w:tcPr>
            <w:tcW w:w="26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Sales and services </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72.8 </w:t>
            </w:r>
          </w:p>
        </w:tc>
        <w:tc>
          <w:tcPr>
            <w:tcW w:w="5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74.6 </w:t>
            </w:r>
          </w:p>
        </w:tc>
        <w:tc>
          <w:tcPr>
            <w:tcW w:w="5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Hanguk ACM CO., LTD </w:t>
            </w:r>
          </w:p>
        </w:tc>
        <w:tc>
          <w:tcPr>
            <w:tcW w:w="24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South Korea, March 2022 </w:t>
            </w:r>
          </w:p>
        </w:tc>
        <w:tc>
          <w:tcPr>
            <w:tcW w:w="26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Sales, services, business development </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Yusheng Micro Semiconductor (Shanghai) Co., Ltd. </w:t>
            </w:r>
          </w:p>
        </w:tc>
        <w:tc>
          <w:tcPr>
            <w:tcW w:w="24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Mainland China, June 2023 </w:t>
            </w:r>
          </w:p>
        </w:tc>
        <w:tc>
          <w:tcPr>
            <w:tcW w:w="26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Component development and production </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72.8 </w:t>
            </w:r>
          </w:p>
        </w:tc>
        <w:tc>
          <w:tcPr>
            <w:tcW w:w="5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74.6 </w:t>
            </w:r>
          </w:p>
        </w:tc>
        <w:tc>
          <w:tcPr>
            <w:tcW w:w="5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ACM-Wooil Microelectronics (Shanghai) Co., Ltd. </w:t>
            </w:r>
          </w:p>
        </w:tc>
        <w:tc>
          <w:tcPr>
            <w:tcW w:w="24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Mainland China, June 2023 </w:t>
            </w:r>
          </w:p>
        </w:tc>
        <w:tc>
          <w:tcPr>
            <w:tcW w:w="26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Component development and production </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53.3 </w:t>
            </w:r>
          </w:p>
        </w:tc>
        <w:tc>
          <w:tcPr>
            <w:tcW w:w="5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5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ACM Research (Chengdu), Inc. ("ACM Chengdu") </w:t>
            </w:r>
          </w:p>
        </w:tc>
        <w:tc>
          <w:tcPr>
            <w:tcW w:w="24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Mainland China, December 2024 </w:t>
            </w:r>
          </w:p>
        </w:tc>
        <w:tc>
          <w:tcPr>
            <w:tcW w:w="26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Sales and services </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72.8 </w:t>
            </w:r>
          </w:p>
        </w:tc>
        <w:tc>
          <w:tcPr>
            <w:tcW w:w="5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74.6 </w:t>
            </w:r>
          </w:p>
        </w:tc>
        <w:tc>
          <w:tcPr>
            <w:tcW w:w="5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Shengyi Micro Semiconductor (Shanghai) Co., Ltd.</w:t>
            </w:r>
          </w:p>
        </w:tc>
        <w:tc>
          <w:tcPr>
            <w:tcW w:w="24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Mainland China, December 2024</w:t>
            </w:r>
          </w:p>
        </w:tc>
        <w:tc>
          <w:tcPr>
            <w:tcW w:w="26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development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61.9 </w:t>
            </w:r>
          </w:p>
        </w:tc>
        <w:tc>
          <w:tcPr>
            <w:tcW w:w="5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63.4 </w:t>
            </w:r>
          </w:p>
        </w:tc>
        <w:tc>
          <w:tcPr>
            <w:tcW w:w="5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720"/>
        <w:jc w:val="left"/>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6, 2026, ACM completed the sale of approximately 4.8 million shares of ACM Shanghai at a price of RMB160.00 per share (approximately $23.05 per share based on the exchange rate in effect on the date of the sale), generating approximately $110.2 million in gross proceeds and approximately $86.0 million net of taxes. During the three months ended June 30, 2026, ACM Shanghai's employees exercised 2,431,900 options for shares of ACM Shanghai. During three months ended September 30, 2026, ACM Shanghai's employees exercised 2,669,625 options for shares of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pPr>
      <w:hyperlink w:anchor="ia22e01e7fdae4b968e9b46967ef89c75_7">
        <w:r>
          <w:rPr>
            <w:rStyle w:val="InternetLink"/>
            <w:rFonts w:ascii="Times New Roman;serif" w:hAnsi="Times New Roman;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ACM RESEARCH,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the Condensed Consolidated Financial Statements</w:t>
      </w:r>
    </w:p>
    <w:p>
      <w:pPr>
        <w:pStyle w:val="TextBody"/>
        <w:bidi w:val="0"/>
        <w:spacing w:lineRule="auto" w:line="288" w:before="0" w:after="0"/>
        <w:jc w:val="center"/>
      </w:pPr>
      <w:r>
        <w:rPr>
          <w:rFonts w:ascii="Times New Roman;serif" w:hAnsi="Times New Roman;serif"/>
          <w:b w:val="false"/>
          <w:i/>
          <w:color w:val="000000"/>
          <w:sz w:val="20"/>
          <w:shd w:fill="FFFFFF" w:val="clear"/>
        </w:rPr>
        <w:t xml:space="preserve">(In </w:t>
      </w:r>
      <w:r>
        <w:rPr>
          <w:rFonts w:ascii="Times New Roman;serif" w:hAnsi="Times New Roman;serif"/>
          <w:b w:val="false"/>
          <w:i/>
          <w:color w:val="000000"/>
          <w:sz w:val="20"/>
        </w:rPr>
        <w:t>thousands</w:t>
      </w:r>
      <w:r>
        <w:rPr>
          <w:rFonts w:ascii="Times New Roman;serif" w:hAnsi="Times New Roman;serif"/>
          <w:b w:val="false"/>
          <w:i/>
          <w:color w:val="000000"/>
          <w:sz w:val="20"/>
          <w:shd w:fill="FFFFFF" w:val="clear"/>
        </w:rPr>
        <w:t>, except share, percentage and per share data)</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ACM Shanghai. Following the transactions, ACM’s ownership percentage in ACM Shanghai decreased from 73.2% as of June 30, 2026 to 72.8% as of September 30, 2026. </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May 15, 2026, ACM completed the sale of approximately 2.9 million of its shares to certain investors at a price of $52.00 per share, generating approximately $148.4 million of proceeds, net of issuance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2 – SUMMARY OF SIGNIFICANT ACCOUNTING POLICIES</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Basis of Presentation and Principles of Consolidation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Company’s condensed consolidated financial statements include the accounts of ACM and its subsidiaries. ACM’s subsidiaries are those entities in which ACM, directly or indirectly, controls a majority of the voting power. All significant intercompany transactions and balances have been eliminated upon consolidation.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accompanying condensed consolidated financial statements of the Company have been prepared in accordance with U.S. generally accepted accounting principles (“GAAP”) for interim financial information and the rules and regulations of the Securities and Exchange Commission (the “SEC”) for reporting on Form 10-Q. Accordingly, they do not include all the information and footnotes required by GAAP for complete financial statements. The accompanying condensed consolidated financial statements should be read in conjunction with the historical consolidated financial statements of the Company for the year ended December 31, 2025 included in ACM’s 2025 Annual Report on Form 10-K.</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accompanying condensed consolidated financial statements are unaudited. In the opinion of management, these unaudited condensed consolidated financial statements of the Company reflect all adjustments that are necessary for a fair presentation of the Company’s financial position and results of operations. Such adjustments are of a normal recurring nature, unless otherwise noted. The condensed consolidated balance sheet as of September 30, 2026 and the condensed consolidated results of operations for the three and nine months ended September 30, 2026 are not necessarily indicative of the results to be expected for any future period.</w:t>
      </w:r>
    </w:p>
    <w:p>
      <w:pPr>
        <w:pStyle w:val="TextBody"/>
        <w:bidi w:val="0"/>
        <w:spacing w:lineRule="auto" w:line="288" w:before="240" w:after="20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Use of Estimates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preparation of the condensed consolidated financial statements in conformity with GAAP requires management to make estimates and assumptions that affect the reported amounts of assets and liabilities and disclosure of contingent assets and liabilities at the balance sheet date and the reported revenues and expenses during the reported period in the condensed consolidated financial statements and accompanying notes. The Company’s significant accounting estimates and assumptions include, but are not limited to, those used for revenue recognition and deferred revenue, stock-based compensation arrangements, uncertain tax positions, warranty liabilities, allowance for credit losses, and inventory provision.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Management evaluates these estimates and assumptions on a regular basis. Actual results could differ from those estimates and assumptions.</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Cash and Cash Equivalents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Cash and cash equivalents consist of cash on hand, bank deposits that are unrestricted as to withdrawal and use, and highly liquid investments with an original maturity date of three months or less at the date of purchase. At times, cash deposits may exceed government-insured limits.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cash and cash equivalents, according to jurisdiction as of September 30, 2026 and December 31, 2025:</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pPr>
      <w:hyperlink w:anchor="ia22e01e7fdae4b968e9b46967ef89c75_7">
        <w:r>
          <w:rPr>
            <w:rStyle w:val="InternetLink"/>
            <w:rFonts w:ascii="Times New Roman;serif" w:hAnsi="Times New Roman;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ACM RESEARCH,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the Condensed Consolidated Financial Statements</w:t>
      </w:r>
    </w:p>
    <w:p>
      <w:pPr>
        <w:pStyle w:val="TextBody"/>
        <w:bidi w:val="0"/>
        <w:spacing w:lineRule="auto" w:line="288" w:before="0" w:after="0"/>
        <w:jc w:val="center"/>
      </w:pPr>
      <w:r>
        <w:rPr>
          <w:rFonts w:ascii="Times New Roman;serif" w:hAnsi="Times New Roman;serif"/>
          <w:b w:val="false"/>
          <w:i/>
          <w:color w:val="000000"/>
          <w:sz w:val="20"/>
          <w:shd w:fill="FFFFFF" w:val="clear"/>
        </w:rPr>
        <w:t xml:space="preserve">(In </w:t>
      </w:r>
      <w:r>
        <w:rPr>
          <w:rFonts w:ascii="Times New Roman;serif" w:hAnsi="Times New Roman;serif"/>
          <w:b w:val="false"/>
          <w:i/>
          <w:color w:val="000000"/>
          <w:sz w:val="20"/>
        </w:rPr>
        <w:t>thousands</w:t>
      </w:r>
      <w:r>
        <w:rPr>
          <w:rFonts w:ascii="Times New Roman;serif" w:hAnsi="Times New Roman;serif"/>
          <w:b w:val="false"/>
          <w:i/>
          <w:color w:val="000000"/>
          <w:sz w:val="20"/>
          <w:shd w:fill="FFFFFF" w:val="clear"/>
        </w:rPr>
        <w:t>, except share, percentage and per share data)</w:t>
      </w:r>
    </w:p>
    <w:tbl>
      <w:tblPr>
        <w:tblW w:w="4586" w:type="dxa"/>
        <w:jc w:val="left"/>
        <w:tblInd w:w="0" w:type="dxa"/>
        <w:tblLayout w:type="fixed"/>
        <w:tblCellMar>
          <w:top w:w="28" w:type="dxa"/>
          <w:left w:w="28" w:type="dxa"/>
          <w:bottom w:w="28" w:type="dxa"/>
          <w:right w:w="28" w:type="dxa"/>
        </w:tblCellMar>
      </w:tblPr>
      <w:tblGrid>
        <w:gridCol w:w="599"/>
        <w:gridCol w:w="524"/>
        <w:gridCol w:w="527"/>
        <w:gridCol w:w="240"/>
        <w:gridCol w:w="941"/>
        <w:gridCol w:w="124"/>
        <w:gridCol w:w="109"/>
        <w:gridCol w:w="109"/>
        <w:gridCol w:w="109"/>
        <w:gridCol w:w="231"/>
        <w:gridCol w:w="905"/>
        <w:gridCol w:w="168"/>
      </w:tblGrid>
      <w:tr>
        <w:tc>
          <w:tcPr>
            <w:tcW w:w="59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c>
          <w:tcPr>
            <w:tcW w:w="1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337,898 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107,184 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Mainland China</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98,973 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228,777 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China Hong Kong </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443,389 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421,104 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South Korea</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Singapore</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884,934 </w:t>
            </w:r>
          </w:p>
        </w:tc>
        <w:tc>
          <w:tcPr>
            <w:tcW w:w="1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757,373 </w:t>
            </w:r>
          </w:p>
        </w:tc>
        <w:tc>
          <w:tcPr>
            <w:tcW w:w="1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Cash held in the U.S. exceeds the Federal Deposit Insurance Corporation insurance limits and is subject to risk of loss. No losses have been experienced to date.</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Cash amounts held in mainland China are subject to a series of risk control regulatory standards from mainland China bank regulatory authorities. ACM’s subsidiaries in mainland China are required to obtain approval from the State Administration of Foreign Exchange (“SAFE”) to transfer funds into or out of mainland China. SAFE requires a valid agreement to approve the transfers, which are processed through a bank. Other than these mainland China foreign exchange restrictions, ACM’s subsidiaries in mainland China are not subject to any restrictions and limitations on their ability to transfer funds to ACM or among our other subsidiaries. However, cash held in mainland China does exceed applicable insurance limits and is subject to risk of loss, although no such losses have been experienced to date.</w:t>
      </w:r>
    </w:p>
    <w:p>
      <w:pPr>
        <w:pStyle w:val="TextBody"/>
        <w:bidi w:val="0"/>
        <w:spacing w:before="0" w:after="0"/>
        <w:jc w:val="left"/>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ACM California periodically procures goods and services on behalf of ACM Shanghai. For these transactions, ACM Shanghai makes cash payments to ACM California in accordance with applicable transfer pricing arrangements. For the three months ended September 30, 2026 and 2025, cash payments from ACM Shanghai to ACM California for the procurement of goods and services were $100 and $7,500, respectively. For the nine months ended September 30, 2026 and 2025, cash payments from ACM Shanghai to ACM California for the procurement of goods and services were $3,549 and $13,683, respectively. ACM California periodically borrows funds for working capital advances from its direct parent, CleanChip. ACM California repays or renews these intercompany loans in accordance with their terms. </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sales through CleanChip and ACM Research, a certain amount of sales or advance payments from customer proceeds is repatriated back to ACM Shanghai in accordance with applicable transfer pricing arrangements in the ordinary course of business. ACM Research provides support for tools under warranty to certain customers located in the U.S., Europe and other regions outside of mainland China on behalf of ACM Shanghai. For these transactions, ACM Shanghai makes cash payments to ACM Research in accordance with applicable transfer pricing arrangements.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Cash held in Hong Kong exceeds the Hong Kong Deposit Insurance Corporation insurance limits and is subject to risk of loss. No losses have been experienced to date. There are no additional restrictions for the transfer of cash from bank accounts in the U.S., South Korea, Singapore and Hong Kong. </w:t>
      </w:r>
    </w:p>
    <w:p>
      <w:pPr>
        <w:pStyle w:val="TextBody"/>
        <w:bidi w:val="0"/>
        <w:spacing w:before="0" w:after="0"/>
        <w:jc w:val="both"/>
      </w:pPr>
      <w:r/>
    </w:p>
    <w:p>
      <w:pPr>
        <w:pStyle w:val="TextBody"/>
        <w:bidi w:val="0"/>
        <w:spacing w:lineRule="auto" w:line="288" w:before="0" w:after="0"/>
        <w:jc w:val="both"/>
      </w:pPr>
      <w:r>
        <w:rPr>
          <w:rFonts w:ascii="Times New Roman;serif" w:hAnsi="Times New Roman;serif"/>
          <w:b w:val="false"/>
          <w:color w:val="000000"/>
          <w:sz w:val="20"/>
        </w:rPr>
        <w:t>For the nine months ended September 30, 2026 and 2025, with the exception of sales and services-related transfer-pricing payments in the ordinary course of business</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and dividends paid by ACM Shanghai to the stockholders of ACM Shanghai (including ACM Research)</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 xml:space="preserve">no transfers, or distributions have been made between ACM Research and its subsidiaries, including ACM Shanghai, or to holders of ACM Research Class A common stock. </w:t>
      </w:r>
    </w:p>
    <w:p>
      <w:pPr>
        <w:pStyle w:val="TextBody"/>
        <w:bidi w:val="0"/>
        <w:spacing w:lineRule="auto" w:line="288" w:before="240" w:after="283"/>
        <w:jc w:val="both"/>
      </w:pPr>
      <w:r>
        <w:rPr>
          <w:rFonts w:ascii="Times New Roman;serif" w:hAnsi="Times New Roman;serif"/>
          <w:b w:val="false"/>
          <w:color w:val="000000"/>
          <w:sz w:val="20"/>
          <w:shd w:fill="FFFFFF" w:val="clear"/>
        </w:rPr>
        <w:t xml:space="preserve">For the nine months ended September 30, 2026 and 2025, ACM Shanghai paid </w:t>
      </w:r>
      <w:r>
        <w:rPr>
          <w:rFonts w:ascii="Times New Roman;serif" w:hAnsi="Times New Roman;serif"/>
          <w:b w:val="false"/>
          <w:color w:val="000000"/>
          <w:sz w:val="20"/>
        </w:rPr>
        <w:t>$29,125</w:t>
      </w:r>
      <w:r>
        <w:rPr>
          <w:color w:val="000000"/>
          <w:shd w:fill="FFFFFF" w:val="clear"/>
        </w:rPr>
        <w:t xml:space="preserve"> </w:t>
      </w:r>
      <w:r>
        <w:rPr>
          <w:rFonts w:ascii="Times New Roman;serif" w:hAnsi="Times New Roman;serif"/>
          <w:b w:val="false"/>
          <w:color w:val="000000"/>
          <w:sz w:val="20"/>
          <w:shd w:fill="FFFFFF" w:val="clear"/>
        </w:rPr>
        <w:t xml:space="preserve">and $29,238, in dividends, net of taxes, to ACM Research, respectively. ACM Shanghai paid a cash dividend of $11,768 and $7,578 to the non-controlling interest shareholders in the nine months ended September 30, 2026 and 2025, respectively. </w:t>
      </w:r>
    </w:p>
    <w:p>
      <w:pPr>
        <w:pStyle w:val="TextBody"/>
        <w:bidi w:val="0"/>
        <w:spacing w:lineRule="auto" w:line="288" w:before="240" w:after="283"/>
        <w:jc w:val="both"/>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Time Deposits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Time deposits are denominated in Chinese Renminbi (“RMB”) and U.S. dollars and deposited with banks in mainland China with fixed terms and interest rates and cannot be withdrawn before maturity. These deposits are presented as short-</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pPr>
      <w:hyperlink w:anchor="ia22e01e7fdae4b968e9b46967ef89c75_7">
        <w:r>
          <w:rPr>
            <w:rStyle w:val="InternetLink"/>
            <w:rFonts w:ascii="Times New Roman;serif" w:hAnsi="Times New Roman;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ACM RESEARCH,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the Condensed Consolidated Financial Statements</w:t>
      </w:r>
    </w:p>
    <w:p>
      <w:pPr>
        <w:pStyle w:val="TextBody"/>
        <w:bidi w:val="0"/>
        <w:spacing w:lineRule="auto" w:line="288" w:before="0" w:after="0"/>
        <w:jc w:val="center"/>
      </w:pPr>
      <w:r>
        <w:rPr>
          <w:rFonts w:ascii="Times New Roman;serif" w:hAnsi="Times New Roman;serif"/>
          <w:b w:val="false"/>
          <w:i/>
          <w:color w:val="000000"/>
          <w:sz w:val="20"/>
          <w:shd w:fill="FFFFFF" w:val="clear"/>
        </w:rPr>
        <w:t xml:space="preserve">(In </w:t>
      </w:r>
      <w:r>
        <w:rPr>
          <w:rFonts w:ascii="Times New Roman;serif" w:hAnsi="Times New Roman;serif"/>
          <w:b w:val="false"/>
          <w:i/>
          <w:color w:val="000000"/>
          <w:sz w:val="20"/>
        </w:rPr>
        <w:t>thousands</w:t>
      </w:r>
      <w:r>
        <w:rPr>
          <w:rFonts w:ascii="Times New Roman;serif" w:hAnsi="Times New Roman;serif"/>
          <w:b w:val="false"/>
          <w:i/>
          <w:color w:val="000000"/>
          <w:sz w:val="20"/>
          <w:shd w:fill="FFFFFF" w:val="clear"/>
        </w:rPr>
        <w:t>, except share, percentage and per share data)</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term deposits in the condensed consolidated financial statements based on their expected time of collection. They are also subject to the risk control regulatory standards described above upon maturity. </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Time deposits held as of September 30, 2026 had interest rates of 1.20% to 3.91% and mature between November 2026 and June 2027.</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Restricted Cash</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All of the Company's restricted cash was held by financial institutions located in Mainland China, Hong Kong and South Korea, and mainly represents cash secured to guarantee delivery of tools. </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Financial Instruments</w:t>
      </w:r>
    </w:p>
    <w:p>
      <w:pPr>
        <w:pStyle w:val="TextBody"/>
        <w:bidi w:val="0"/>
        <w:spacing w:before="0" w:after="0"/>
        <w:jc w:val="left"/>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periodically invests in equity and debt securities, and maintains an investment portfolio of various holdings, types, and maturities. For equity investments that do not have a readily determinable fair value, the Company classifies them as long-term investments, and records them using either: 1) the measurement alternative which measures the equity investments at cost minus impairment, if any, plus or minus changes resulting from qualifying observable price changes; or 2) the equity method whereby the Company recognizes its proportional share of the income or loss from the equity method investment. For equity investments that have a readily determinable fair value, the Company classifies them as short-term investments, and records them at fair market value on a recurring basis based upon quoted market prices. Realized and unrealized gains resulting from application of the measurement alternative, the impact of the application of the equity method to the Company’s equity investments, and recognition of changes in fair market value, as applicable, are recorded in non-operating income or loss in the condensed consolidated statements of comprehensive income.</w:t>
      </w:r>
    </w:p>
    <w:p>
      <w:pPr>
        <w:pStyle w:val="TextBody"/>
        <w:bidi w:val="0"/>
        <w:spacing w:before="0" w:after="0"/>
        <w:jc w:val="left"/>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investments in debt securities have been classified as available-for-sale securities. The Company classifies its debt securities as either short-term or long-term based on each instrument’s underlying contractual maturity date. Unrealized gains on debt securities classified as available-for-sale are recognized in accumulated other comprehensive income in the condensed consolidated balance sheets.</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Fair Value Measurement </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fair value measurements and hierarchy are consistent with those disclosed in the Company’s Annual Report on Form 10</w:t>
        <w:noBreakHyphen/>
        <w:t>K for the year ended December 31, 2025.</w:t>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br/>
        <w:t xml:space="preserve">The Company’s financial instruments primarily include its cash, cash equivalents, restricted cash, short-term and long-term deposits, short-term and long-term investments, other receivables, accounts receivable, bills and accounts payable, and short-term and long-term borrowings. The estimated fair value of cash and cash equivalents, restricted cash, short-term time deposits, accounts receivable, other receivables, bills and accounts payable, and short-term borrowings approximate their respective carrying value due to the short period of time to their maturities. </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All transfers between fair value hierarchy levels are recognized by the Company at the end of each reporting period. In certain cases, the inputs used to measure fair value may fall into different levels of the fair value hierarchy. In such cases, an investment’s level within the fair value hierarchy is based on the lowest level of input that is significant to the fair value measurement in its entirety, requires judgment and considers factors specific to the investment. The inputs or methodology used for valuing financial instruments are not necessarily an indication of the risks associated with investment in those instruments.</w:t>
      </w:r>
    </w:p>
    <w:p>
      <w:pPr>
        <w:pStyle w:val="TextBody"/>
        <w:bidi w:val="0"/>
        <w:spacing w:before="0" w:after="0"/>
        <w:jc w:val="both"/>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Assets measured at fair value on a recurring basis:</w:t>
      </w:r>
    </w:p>
    <w:p>
      <w:pPr>
        <w:pStyle w:val="TextBody"/>
        <w:bidi w:val="0"/>
        <w:spacing w:before="0" w:after="0"/>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pPr>
      <w:hyperlink w:anchor="ia22e01e7fdae4b968e9b46967ef89c75_7">
        <w:r>
          <w:rPr>
            <w:rStyle w:val="InternetLink"/>
            <w:rFonts w:ascii="Times New Roman;serif" w:hAnsi="Times New Roman;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ACM RESEARCH,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the Condensed Consolidated Financial Statements</w:t>
      </w:r>
    </w:p>
    <w:p>
      <w:pPr>
        <w:pStyle w:val="TextBody"/>
        <w:bidi w:val="0"/>
        <w:spacing w:lineRule="auto" w:line="288" w:before="0" w:after="0"/>
        <w:jc w:val="center"/>
      </w:pPr>
      <w:r>
        <w:rPr>
          <w:rFonts w:ascii="Times New Roman;serif" w:hAnsi="Times New Roman;serif"/>
          <w:b w:val="false"/>
          <w:i/>
          <w:color w:val="000000"/>
          <w:sz w:val="20"/>
          <w:shd w:fill="FFFFFF" w:val="clear"/>
        </w:rPr>
        <w:t xml:space="preserve">(In </w:t>
      </w:r>
      <w:r>
        <w:rPr>
          <w:rFonts w:ascii="Times New Roman;serif" w:hAnsi="Times New Roman;serif"/>
          <w:b w:val="false"/>
          <w:i/>
          <w:color w:val="000000"/>
          <w:sz w:val="20"/>
        </w:rPr>
        <w:t>thousands</w:t>
      </w:r>
      <w:r>
        <w:rPr>
          <w:rFonts w:ascii="Times New Roman;serif" w:hAnsi="Times New Roman;serif"/>
          <w:b w:val="false"/>
          <w:i/>
          <w:color w:val="000000"/>
          <w:sz w:val="20"/>
          <w:shd w:fill="FFFFFF" w:val="clear"/>
        </w:rPr>
        <w:t>, except share, percentage and per share data)</w:t>
      </w:r>
    </w:p>
    <w:tbl>
      <w:tblPr>
        <w:tblW w:w="10205" w:type="dxa"/>
        <w:jc w:val="left"/>
        <w:tblInd w:w="0" w:type="dxa"/>
        <w:tblLayout w:type="fixed"/>
        <w:tblCellMar>
          <w:top w:w="28" w:type="dxa"/>
          <w:left w:w="28" w:type="dxa"/>
          <w:bottom w:w="28" w:type="dxa"/>
          <w:right w:w="28" w:type="dxa"/>
        </w:tblCellMar>
      </w:tblPr>
      <w:tblGrid>
        <w:gridCol w:w="934"/>
        <w:gridCol w:w="806"/>
        <w:gridCol w:w="553"/>
        <w:gridCol w:w="473"/>
        <w:gridCol w:w="1854"/>
        <w:gridCol w:w="244"/>
        <w:gridCol w:w="601"/>
        <w:gridCol w:w="1156"/>
        <w:gridCol w:w="312"/>
        <w:gridCol w:w="420"/>
        <w:gridCol w:w="1437"/>
        <w:gridCol w:w="219"/>
        <w:gridCol w:w="211"/>
        <w:gridCol w:w="826"/>
        <w:gridCol w:w="159"/>
      </w:tblGrid>
      <w:tr>
        <w:tc>
          <w:tcPr>
            <w:tcW w:w="93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85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2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Quoted Prices in Active Markets for Identical Assets (Level 1)</w:t>
            </w:r>
          </w:p>
        </w:tc>
        <w:tc>
          <w:tcPr>
            <w:tcW w:w="20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Significant Other Observable Inputs (Level 2)</w:t>
            </w:r>
          </w:p>
        </w:tc>
        <w:tc>
          <w:tcPr>
            <w:tcW w:w="20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Significant Unobservable Inputs (Level 3)</w:t>
            </w:r>
          </w:p>
        </w:tc>
        <w:tc>
          <w:tcPr>
            <w:tcW w:w="11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c>
          <w:tcPr>
            <w:tcW w:w="22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 of September 30, 2026:</w:t>
            </w:r>
          </w:p>
        </w:tc>
        <w:tc>
          <w:tcPr>
            <w:tcW w:w="25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2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Cash equivalents</w:t>
            </w:r>
          </w:p>
        </w:tc>
        <w:tc>
          <w:tcPr>
            <w:tcW w:w="47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5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310,877 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310,877 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Short-term investments</w:t>
            </w:r>
          </w:p>
        </w:tc>
        <w:tc>
          <w:tcPr>
            <w:tcW w:w="23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66,910 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66,910 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Available-for-sale debt securities</w:t>
            </w:r>
          </w:p>
        </w:tc>
        <w:tc>
          <w:tcPr>
            <w:tcW w:w="23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10,807 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10,807 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5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377,787 </w:t>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10,807 </w:t>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388,594 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 of December 31, 2025:</w:t>
            </w:r>
          </w:p>
        </w:tc>
        <w:tc>
          <w:tcPr>
            <w:tcW w:w="2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2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Cash equivalents</w:t>
            </w:r>
          </w:p>
        </w:tc>
        <w:tc>
          <w:tcPr>
            <w:tcW w:w="47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84,627 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84,627 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Short-term investments</w:t>
            </w:r>
          </w:p>
        </w:tc>
        <w:tc>
          <w:tcPr>
            <w:tcW w:w="23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35,524 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35,524 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Available-for-sale debt securities</w:t>
            </w:r>
          </w:p>
        </w:tc>
        <w:tc>
          <w:tcPr>
            <w:tcW w:w="23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9,703 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9,703 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120,151 </w:t>
            </w:r>
          </w:p>
        </w:tc>
        <w:tc>
          <w:tcPr>
            <w:tcW w:w="2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9,703 </w:t>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129,854 </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pPr>
      <w:r/>
    </w:p>
    <w:p>
      <w:pPr>
        <w:pStyle w:val="TextBody"/>
        <w:bidi w:val="0"/>
        <w:spacing w:lineRule="auto" w:line="288" w:before="0" w:after="0"/>
        <w:jc w:val="both"/>
      </w:pPr>
      <w:r>
        <w:rPr>
          <w:rFonts w:ascii="Times New Roman;serif" w:hAnsi="Times New Roman;serif"/>
          <w:b w:val="false"/>
          <w:color w:val="000000"/>
          <w:sz w:val="20"/>
          <w:shd w:fill="FFFFFF" w:val="clear"/>
        </w:rPr>
        <w:t xml:space="preserve">Refer to </w:t>
      </w:r>
      <w:r>
        <w:rPr>
          <w:rFonts w:ascii="Times New Roman;serif" w:hAnsi="Times New Roman;serif"/>
          <w:b w:val="false"/>
          <w:color w:val="000000"/>
          <w:sz w:val="20"/>
        </w:rPr>
        <w:t xml:space="preserve">note 9 for fair </w:t>
      </w:r>
      <w:r>
        <w:rPr>
          <w:rFonts w:ascii="Times New Roman;serif" w:hAnsi="Times New Roman;serif"/>
          <w:b w:val="false"/>
          <w:color w:val="000000"/>
          <w:sz w:val="20"/>
          <w:shd w:fill="FFFFFF" w:val="clear"/>
        </w:rPr>
        <w:t xml:space="preserve">value information related to the Company’s outstanding long-term borrowings as of </w:t>
      </w:r>
      <w:r>
        <w:rPr>
          <w:rFonts w:ascii="Times New Roman;serif" w:hAnsi="Times New Roman;serif"/>
          <w:b w:val="false"/>
          <w:color w:val="000000"/>
          <w:sz w:val="20"/>
        </w:rPr>
        <w:t>September 30, 2026 and December 31, 2025</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shd w:fill="FFFFFF" w:val="clear"/>
        </w:rPr>
        <w:t xml:space="preserve">The Company did not have any assets and liabilities measured at fair value on a non-recurring basis as of </w:t>
      </w:r>
      <w:r>
        <w:rPr>
          <w:rFonts w:ascii="Times New Roman;serif" w:hAnsi="Times New Roman;serif"/>
          <w:b w:val="false"/>
          <w:color w:val="000000"/>
          <w:sz w:val="20"/>
        </w:rPr>
        <w:t>September 30, 2026 and December 31, 2025</w:t>
      </w:r>
      <w:r>
        <w:rPr>
          <w:rFonts w:ascii="Times New Roman;serif" w:hAnsi="Times New Roman;serif"/>
          <w:b w:val="false"/>
          <w:color w:val="000000"/>
          <w:sz w:val="20"/>
          <w:shd w:fill="FFFFFF" w:val="clear"/>
        </w:rPr>
        <w:t xml:space="preserve">. </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Bills payable</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Bills payable represent trade payable due to the suppliers, for which the banks have guaranteed the payment. Bills payable are typically with terms of 6 months. Bills payable amounted to $20,747 and nil as of September 30, 2026 and December 31, 2025, respectively and are included in bills and accounts payable in the condensed consolidated balance sheets. </w:t>
      </w:r>
    </w:p>
    <w:p>
      <w:pPr>
        <w:pStyle w:val="TextBody"/>
        <w:bidi w:val="0"/>
        <w:spacing w:before="0" w:after="0"/>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pPr>
      <w:hyperlink w:anchor="ia22e01e7fdae4b968e9b46967ef89c75_7">
        <w:r>
          <w:rPr>
            <w:rStyle w:val="InternetLink"/>
            <w:rFonts w:ascii="Times New Roman;serif" w:hAnsi="Times New Roman;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ACM RESEARCH,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the Condensed Consolidated Financial Statements</w:t>
      </w:r>
    </w:p>
    <w:p>
      <w:pPr>
        <w:pStyle w:val="TextBody"/>
        <w:bidi w:val="0"/>
        <w:spacing w:lineRule="auto" w:line="288" w:before="0" w:after="0"/>
        <w:jc w:val="center"/>
      </w:pPr>
      <w:r>
        <w:rPr>
          <w:rFonts w:ascii="Times New Roman;serif" w:hAnsi="Times New Roman;serif"/>
          <w:b w:val="false"/>
          <w:i/>
          <w:color w:val="000000"/>
          <w:sz w:val="20"/>
          <w:shd w:fill="FFFFFF" w:val="clear"/>
        </w:rPr>
        <w:t xml:space="preserve">(In </w:t>
      </w:r>
      <w:r>
        <w:rPr>
          <w:rFonts w:ascii="Times New Roman;serif" w:hAnsi="Times New Roman;serif"/>
          <w:b w:val="false"/>
          <w:i/>
          <w:color w:val="000000"/>
          <w:sz w:val="20"/>
        </w:rPr>
        <w:t>thousands</w:t>
      </w:r>
      <w:r>
        <w:rPr>
          <w:rFonts w:ascii="Times New Roman;serif" w:hAnsi="Times New Roman;serif"/>
          <w:b w:val="false"/>
          <w:i/>
          <w:color w:val="000000"/>
          <w:sz w:val="20"/>
          <w:shd w:fill="FFFFFF" w:val="clear"/>
        </w:rPr>
        <w:t>, except share, percentage and per share data)</w:t>
      </w:r>
    </w:p>
    <w:p>
      <w:pPr>
        <w:pStyle w:val="TextBody"/>
        <w:bidi w:val="0"/>
        <w:spacing w:lineRule="auto" w:line="288" w:before="140" w:after="20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Basic and Diluted Net Income per Share of Common Stock</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Basic and diluted net income per share of common stock are calculated as follows:</w:t>
      </w:r>
    </w:p>
    <w:tbl>
      <w:tblPr>
        <w:tblW w:w="10205" w:type="dxa"/>
        <w:jc w:val="left"/>
        <w:tblInd w:w="0" w:type="dxa"/>
        <w:tblLayout w:type="fixed"/>
        <w:tblCellMar>
          <w:top w:w="28" w:type="dxa"/>
          <w:left w:w="28" w:type="dxa"/>
          <w:bottom w:w="28" w:type="dxa"/>
          <w:right w:w="28" w:type="dxa"/>
        </w:tblCellMar>
      </w:tblPr>
      <w:tblGrid>
        <w:gridCol w:w="2300"/>
        <w:gridCol w:w="1572"/>
        <w:gridCol w:w="749"/>
        <w:gridCol w:w="285"/>
        <w:gridCol w:w="802"/>
        <w:gridCol w:w="115"/>
        <w:gridCol w:w="115"/>
        <w:gridCol w:w="115"/>
        <w:gridCol w:w="115"/>
        <w:gridCol w:w="285"/>
        <w:gridCol w:w="828"/>
        <w:gridCol w:w="115"/>
        <w:gridCol w:w="241"/>
        <w:gridCol w:w="858"/>
        <w:gridCol w:w="111"/>
        <w:gridCol w:w="111"/>
        <w:gridCol w:w="111"/>
        <w:gridCol w:w="111"/>
        <w:gridCol w:w="241"/>
        <w:gridCol w:w="858"/>
        <w:gridCol w:w="167"/>
      </w:tblGrid>
      <w:tr>
        <w:tc>
          <w:tcPr>
            <w:tcW w:w="2300"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c>
          <w:tcPr>
            <w:tcW w:w="4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28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c>
          <w:tcPr>
            <w:tcW w:w="4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2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46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2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4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Net income</w:t>
            </w:r>
          </w:p>
        </w:tc>
        <w:tc>
          <w:tcPr>
            <w:tcW w:w="28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6,323 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46,398 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154,808 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107,681 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46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Less: Net income attributable to non-controlling interests</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4,779 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10,509 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46,973 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21,652 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available to common stockholders, basic</w:t>
            </w:r>
          </w:p>
        </w:tc>
        <w:tc>
          <w:tcPr>
            <w:tcW w:w="10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1,544 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35,889 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107,835 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86,029 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46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Less: Dilutive effect arising from stock-based awards by ACM Shanghai</w:t>
            </w:r>
          </w:p>
        </w:tc>
        <w:tc>
          <w:tcPr>
            <w:tcW w:w="10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914 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884 </w:t>
            </w:r>
          </w:p>
        </w:tc>
        <w:tc>
          <w:tcPr>
            <w:tcW w:w="1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available to common stockholders, diluted</w:t>
            </w:r>
          </w:p>
        </w:tc>
        <w:tc>
          <w:tcPr>
            <w:tcW w:w="2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1,440 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35,386 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106,921 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85,145 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basic</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69,713,048 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64,381,296 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67,817,058 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63,876,709 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46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Effect of dilutive securities</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3,916,582 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4,033,017 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3,783,388 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3,674,593 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4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Weighted average shares outstanding, diluted</w:t>
            </w:r>
          </w:p>
        </w:tc>
        <w:tc>
          <w:tcPr>
            <w:tcW w:w="10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73,629,630 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68,414,313 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71,600,446 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67,551,302 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 of common stock:</w:t>
            </w:r>
          </w:p>
        </w:tc>
        <w:tc>
          <w:tcPr>
            <w:tcW w:w="1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46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8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46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85"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15"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0.52 </w:t>
            </w:r>
          </w:p>
        </w:tc>
        <w:tc>
          <w:tcPr>
            <w:tcW w:w="115"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67"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ACM Research is authorized to issue Class A and Class B common stock. The two classes of common stock are substantially identical in all material respects, except for voting rights. The net income per share of common stock attributable to each class is the same under the “two-class” method. As such, the two classes of common stock have been presented on a combined basis in the condensed consolidated statements of comprehensive income and in the above computation of net income per share of common stock. ACM did not have any participating securities outstanding during the three and nine months ended September 30, 2026 and 2025.</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Diluted net income per share of common stock reflects the potential dilution from securities, such as stock options that could share in ACM Research’s earnings. Certain potentially dilutive securities were excluded from the net income per share calculation because the impact would be anti-dilutive. The number of potentially dilutive shares that were not included in the calculation of diluted net income per share in the periods presented where their inclusion would be anti-dilutive were stock options exercisable into shares of the Company’s common stock of 100,612 and 109,620 for the three and nine months ended September 30, 2026, respectively and 655,861 and 1,218,503 for the three and nine months ended September 30, 2025, respectively.</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Concentration of Credit Risk</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Financial instruments that potentially subject the Company to credit risk consist principally of cash and cash equivalents, restricted cash, time deposits, and accounts receivable. The Company deposits and invests its cash with financial institutions that management believes are creditworthy.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potentially subject to concentrations of credit risks in its revenue and accounts receivable. </w:t>
      </w:r>
    </w:p>
    <w:p>
      <w:pPr>
        <w:pStyle w:val="TextBody"/>
        <w:bidi w:val="0"/>
        <w:spacing w:before="0" w:after="0"/>
        <w:jc w:val="both"/>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pPr>
      <w:hyperlink w:anchor="ia22e01e7fdae4b968e9b46967ef89c75_7">
        <w:r>
          <w:rPr>
            <w:rStyle w:val="InternetLink"/>
            <w:rFonts w:ascii="Times New Roman;serif" w:hAnsi="Times New Roman;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ACM RESEARCH,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the Condensed Consolidated Financial Statements</w:t>
      </w:r>
    </w:p>
    <w:p>
      <w:pPr>
        <w:pStyle w:val="TextBody"/>
        <w:bidi w:val="0"/>
        <w:spacing w:lineRule="auto" w:line="288" w:before="0" w:after="0"/>
        <w:jc w:val="center"/>
      </w:pPr>
      <w:r>
        <w:rPr>
          <w:rFonts w:ascii="Times New Roman;serif" w:hAnsi="Times New Roman;serif"/>
          <w:b w:val="false"/>
          <w:i/>
          <w:color w:val="000000"/>
          <w:sz w:val="20"/>
          <w:shd w:fill="FFFFFF" w:val="clear"/>
        </w:rPr>
        <w:t xml:space="preserve">(In </w:t>
      </w:r>
      <w:r>
        <w:rPr>
          <w:rFonts w:ascii="Times New Roman;serif" w:hAnsi="Times New Roman;serif"/>
          <w:b w:val="false"/>
          <w:i/>
          <w:color w:val="000000"/>
          <w:sz w:val="20"/>
        </w:rPr>
        <w:t>thousands</w:t>
      </w:r>
      <w:r>
        <w:rPr>
          <w:rFonts w:ascii="Times New Roman;serif" w:hAnsi="Times New Roman;serif"/>
          <w:b w:val="false"/>
          <w:i/>
          <w:color w:val="000000"/>
          <w:sz w:val="20"/>
          <w:shd w:fill="FFFFFF" w:val="clear"/>
        </w:rPr>
        <w:t>, except share, percentage and per share data)</w:t>
      </w:r>
    </w:p>
    <w:p>
      <w:pPr>
        <w:pStyle w:val="TextBody"/>
        <w:bidi w:val="0"/>
        <w:spacing w:lineRule="auto" w:line="288" w:before="240" w:after="283"/>
        <w:jc w:val="both"/>
      </w:pPr>
      <w:r>
        <w:rPr>
          <w:color w:val="000000"/>
        </w:rPr>
        <w:t>•</w:t>
      </w:r>
      <w:r>
        <w:rPr>
          <w:rFonts w:ascii="Times New Roman;serif" w:hAnsi="Times New Roman;serif"/>
          <w:b w:val="false"/>
          <w:color w:val="000000"/>
          <w:sz w:val="20"/>
          <w:u w:val="single"/>
        </w:rPr>
        <w:t>Revenue concentration.</w:t>
      </w:r>
      <w:r>
        <w:rPr>
          <w:color w:val="000000"/>
        </w:rPr>
        <w:t xml:space="preserve"> </w:t>
      </w:r>
      <w:r>
        <w:rPr>
          <w:rFonts w:ascii="Times New Roman;serif" w:hAnsi="Times New Roman;serif"/>
          <w:b w:val="false"/>
          <w:color w:val="000000"/>
          <w:sz w:val="20"/>
        </w:rPr>
        <w:t xml:space="preserve">For the three months ended September 30, 2026 and 2025, two customers accounted for 37.3% and 38.9% of revenue, respectively. For the nine months ended September 30, 2026 and 2025, two customers accounted for 28.0% and three customers accounted for 46.3% of revenue, respectively. </w:t>
      </w:r>
    </w:p>
    <w:p>
      <w:pPr>
        <w:pStyle w:val="TextBody"/>
        <w:bidi w:val="0"/>
        <w:spacing w:lineRule="auto" w:line="288" w:before="240" w:after="283"/>
        <w:jc w:val="both"/>
      </w:pPr>
      <w:r>
        <w:rPr>
          <w:color w:val="000000"/>
        </w:rPr>
        <w:t>•</w:t>
      </w:r>
      <w:r>
        <w:rPr>
          <w:rFonts w:ascii="Times New Roman;serif" w:hAnsi="Times New Roman;serif"/>
          <w:b w:val="false"/>
          <w:color w:val="000000"/>
          <w:sz w:val="20"/>
          <w:u w:val="single"/>
        </w:rPr>
        <w:t>Accounts receivable concentration.</w:t>
      </w:r>
      <w:r>
        <w:rPr>
          <w:color w:val="000000"/>
        </w:rPr>
        <w:t xml:space="preserve"> </w:t>
      </w:r>
      <w:r>
        <w:rPr>
          <w:rFonts w:ascii="Times New Roman;serif" w:hAnsi="Times New Roman;serif"/>
          <w:b w:val="false"/>
          <w:color w:val="000000"/>
          <w:sz w:val="20"/>
        </w:rPr>
        <w:t>As of September 30, 2026 and December 31, 2025, five customers accounted for 60.8% and four customers accounted for 62.2%, respectively, of the Company’s accounts receivables. The Company believes that the receivable balances from these largest customers do not represent a significant credit risk based on past collection experience.</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Recently issued accounting pronouncements not yet adopted</w:t>
      </w:r>
    </w:p>
    <w:p>
      <w:pPr>
        <w:pStyle w:val="TextBody"/>
        <w:bidi w:val="0"/>
        <w:spacing w:before="0" w:after="0"/>
        <w:jc w:val="both"/>
      </w:pPr>
      <w:r/>
    </w:p>
    <w:p>
      <w:pPr>
        <w:pStyle w:val="TextBody"/>
        <w:bidi w:val="0"/>
        <w:spacing w:lineRule="auto" w:line="288" w:before="0" w:after="0"/>
        <w:jc w:val="both"/>
      </w:pPr>
      <w:r>
        <w:rPr>
          <w:rFonts w:ascii="Times New Roman;serif" w:hAnsi="Times New Roman;serif"/>
          <w:b w:val="false"/>
          <w:color w:val="000000"/>
          <w:sz w:val="20"/>
        </w:rPr>
        <w:t xml:space="preserve">In December 2024, the FASB issued ASU 2024-03: </w:t>
      </w:r>
      <w:r>
        <w:rPr>
          <w:rFonts w:ascii="Times New Roman;serif" w:hAnsi="Times New Roman;serif"/>
          <w:b w:val="false"/>
          <w:i/>
          <w:color w:val="000000"/>
          <w:sz w:val="20"/>
        </w:rPr>
        <w:t>Income Statement--Reporting Comprehensive Income--Expense Disaggregation Disclosures (Subtopic 220-40)</w:t>
      </w:r>
      <w:r>
        <w:rPr>
          <w:rFonts w:ascii="Times New Roman;serif" w:hAnsi="Times New Roman;serif"/>
          <w:b w:val="false"/>
          <w:color w:val="000000"/>
          <w:sz w:val="20"/>
        </w:rPr>
        <w:t xml:space="preserve">, which requires additional disclosures about specific types of expenses included in the expense captions presented on the face of the income statement as well as disclosures about selling expenses. In January 2025, the FASB issued ASU 2025-01, which clarifies the effective date of ASU 2024-03. ASU 2024-03 is effective for fiscal years beginning after December 15, 2026, and interim periods within fiscal years beginning after December 15, 2027. This ASU should be applied prospectively with the option to apply the standard retrospectively. The Company is currently evaluating the provisions of this ASU. </w:t>
      </w:r>
    </w:p>
    <w:p>
      <w:pPr>
        <w:pStyle w:val="TextBody"/>
        <w:bidi w:val="0"/>
        <w:spacing w:before="0" w:after="0"/>
        <w:jc w:val="both"/>
      </w:pPr>
      <w:r/>
    </w:p>
    <w:p>
      <w:pPr>
        <w:pStyle w:val="TextBody"/>
        <w:bidi w:val="0"/>
        <w:spacing w:lineRule="auto" w:line="288" w:before="0" w:after="0"/>
        <w:jc w:val="both"/>
      </w:pPr>
      <w:r>
        <w:rPr>
          <w:rFonts w:ascii="Times New Roman;serif" w:hAnsi="Times New Roman;serif"/>
          <w:b w:val="false"/>
          <w:color w:val="000000"/>
          <w:sz w:val="20"/>
        </w:rPr>
        <w:t xml:space="preserve">In December 2025, the FASB issued ASU 2025-10 </w:t>
      </w:r>
      <w:r>
        <w:rPr>
          <w:color w:val="000000"/>
        </w:rPr>
        <w:t xml:space="preserve">– </w:t>
      </w:r>
      <w:r>
        <w:rPr>
          <w:rFonts w:ascii="Times New Roman;serif" w:hAnsi="Times New Roman;serif"/>
          <w:b w:val="false"/>
          <w:i/>
          <w:color w:val="000000"/>
          <w:sz w:val="20"/>
        </w:rPr>
        <w:t>Government Grants</w:t>
      </w:r>
      <w:r>
        <w:rPr>
          <w:color w:val="000000"/>
        </w:rPr>
        <w:t xml:space="preserve"> </w:t>
      </w:r>
      <w:r>
        <w:rPr>
          <w:rFonts w:ascii="Times New Roman;serif" w:hAnsi="Times New Roman;serif"/>
          <w:b w:val="false"/>
          <w:color w:val="000000"/>
          <w:sz w:val="20"/>
        </w:rPr>
        <w:t xml:space="preserve">which establishes guidance on the recognition, measurement, and presentation of government grants received by business entities. The new guidance leverages the principles in the accounting framework for government assistance in International Accounting Standard 20 </w:t>
      </w:r>
      <w:r>
        <w:rPr>
          <w:color w:val="000000"/>
        </w:rPr>
        <w:t xml:space="preserve">– </w:t>
      </w:r>
      <w:r>
        <w:rPr>
          <w:rFonts w:ascii="Times New Roman;serif" w:hAnsi="Times New Roman;serif"/>
          <w:b w:val="false"/>
          <w:i/>
          <w:color w:val="000000"/>
          <w:sz w:val="20"/>
        </w:rPr>
        <w:t>Accounting for Government Grants and Disclosure of Government Assistance.</w:t>
      </w:r>
      <w:r>
        <w:rPr>
          <w:color w:val="000000"/>
        </w:rPr>
        <w:t xml:space="preserve"> </w:t>
      </w:r>
      <w:r>
        <w:rPr>
          <w:rFonts w:ascii="Times New Roman;serif" w:hAnsi="Times New Roman;serif"/>
          <w:b w:val="false"/>
          <w:color w:val="000000"/>
          <w:sz w:val="20"/>
        </w:rPr>
        <w:t>This ASU is effective for interim reporting periods within annual reporting periods beginning after December 15, 2028 and interim reporting periods within those annual periods. This ASU may be applied prospectively or retrospectively to any or all periods presented and early adoption of this ASU is permitted. The Company is currently evaluating the provisions of this ASU.</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3 – REVENUE FROM CONTRACTS WITH CUSTOMERS</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assesses revenues based upon the nature or type of goods or services it provides and the geographic location of the customer facility. The following table presents disaggregated revenue information:</w:t>
      </w:r>
    </w:p>
    <w:tbl>
      <w:tblPr>
        <w:tblW w:w="10205" w:type="dxa"/>
        <w:jc w:val="left"/>
        <w:tblInd w:w="0" w:type="dxa"/>
        <w:tblLayout w:type="fixed"/>
        <w:tblCellMar>
          <w:top w:w="28" w:type="dxa"/>
          <w:left w:w="28" w:type="dxa"/>
          <w:bottom w:w="28" w:type="dxa"/>
          <w:right w:w="28" w:type="dxa"/>
        </w:tblCellMar>
      </w:tblPr>
      <w:tblGrid>
        <w:gridCol w:w="1336"/>
        <w:gridCol w:w="1161"/>
        <w:gridCol w:w="1167"/>
        <w:gridCol w:w="251"/>
        <w:gridCol w:w="985"/>
        <w:gridCol w:w="129"/>
        <w:gridCol w:w="251"/>
        <w:gridCol w:w="985"/>
        <w:gridCol w:w="129"/>
        <w:gridCol w:w="245"/>
        <w:gridCol w:w="962"/>
        <w:gridCol w:w="126"/>
        <w:gridCol w:w="245"/>
        <w:gridCol w:w="962"/>
        <w:gridCol w:w="126"/>
        <w:gridCol w:w="109"/>
        <w:gridCol w:w="109"/>
        <w:gridCol w:w="109"/>
        <w:gridCol w:w="109"/>
        <w:gridCol w:w="109"/>
        <w:gridCol w:w="109"/>
        <w:gridCol w:w="109"/>
        <w:gridCol w:w="109"/>
        <w:gridCol w:w="109"/>
        <w:gridCol w:w="164"/>
      </w:tblGrid>
      <w:tr>
        <w:tc>
          <w:tcPr>
            <w:tcW w:w="1336"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c>
          <w:tcPr>
            <w:tcW w:w="3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0"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2666"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gridSpan w:val="4"/>
            <w:tcBorders/>
          </w:tcPr>
          <w:p>
            <w:pPr>
              <w:pStyle w:val="TableContents"/>
              <w:bidi w:val="0"/>
              <w:spacing w:before="0" w:after="283"/>
              <w:jc w:val="left"/>
              <w:rPr>
                <w:sz w:val="4"/>
                <w:szCs w:val="4"/>
              </w:rPr>
            </w:pPr>
            <w:r>
              <w:rPr>
                <w:sz w:val="4"/>
                <w:szCs w:val="4"/>
              </w:rPr>
            </w:r>
          </w:p>
        </w:tc>
      </w:tr>
      <w:tr>
        <w:tc>
          <w:tcPr>
            <w:tcW w:w="3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3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3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3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c>
          <w:tcPr>
            <w:tcW w:w="3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Single Wafer Cleaning, Tahoe and Semi-Critical Cleaning Equipment</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210,721 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181,570 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466,181 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466,100 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c>
          <w:tcPr>
            <w:tcW w:w="3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ECP (front-end and packaging), Furnace and Other Technologies</w:t>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109,469 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59,853 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322,254 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135,499 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c>
          <w:tcPr>
            <w:tcW w:w="3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Advanced Packaging (excluding ECP), Services &amp; Spares</w:t>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47,497 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27,737 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103,434 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55,280 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c>
          <w:tcPr>
            <w:tcW w:w="3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 by product category</w:t>
            </w:r>
          </w:p>
        </w:tc>
        <w:tc>
          <w:tcPr>
            <w:tcW w:w="2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367,687 </w:t>
            </w:r>
          </w:p>
        </w:tc>
        <w:tc>
          <w:tcPr>
            <w:tcW w:w="1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269,160 </w:t>
            </w:r>
          </w:p>
        </w:tc>
        <w:tc>
          <w:tcPr>
            <w:tcW w:w="1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891,869 </w:t>
            </w:r>
          </w:p>
        </w:tc>
        <w:tc>
          <w:tcPr>
            <w:tcW w:w="1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656,879 </w:t>
            </w:r>
          </w:p>
        </w:tc>
        <w:tc>
          <w:tcPr>
            <w:tcW w:w="1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pPr>
      <w:hyperlink w:anchor="ia22e01e7fdae4b968e9b46967ef89c75_7">
        <w:r>
          <w:rPr>
            <w:rStyle w:val="InternetLink"/>
            <w:rFonts w:ascii="Times New Roman;serif" w:hAnsi="Times New Roman;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ACM RESEARCH,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the Condensed Consolidated Financial Statements</w:t>
      </w:r>
    </w:p>
    <w:p>
      <w:pPr>
        <w:pStyle w:val="TextBody"/>
        <w:bidi w:val="0"/>
        <w:spacing w:lineRule="auto" w:line="288" w:before="0" w:after="0"/>
        <w:jc w:val="center"/>
      </w:pPr>
      <w:r>
        <w:rPr>
          <w:rFonts w:ascii="Times New Roman;serif" w:hAnsi="Times New Roman;serif"/>
          <w:b w:val="false"/>
          <w:i/>
          <w:color w:val="000000"/>
          <w:sz w:val="20"/>
          <w:shd w:fill="FFFFFF" w:val="clear"/>
        </w:rPr>
        <w:t xml:space="preserve">(In </w:t>
      </w:r>
      <w:r>
        <w:rPr>
          <w:rFonts w:ascii="Times New Roman;serif" w:hAnsi="Times New Roman;serif"/>
          <w:b w:val="false"/>
          <w:i/>
          <w:color w:val="000000"/>
          <w:sz w:val="20"/>
        </w:rPr>
        <w:t>thousands</w:t>
      </w:r>
      <w:r>
        <w:rPr>
          <w:rFonts w:ascii="Times New Roman;serif" w:hAnsi="Times New Roman;serif"/>
          <w:b w:val="false"/>
          <w:i/>
          <w:color w:val="000000"/>
          <w:sz w:val="20"/>
          <w:shd w:fill="FFFFFF" w:val="clear"/>
        </w:rPr>
        <w:t>, except share, percentage and per share data)</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and nine month periods ended September 30, 2026 and 2025, substantially all revenue was derived from customers in mainland China, and therefore no geographical segment information is presented. </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Below are the contract liabilities balances as of:</w:t>
      </w:r>
    </w:p>
    <w:tbl>
      <w:tblPr>
        <w:tblW w:w="5126" w:type="dxa"/>
        <w:jc w:val="center"/>
        <w:tblInd w:w="0" w:type="dxa"/>
        <w:tblLayout w:type="fixed"/>
        <w:tblCellMar>
          <w:top w:w="28" w:type="dxa"/>
          <w:left w:w="28" w:type="dxa"/>
          <w:bottom w:w="28" w:type="dxa"/>
          <w:right w:w="28" w:type="dxa"/>
        </w:tblCellMar>
      </w:tblPr>
      <w:tblGrid>
        <w:gridCol w:w="793"/>
        <w:gridCol w:w="696"/>
        <w:gridCol w:w="701"/>
        <w:gridCol w:w="240"/>
        <w:gridCol w:w="941"/>
        <w:gridCol w:w="124"/>
        <w:gridCol w:w="109"/>
        <w:gridCol w:w="109"/>
        <w:gridCol w:w="109"/>
        <w:gridCol w:w="231"/>
        <w:gridCol w:w="905"/>
        <w:gridCol w:w="168"/>
      </w:tblGrid>
      <w:tr>
        <w:tc>
          <w:tcPr>
            <w:tcW w:w="793"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Advances from customers</w:t>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163,212 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187,809 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24,882 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17,388 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contract liabilities</w:t>
            </w:r>
          </w:p>
        </w:tc>
        <w:tc>
          <w:tcPr>
            <w:tcW w:w="2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188,094 </w:t>
            </w:r>
          </w:p>
        </w:tc>
        <w:tc>
          <w:tcPr>
            <w:tcW w:w="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205,197 </w:t>
            </w:r>
          </w:p>
        </w:tc>
        <w:tc>
          <w:tcPr>
            <w:tcW w:w="1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Below are revenues recognized from amounts included in contract liabilities at the beginning of the period:</w:t>
      </w:r>
    </w:p>
    <w:tbl>
      <w:tblPr>
        <w:tblW w:w="10205" w:type="dxa"/>
        <w:jc w:val="left"/>
        <w:tblInd w:w="0" w:type="dxa"/>
        <w:tblLayout w:type="fixed"/>
        <w:tblCellMar>
          <w:top w:w="28" w:type="dxa"/>
          <w:left w:w="28" w:type="dxa"/>
          <w:bottom w:w="28" w:type="dxa"/>
          <w:right w:w="28" w:type="dxa"/>
        </w:tblCellMar>
      </w:tblPr>
      <w:tblGrid>
        <w:gridCol w:w="1750"/>
        <w:gridCol w:w="1537"/>
        <w:gridCol w:w="1542"/>
        <w:gridCol w:w="268"/>
        <w:gridCol w:w="917"/>
        <w:gridCol w:w="138"/>
        <w:gridCol w:w="268"/>
        <w:gridCol w:w="917"/>
        <w:gridCol w:w="138"/>
        <w:gridCol w:w="246"/>
        <w:gridCol w:w="962"/>
        <w:gridCol w:w="127"/>
        <w:gridCol w:w="246"/>
        <w:gridCol w:w="962"/>
        <w:gridCol w:w="187"/>
      </w:tblGrid>
      <w:tr>
        <w:tc>
          <w:tcPr>
            <w:tcW w:w="1750"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c>
          <w:tcPr>
            <w:tcW w:w="4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2730"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c>
          <w:tcPr>
            <w:tcW w:w="4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32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33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39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48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 from amounts included in contract liabilities at the beginning of the periods</w:t>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13,474 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20,200 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155,224 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140,441 </w:t>
            </w:r>
          </w:p>
        </w:tc>
        <w:tc>
          <w:tcPr>
            <w:tcW w:w="1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4 – ACCOUNTS RECEIVABLE, NET</w:t>
      </w:r>
    </w:p>
    <w:p>
      <w:pPr>
        <w:pStyle w:val="TextBody"/>
        <w:bidi w:val="0"/>
        <w:spacing w:before="0" w:after="0"/>
        <w:jc w:val="left"/>
      </w:pPr>
      <w:r/>
    </w:p>
    <w:p>
      <w:pPr>
        <w:pStyle w:val="TextBody"/>
        <w:bidi w:val="0"/>
        <w:spacing w:lineRule="auto" w:line="288" w:before="0" w:after="0"/>
        <w:jc w:val="left"/>
      </w:pPr>
      <w:r>
        <w:rPr>
          <w:rFonts w:ascii="Times New Roman;serif" w:hAnsi="Times New Roman;serif"/>
          <w:b w:val="false"/>
          <w:color w:val="000000"/>
          <w:sz w:val="20"/>
          <w:shd w:fill="FFFFFF" w:val="clear"/>
        </w:rPr>
        <w:t>At September 30, 2026 and December 31, 2025, accounts receivable consisted of</w:t>
      </w:r>
      <w:r>
        <w:rPr>
          <w:color w:val="000000"/>
        </w:rPr>
        <w:t xml:space="preserve"> </w:t>
      </w:r>
      <w:r>
        <w:rPr>
          <w:rFonts w:ascii="Times New Roman;serif" w:hAnsi="Times New Roman;serif"/>
          <w:b w:val="false"/>
          <w:color w:val="000000"/>
          <w:sz w:val="20"/>
        </w:rPr>
        <w:t>the following:</w:t>
      </w:r>
    </w:p>
    <w:tbl>
      <w:tblPr>
        <w:tblW w:w="5696" w:type="dxa"/>
        <w:jc w:val="left"/>
        <w:tblInd w:w="0" w:type="dxa"/>
        <w:tblLayout w:type="fixed"/>
        <w:tblCellMar>
          <w:top w:w="28" w:type="dxa"/>
          <w:left w:w="28" w:type="dxa"/>
          <w:bottom w:w="28" w:type="dxa"/>
          <w:right w:w="28" w:type="dxa"/>
        </w:tblCellMar>
      </w:tblPr>
      <w:tblGrid>
        <w:gridCol w:w="1000"/>
        <w:gridCol w:w="879"/>
        <w:gridCol w:w="881"/>
        <w:gridCol w:w="240"/>
        <w:gridCol w:w="941"/>
        <w:gridCol w:w="124"/>
        <w:gridCol w:w="109"/>
        <w:gridCol w:w="109"/>
        <w:gridCol w:w="109"/>
        <w:gridCol w:w="231"/>
        <w:gridCol w:w="905"/>
        <w:gridCol w:w="168"/>
      </w:tblGrid>
      <w:tr>
        <w:tc>
          <w:tcPr>
            <w:tcW w:w="100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c>
          <w:tcPr>
            <w:tcW w:w="2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746,665 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537,095 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Allowance for credit losses</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(41,979)</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(32,845)</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accounts receivable, net</w:t>
            </w:r>
          </w:p>
        </w:tc>
        <w:tc>
          <w:tcPr>
            <w:tcW w:w="2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704,686 </w:t>
            </w:r>
          </w:p>
        </w:tc>
        <w:tc>
          <w:tcPr>
            <w:tcW w:w="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504,250 </w:t>
            </w:r>
          </w:p>
        </w:tc>
        <w:tc>
          <w:tcPr>
            <w:tcW w:w="1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pPr>
      <w:r/>
    </w:p>
    <w:p>
      <w:pPr>
        <w:pStyle w:val="TextBody"/>
        <w:bidi w:val="0"/>
        <w:spacing w:lineRule="auto" w:line="288" w:before="0" w:after="0"/>
        <w:jc w:val="left"/>
      </w:pPr>
      <w:r>
        <w:rPr>
          <w:rFonts w:ascii="Times New Roman;serif" w:hAnsi="Times New Roman;serif"/>
          <w:b w:val="false"/>
          <w:color w:val="000000"/>
          <w:sz w:val="20"/>
        </w:rPr>
        <w:t>The Company assesses collectability by reviewing accounts receivable on a general basis where similar characteristics exist and on an individual basis when the Company identifies specific customers with known disputes or collectability issues</w:t>
      </w:r>
      <w:r>
        <w:rPr>
          <w:rFonts w:ascii="Times New Roman;serif" w:hAnsi="Times New Roman;serif"/>
          <w:b w:val="false"/>
          <w:color w:val="008080"/>
          <w:sz w:val="24"/>
        </w:rPr>
        <w:t>.</w:t>
      </w:r>
      <w:r>
        <w:rPr>
          <w:color w:val="000000"/>
        </w:rPr>
        <w:t xml:space="preserve"> </w:t>
      </w:r>
      <w:r>
        <w:rPr>
          <w:rFonts w:ascii="Times New Roman;serif" w:hAnsi="Times New Roman;serif"/>
          <w:b w:val="false"/>
          <w:color w:val="000000"/>
          <w:sz w:val="20"/>
        </w:rPr>
        <w:t xml:space="preserve">In determining the amount of the allowance for credit losses, the Company considers historical collectability based on past due status, the age of the accounts receivable balances, credit quality of the Company’s customers based on ongoing credit evaluations, and other factors that may affect the Company’s ability to collect from customers. </w:t>
      </w:r>
    </w:p>
    <w:p>
      <w:pPr>
        <w:pStyle w:val="TextBody"/>
        <w:bidi w:val="0"/>
        <w:spacing w:lineRule="auto" w:line="288" w:before="140" w:after="283"/>
        <w:jc w:val="both"/>
        <w:rPr>
          <w:rFonts w:ascii="Times New Roman;serif" w:hAnsi="Times New Roman;serif"/>
          <w:b w:val="false"/>
          <w:color w:val="000000"/>
          <w:sz w:val="20"/>
        </w:rPr>
      </w:pPr>
      <w:r>
        <w:rPr>
          <w:rFonts w:ascii="Times New Roman;serif" w:hAnsi="Times New Roman;serif"/>
          <w:b w:val="false"/>
          <w:color w:val="000000"/>
          <w:sz w:val="20"/>
        </w:rPr>
        <w:t>The movement of the allowance for credit losses for the nine months ended September 30, 2026 and 2025 was as follows:</w:t>
      </w:r>
    </w:p>
    <w:tbl>
      <w:tblPr>
        <w:tblW w:w="7256" w:type="dxa"/>
        <w:jc w:val="left"/>
        <w:tblInd w:w="0" w:type="dxa"/>
        <w:tblLayout w:type="fixed"/>
        <w:tblCellMar>
          <w:top w:w="28" w:type="dxa"/>
          <w:left w:w="28" w:type="dxa"/>
          <w:bottom w:w="28" w:type="dxa"/>
          <w:right w:w="28" w:type="dxa"/>
        </w:tblCellMar>
      </w:tblPr>
      <w:tblGrid>
        <w:gridCol w:w="1549"/>
        <w:gridCol w:w="1359"/>
        <w:gridCol w:w="1367"/>
        <w:gridCol w:w="246"/>
        <w:gridCol w:w="931"/>
        <w:gridCol w:w="127"/>
        <w:gridCol w:w="109"/>
        <w:gridCol w:w="109"/>
        <w:gridCol w:w="109"/>
        <w:gridCol w:w="245"/>
        <w:gridCol w:w="926"/>
        <w:gridCol w:w="179"/>
      </w:tblGrid>
      <w:tr>
        <w:tc>
          <w:tcPr>
            <w:tcW w:w="1549"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w:t>
              <w:br/>
              <w:t>2025</w:t>
            </w:r>
          </w:p>
        </w:tc>
      </w:tr>
      <w:tr>
        <w:tc>
          <w:tcPr>
            <w:tcW w:w="42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Allowance for credit losses at beginning of the year</w:t>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(32,845)</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(18,347)</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(9,134)</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(9,481)</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Allowance for credit losses at the end of the period</w:t>
            </w:r>
          </w:p>
        </w:tc>
        <w:tc>
          <w:tcPr>
            <w:tcW w:w="2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(41,979)</w:t>
            </w:r>
          </w:p>
        </w:tc>
        <w:tc>
          <w:tcPr>
            <w:tcW w:w="1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(27,828)</w:t>
            </w:r>
          </w:p>
        </w:tc>
        <w:tc>
          <w:tcPr>
            <w:tcW w:w="1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both"/>
        <w:rPr>
          <w:color w:val="000000"/>
        </w:rPr>
      </w:pPr>
      <w:r>
        <w:rPr>
          <w:color w:val="000000"/>
        </w:rPr>
        <w:t>            </w:t>
      </w:r>
    </w:p>
    <w:p>
      <w:pPr>
        <w:pStyle w:val="TextBody"/>
        <w:bidi w:val="0"/>
        <w:spacing w:before="140" w:after="283"/>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pPr>
      <w:hyperlink w:anchor="ia22e01e7fdae4b968e9b46967ef89c75_7">
        <w:r>
          <w:rPr>
            <w:rStyle w:val="InternetLink"/>
            <w:rFonts w:ascii="Times New Roman;serif" w:hAnsi="Times New Roman;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ACM RESEARCH,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the Condensed Consolidated Financial Statements</w:t>
      </w:r>
    </w:p>
    <w:p>
      <w:pPr>
        <w:pStyle w:val="TextBody"/>
        <w:bidi w:val="0"/>
        <w:spacing w:lineRule="auto" w:line="288" w:before="0" w:after="0"/>
        <w:jc w:val="center"/>
      </w:pPr>
      <w:r>
        <w:rPr>
          <w:rFonts w:ascii="Times New Roman;serif" w:hAnsi="Times New Roman;serif"/>
          <w:b w:val="false"/>
          <w:i/>
          <w:color w:val="000000"/>
          <w:sz w:val="20"/>
          <w:shd w:fill="FFFFFF" w:val="clear"/>
        </w:rPr>
        <w:t xml:space="preserve">(In </w:t>
      </w:r>
      <w:r>
        <w:rPr>
          <w:rFonts w:ascii="Times New Roman;serif" w:hAnsi="Times New Roman;serif"/>
          <w:b w:val="false"/>
          <w:i/>
          <w:color w:val="000000"/>
          <w:sz w:val="20"/>
        </w:rPr>
        <w:t>thousands</w:t>
      </w:r>
      <w:r>
        <w:rPr>
          <w:rFonts w:ascii="Times New Roman;serif" w:hAnsi="Times New Roman;serif"/>
          <w:b w:val="false"/>
          <w:i/>
          <w:color w:val="000000"/>
          <w:sz w:val="20"/>
          <w:shd w:fill="FFFFFF" w:val="clear"/>
        </w:rPr>
        <w:t>, except share, percentage and per share data)</w:t>
      </w: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NOTE 5 – INVENTORIES, NET</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At September 30, 2026, and December 31, 2025, inventories consisted of the following:</w:t>
      </w:r>
    </w:p>
    <w:tbl>
      <w:tblPr>
        <w:tblW w:w="4795" w:type="dxa"/>
        <w:jc w:val="left"/>
        <w:tblInd w:w="0" w:type="dxa"/>
        <w:tblLayout w:type="fixed"/>
        <w:tblCellMar>
          <w:top w:w="28" w:type="dxa"/>
          <w:left w:w="28" w:type="dxa"/>
          <w:bottom w:w="28" w:type="dxa"/>
          <w:right w:w="28" w:type="dxa"/>
        </w:tblCellMar>
      </w:tblPr>
      <w:tblGrid>
        <w:gridCol w:w="673"/>
        <w:gridCol w:w="591"/>
        <w:gridCol w:w="595"/>
        <w:gridCol w:w="240"/>
        <w:gridCol w:w="941"/>
        <w:gridCol w:w="124"/>
        <w:gridCol w:w="109"/>
        <w:gridCol w:w="109"/>
        <w:gridCol w:w="109"/>
        <w:gridCol w:w="231"/>
        <w:gridCol w:w="905"/>
        <w:gridCol w:w="168"/>
      </w:tblGrid>
      <w:tr>
        <w:tc>
          <w:tcPr>
            <w:tcW w:w="673"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c>
          <w:tcPr>
            <w:tcW w:w="18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465,494 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349,663 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Work-in-process</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122,655 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61,415 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263,075 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291,553 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inventories, net</w:t>
            </w:r>
          </w:p>
        </w:tc>
        <w:tc>
          <w:tcPr>
            <w:tcW w:w="2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851,224 </w:t>
            </w:r>
          </w:p>
        </w:tc>
        <w:tc>
          <w:tcPr>
            <w:tcW w:w="1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702,631 </w:t>
            </w:r>
          </w:p>
        </w:tc>
        <w:tc>
          <w:tcPr>
            <w:tcW w:w="1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At September 30, 2026 and December 31, 2025, the value of finished goods inventory at customers' physical locations for which customers were contractually obligated to take ownership upon acceptance totaled $83,050 and $145,506, respectively.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September 30, 2026 and 2025, the provisions for inventory recognized in cost of revenues were $6,907 and $4,228, respectively. During the nine months ended September 30, 2026 and 2025, the provisions for inventory recognized in cost of revenues were $18,927 and $9,853,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NOTE 6 – PROPERTY, PLANT AND EQUIPMENT, NET</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At September 30, 2026 and December 31, 2025, property, plant and equipment consisted of the following:</w:t>
      </w:r>
    </w:p>
    <w:tbl>
      <w:tblPr>
        <w:tblW w:w="6342" w:type="dxa"/>
        <w:jc w:val="left"/>
        <w:tblInd w:w="0" w:type="dxa"/>
        <w:tblLayout w:type="fixed"/>
        <w:tblCellMar>
          <w:top w:w="28" w:type="dxa"/>
          <w:left w:w="28" w:type="dxa"/>
          <w:bottom w:w="28" w:type="dxa"/>
          <w:right w:w="28" w:type="dxa"/>
        </w:tblCellMar>
      </w:tblPr>
      <w:tblGrid>
        <w:gridCol w:w="1230"/>
        <w:gridCol w:w="1081"/>
        <w:gridCol w:w="1095"/>
        <w:gridCol w:w="240"/>
        <w:gridCol w:w="941"/>
        <w:gridCol w:w="124"/>
        <w:gridCol w:w="109"/>
        <w:gridCol w:w="109"/>
        <w:gridCol w:w="109"/>
        <w:gridCol w:w="231"/>
        <w:gridCol w:w="905"/>
        <w:gridCol w:w="168"/>
      </w:tblGrid>
      <w:tr>
        <w:tc>
          <w:tcPr>
            <w:tcW w:w="1230"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c>
          <w:tcPr>
            <w:tcW w:w="3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c>
          <w:tcPr>
            <w:tcW w:w="34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and plants</w:t>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283,125 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229,731 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Manufacturing equipment</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94,269 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70,680 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Office equipment</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12,275 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9,339 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Transportation equipment</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14,667 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12,656 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65,461 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28,396 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w:t>
            </w:r>
          </w:p>
        </w:tc>
        <w:tc>
          <w:tcPr>
            <w:tcW w:w="11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472,669 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353,594 </w:t>
            </w:r>
          </w:p>
        </w:tc>
        <w:tc>
          <w:tcPr>
            <w:tcW w:w="1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1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(58,190)</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(38,764)</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plant and equipment, net</w:t>
            </w:r>
          </w:p>
        </w:tc>
        <w:tc>
          <w:tcPr>
            <w:tcW w:w="2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414,479 </w:t>
            </w:r>
          </w:p>
        </w:tc>
        <w:tc>
          <w:tcPr>
            <w:tcW w:w="1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314,830 </w:t>
            </w:r>
          </w:p>
        </w:tc>
        <w:tc>
          <w:tcPr>
            <w:tcW w:w="1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Depreciation expense for the three months ended September 30, 2026 and 2025 was $8,046 and $2,458, respectively. Depreciation expense for the nine months ended September 30, 2026 and 2025 was $19,426 and $8,362, respectively.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June 5, 2026, the Company purchased a facility consisting of 3,196 square meters of general-purpose office space located in Shanghai Pudong New Area for RMB 312,699 ($45,904). To partially finance the purchase, the Company entered into a loan agreement with the Bank of China for RMB 231,518 ($34,380) at a 2.65% interest rate, with a repayment term of 120 months. The facility was pledged as security for a loan from the Bank of China in July 2026 (note 9). </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At September 30, 2026, buildings and plants included $37,087 for the Lingang housing property, which are pledged as a security for loans from the China Merchants Bank (note 9).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pPr>
      <w:hyperlink w:anchor="ia22e01e7fdae4b968e9b46967ef89c75_7">
        <w:r>
          <w:rPr>
            <w:rStyle w:val="InternetLink"/>
            <w:rFonts w:ascii="Times New Roman;serif" w:hAnsi="Times New Roman;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ACM RESEARCH,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the Condensed Consolidated Financial Statements</w:t>
      </w:r>
    </w:p>
    <w:p>
      <w:pPr>
        <w:pStyle w:val="TextBody"/>
        <w:bidi w:val="0"/>
        <w:spacing w:lineRule="auto" w:line="288" w:before="0" w:after="0"/>
        <w:jc w:val="center"/>
      </w:pPr>
      <w:r>
        <w:rPr>
          <w:rFonts w:ascii="Times New Roman;serif" w:hAnsi="Times New Roman;serif"/>
          <w:b w:val="false"/>
          <w:i/>
          <w:color w:val="000000"/>
          <w:sz w:val="20"/>
          <w:shd w:fill="FFFFFF" w:val="clear"/>
        </w:rPr>
        <w:t xml:space="preserve">(In </w:t>
      </w:r>
      <w:r>
        <w:rPr>
          <w:rFonts w:ascii="Times New Roman;serif" w:hAnsi="Times New Roman;serif"/>
          <w:b w:val="false"/>
          <w:i/>
          <w:color w:val="000000"/>
          <w:sz w:val="20"/>
        </w:rPr>
        <w:t>thousands</w:t>
      </w:r>
      <w:r>
        <w:rPr>
          <w:rFonts w:ascii="Times New Roman;serif" w:hAnsi="Times New Roman;serif"/>
          <w:b w:val="false"/>
          <w:i/>
          <w:color w:val="000000"/>
          <w:sz w:val="20"/>
          <w:shd w:fill="FFFFFF" w:val="clear"/>
        </w:rPr>
        <w:t>, except share, percentage and per share data)</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NOTE 7 – SHORT-TERM BORROWINGS </w:t>
      </w:r>
    </w:p>
    <w:p>
      <w:pPr>
        <w:pStyle w:val="TextBody"/>
        <w:bidi w:val="0"/>
        <w:spacing w:before="0" w:after="0"/>
        <w:jc w:val="both"/>
      </w:pPr>
      <w:r/>
    </w:p>
    <w:p>
      <w:pPr>
        <w:pStyle w:val="TextBody"/>
        <w:bidi w:val="0"/>
        <w:spacing w:lineRule="auto" w:line="288" w:before="0" w:after="0"/>
        <w:jc w:val="both"/>
      </w:pPr>
      <w:r>
        <w:rPr>
          <w:rFonts w:ascii="Times New Roman;serif" w:hAnsi="Times New Roman;serif"/>
          <w:b w:val="false"/>
          <w:color w:val="000000"/>
          <w:sz w:val="20"/>
        </w:rPr>
        <w:t xml:space="preserve">Short-term borrowings as of </w:t>
      </w:r>
      <w:r>
        <w:rPr>
          <w:rFonts w:ascii="Times New Roman;serif" w:hAnsi="Times New Roman;serif"/>
          <w:b w:val="false"/>
          <w:color w:val="000000"/>
          <w:sz w:val="20"/>
          <w:shd w:fill="FFFFFF" w:val="clear"/>
        </w:rPr>
        <w:t>September 30, 2026 and December 31, 2025</w:t>
      </w:r>
      <w:r>
        <w:rPr>
          <w:color w:val="000000"/>
        </w:rPr>
        <w:t xml:space="preserve"> </w:t>
      </w:r>
      <w:r>
        <w:rPr>
          <w:rFonts w:ascii="Times New Roman;serif" w:hAnsi="Times New Roman;serif"/>
          <w:b w:val="false"/>
          <w:color w:val="000000"/>
          <w:sz w:val="20"/>
        </w:rPr>
        <w:t xml:space="preserve">amounted to $130,746 and $74,041, respectively, which consisted of RMB denominated borrowings made by the Company’s subsidiaries from financial institutions in mainland China and were repayable within one year. </w:t>
      </w:r>
    </w:p>
    <w:p>
      <w:pPr>
        <w:pStyle w:val="TextBody"/>
        <w:bidi w:val="0"/>
        <w:spacing w:before="0" w:after="0"/>
        <w:jc w:val="left"/>
      </w:pPr>
      <w:r/>
    </w:p>
    <w:p>
      <w:pPr>
        <w:pStyle w:val="TextBody"/>
        <w:bidi w:val="0"/>
        <w:spacing w:lineRule="auto" w:line="288" w:before="0" w:after="0"/>
        <w:jc w:val="both"/>
      </w:pPr>
      <w:r>
        <w:rPr>
          <w:rFonts w:ascii="Times New Roman;serif" w:hAnsi="Times New Roman;serif"/>
          <w:b w:val="false"/>
          <w:color w:val="000000"/>
          <w:sz w:val="20"/>
        </w:rPr>
        <w:t xml:space="preserve">As of </w:t>
      </w:r>
      <w:r>
        <w:rPr>
          <w:rFonts w:ascii="Times New Roman;serif" w:hAnsi="Times New Roman;serif"/>
          <w:b w:val="false"/>
          <w:color w:val="000000"/>
          <w:sz w:val="20"/>
          <w:shd w:fill="FFFFFF" w:val="clear"/>
        </w:rPr>
        <w:t>September 30, 2026 and December 31, 2025</w:t>
      </w:r>
      <w:r>
        <w:rPr>
          <w:rFonts w:ascii="Times New Roman;serif" w:hAnsi="Times New Roman;serif"/>
          <w:b w:val="false"/>
          <w:color w:val="000000"/>
          <w:sz w:val="20"/>
        </w:rPr>
        <w:t>, the weighted average interest rates for the outstanding borrowings were 2.1% and 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NOTE 8 – OTHER PAYABLES AND ACCRUED EXPENSES </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At September 30, 2026 and December 31, 2025, other payables and accrued expenses consisted of the following:</w:t>
      </w:r>
    </w:p>
    <w:tbl>
      <w:tblPr>
        <w:tblW w:w="5668" w:type="dxa"/>
        <w:jc w:val="left"/>
        <w:tblInd w:w="0" w:type="dxa"/>
        <w:tblLayout w:type="fixed"/>
        <w:tblCellMar>
          <w:top w:w="28" w:type="dxa"/>
          <w:left w:w="28" w:type="dxa"/>
          <w:bottom w:w="28" w:type="dxa"/>
          <w:right w:w="28" w:type="dxa"/>
        </w:tblCellMar>
      </w:tblPr>
      <w:tblGrid>
        <w:gridCol w:w="1108"/>
        <w:gridCol w:w="974"/>
        <w:gridCol w:w="977"/>
        <w:gridCol w:w="240"/>
        <w:gridCol w:w="941"/>
        <w:gridCol w:w="124"/>
        <w:gridCol w:w="231"/>
        <w:gridCol w:w="905"/>
        <w:gridCol w:w="168"/>
      </w:tblGrid>
      <w:tr>
        <w:tc>
          <w:tcPr>
            <w:tcW w:w="110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c>
          <w:tcPr>
            <w:tcW w:w="3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w:t>
              <w:br/>
              <w:t>2026</w:t>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c>
          <w:tcPr>
            <w:tcW w:w="30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Accrued commissions </w:t>
            </w:r>
          </w:p>
        </w:tc>
        <w:tc>
          <w:tcPr>
            <w:tcW w:w="2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34,479 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26,931 </w:t>
            </w:r>
          </w:p>
        </w:tc>
        <w:tc>
          <w:tcPr>
            <w:tcW w:w="1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Accrued warranty </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26,191 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19,104 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Accrued payroll </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27,697 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24,830 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Accrued machine sales fees </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24,309 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13,341 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Accrued Lingang construction fees </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17,365 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24,258 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 taxes</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62,582 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19,552 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Payable for investments </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4,838 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Others </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19,897 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17,542 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Total </w:t>
            </w:r>
          </w:p>
        </w:tc>
        <w:tc>
          <w:tcPr>
            <w:tcW w:w="2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213,560 </w:t>
            </w:r>
          </w:p>
        </w:tc>
        <w:tc>
          <w:tcPr>
            <w:tcW w:w="1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150,396 </w:t>
            </w:r>
          </w:p>
        </w:tc>
        <w:tc>
          <w:tcPr>
            <w:tcW w:w="1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Warranties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provides standard warranties on its products. The liability amount is based on actual historical warranty spending activity by type of product, customer, and geographic region, modified for any known differences such as the impact of product reliability improvements.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Changes in the Company’s accrued warranty were as follows:</w:t>
      </w:r>
    </w:p>
    <w:tbl>
      <w:tblPr>
        <w:tblW w:w="8802" w:type="dxa"/>
        <w:jc w:val="left"/>
        <w:tblInd w:w="0" w:type="dxa"/>
        <w:tblLayout w:type="fixed"/>
        <w:tblCellMar>
          <w:top w:w="28" w:type="dxa"/>
          <w:left w:w="28" w:type="dxa"/>
          <w:bottom w:w="28" w:type="dxa"/>
          <w:right w:w="28" w:type="dxa"/>
        </w:tblCellMar>
      </w:tblPr>
      <w:tblGrid>
        <w:gridCol w:w="956"/>
        <w:gridCol w:w="840"/>
        <w:gridCol w:w="843"/>
        <w:gridCol w:w="273"/>
        <w:gridCol w:w="934"/>
        <w:gridCol w:w="141"/>
        <w:gridCol w:w="141"/>
        <w:gridCol w:w="141"/>
        <w:gridCol w:w="141"/>
        <w:gridCol w:w="273"/>
        <w:gridCol w:w="934"/>
        <w:gridCol w:w="141"/>
        <w:gridCol w:w="302"/>
        <w:gridCol w:w="1032"/>
        <w:gridCol w:w="156"/>
        <w:gridCol w:w="302"/>
        <w:gridCol w:w="1032"/>
        <w:gridCol w:w="220"/>
      </w:tblGrid>
      <w:tr>
        <w:tc>
          <w:tcPr>
            <w:tcW w:w="95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04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4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5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2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22,938 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13,544 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19,104 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12,710 </w:t>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120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5,596 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3,973 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13,324 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9,679 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Utilized</w:t>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(2,343)</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(6,237)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(5,100)</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7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26,191 </w:t>
            </w:r>
          </w:p>
        </w:tc>
        <w:tc>
          <w:tcPr>
            <w:tcW w:w="14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17,289 </w:t>
            </w:r>
          </w:p>
        </w:tc>
        <w:tc>
          <w:tcPr>
            <w:tcW w:w="14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26,191 </w:t>
            </w:r>
          </w:p>
        </w:tc>
        <w:tc>
          <w:tcPr>
            <w:tcW w:w="15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17,289 </w:t>
            </w:r>
          </w:p>
        </w:tc>
        <w:tc>
          <w:tcPr>
            <w:tcW w:w="22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pPr>
      <w:hyperlink w:anchor="ia22e01e7fdae4b968e9b46967ef89c75_7">
        <w:r>
          <w:rPr>
            <w:rStyle w:val="InternetLink"/>
            <w:rFonts w:ascii="Times New Roman;serif" w:hAnsi="Times New Roman;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ACM RESEARCH,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the Condensed Consolidated Financial Statements</w:t>
      </w:r>
    </w:p>
    <w:p>
      <w:pPr>
        <w:pStyle w:val="TextBody"/>
        <w:bidi w:val="0"/>
        <w:spacing w:lineRule="auto" w:line="288" w:before="0" w:after="0"/>
        <w:jc w:val="center"/>
      </w:pPr>
      <w:r>
        <w:rPr>
          <w:rFonts w:ascii="Times New Roman;serif" w:hAnsi="Times New Roman;serif"/>
          <w:b w:val="false"/>
          <w:i/>
          <w:color w:val="000000"/>
          <w:sz w:val="20"/>
          <w:shd w:fill="FFFFFF" w:val="clear"/>
        </w:rPr>
        <w:t xml:space="preserve">(In </w:t>
      </w:r>
      <w:r>
        <w:rPr>
          <w:rFonts w:ascii="Times New Roman;serif" w:hAnsi="Times New Roman;serif"/>
          <w:b w:val="false"/>
          <w:i/>
          <w:color w:val="000000"/>
          <w:sz w:val="20"/>
        </w:rPr>
        <w:t>thousands</w:t>
      </w:r>
      <w:r>
        <w:rPr>
          <w:rFonts w:ascii="Times New Roman;serif" w:hAnsi="Times New Roman;serif"/>
          <w:b w:val="false"/>
          <w:i/>
          <w:color w:val="000000"/>
          <w:sz w:val="20"/>
          <w:shd w:fill="FFFFFF" w:val="clear"/>
        </w:rPr>
        <w:t>, except share, percentage and per share data)</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9 – LONG-TERM BORROWINGS</w:t>
      </w:r>
    </w:p>
    <w:p>
      <w:pPr>
        <w:pStyle w:val="TextBody"/>
        <w:bidi w:val="0"/>
        <w:spacing w:before="0" w:after="0"/>
        <w:jc w:val="left"/>
      </w:pPr>
      <w:r/>
    </w:p>
    <w:p>
      <w:pPr>
        <w:pStyle w:val="TextBody"/>
        <w:bidi w:val="0"/>
        <w:spacing w:lineRule="auto" w:line="288" w:before="0" w:after="0"/>
        <w:jc w:val="left"/>
      </w:pPr>
      <w:r>
        <w:rPr>
          <w:rFonts w:ascii="Times New Roman;serif" w:hAnsi="Times New Roman;serif"/>
          <w:b w:val="false"/>
          <w:color w:val="000000"/>
          <w:sz w:val="20"/>
          <w:shd w:fill="FFFFFF" w:val="clear"/>
        </w:rPr>
        <w:t xml:space="preserve">At September 30, 2026 and December 31, 2025, long-term borrowings consisted </w:t>
      </w:r>
      <w:r>
        <w:rPr>
          <w:rFonts w:ascii="Times New Roman;serif" w:hAnsi="Times New Roman;serif"/>
          <w:b w:val="false"/>
          <w:color w:val="000000"/>
          <w:sz w:val="20"/>
        </w:rPr>
        <w:t>of loan facilities from the following financial institutions:</w:t>
      </w:r>
    </w:p>
    <w:tbl>
      <w:tblPr>
        <w:tblW w:w="7108" w:type="dxa"/>
        <w:jc w:val="left"/>
        <w:tblInd w:w="0" w:type="dxa"/>
        <w:tblLayout w:type="fixed"/>
        <w:tblCellMar>
          <w:top w:w="28" w:type="dxa"/>
          <w:left w:w="28" w:type="dxa"/>
          <w:bottom w:w="28" w:type="dxa"/>
          <w:right w:w="28" w:type="dxa"/>
        </w:tblCellMar>
      </w:tblPr>
      <w:tblGrid>
        <w:gridCol w:w="1627"/>
        <w:gridCol w:w="1434"/>
        <w:gridCol w:w="1438"/>
        <w:gridCol w:w="237"/>
        <w:gridCol w:w="946"/>
        <w:gridCol w:w="122"/>
        <w:gridCol w:w="228"/>
        <w:gridCol w:w="910"/>
        <w:gridCol w:w="166"/>
      </w:tblGrid>
      <w:tr>
        <w:tc>
          <w:tcPr>
            <w:tcW w:w="1627"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c>
          <w:tcPr>
            <w:tcW w:w="44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4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China Merchants Bank</w:t>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25,803 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9,915 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Agricultural Bank of China</w:t>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43,091 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42,007 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Bank of China</w:t>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69,546 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34,247 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China CITIC Bank</w:t>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28,460 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China Everbright Bank</w:t>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26,961 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56,807 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 and Commercial Bank of China</w:t>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46,996 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42,576 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borrowings</w:t>
            </w:r>
          </w:p>
        </w:tc>
        <w:tc>
          <w:tcPr>
            <w:tcW w:w="11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212,397 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214,012 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w:t>
            </w:r>
          </w:p>
        </w:tc>
        <w:tc>
          <w:tcPr>
            <w:tcW w:w="11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(64,121)</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(35,082)</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color w:val="000000"/>
                <w:sz w:val="20"/>
              </w:rPr>
              <w:t xml:space="preserve">Total long-term borrowings, net of current portion </w:t>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148,276</w:t>
            </w:r>
            <w:r>
              <w:rPr>
                <w:color w:val="000000"/>
              </w:rPr>
              <w:t>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178,930</w:t>
            </w:r>
            <w:r>
              <w:rPr>
                <w:color w:val="000000"/>
              </w:rPr>
              <w:t>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China Merchants Bank</w:t>
      </w:r>
    </w:p>
    <w:p>
      <w:pPr>
        <w:pStyle w:val="TextBody"/>
        <w:bidi w:val="0"/>
        <w:spacing w:before="0" w:after="0"/>
        <w:jc w:val="left"/>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January 2026, ACM Shanghai entered into a long-term loan facility, of $17,820 from China Merchants Bank. Principal repayments shall be made in six installments beginning July 2026, with final maturity in January 2029. The loan bears interest at an annual rate of 2.38%.</w:t>
      </w:r>
    </w:p>
    <w:p>
      <w:pPr>
        <w:pStyle w:val="TextBody"/>
        <w:bidi w:val="0"/>
        <w:spacing w:before="0" w:after="0"/>
        <w:jc w:val="both"/>
      </w:p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Bank of China</w:t>
      </w:r>
    </w:p>
    <w:p>
      <w:pPr>
        <w:pStyle w:val="TextBody"/>
        <w:bidi w:val="0"/>
        <w:spacing w:before="0" w:after="0"/>
        <w:jc w:val="left"/>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May 2026, ACM Shanghai entered into a long-term loan facility of $34,380 from Bank of China for the purchase of new office located in Shanghai’s Pudong New Area (note 6). The loan will be paid in 120 monthly installments. The loan bears interest at an annual rate of 2.65%. </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2025, ACM Shanghai secured a long-term loan of $5,940 with the Bank of China for ACM Shanghai’s project expenditures. The facility requires ACM Shanghai’s year-end outstanding interest-bearing debt not to exceed five times its annual EBITDA, and to comply with other non-financial covenants, or Bank of China has the right to suspend the facility, or request ACM Shanghai to accelerate repayment or provide credit enhancement. </w:t>
      </w:r>
    </w:p>
    <w:p>
      <w:pPr>
        <w:pStyle w:val="TextBody"/>
        <w:bidi w:val="0"/>
        <w:spacing w:before="0" w:after="0"/>
        <w:jc w:val="left"/>
      </w:p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Industrial and Commercial Bank of China</w:t>
      </w:r>
    </w:p>
    <w:p>
      <w:pPr>
        <w:pStyle w:val="TextBody"/>
        <w:bidi w:val="0"/>
        <w:spacing w:before="0" w:after="0"/>
        <w:jc w:val="left"/>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March 2026, ACM Shanghai entered into a long-term loan facility of $24,868. Principal repayments shall be made in six installments beginning September 2026, with final maturity in March 2029. The loan bears interest at an annual rate of 2.29%. </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Additional long-term borrowings information</w:t>
      </w:r>
    </w:p>
    <w:p>
      <w:pPr>
        <w:pStyle w:val="TextBody"/>
        <w:bidi w:val="0"/>
        <w:spacing w:before="0" w:after="0"/>
        <w:jc w:val="both"/>
      </w:pPr>
      <w:r/>
    </w:p>
    <w:p>
      <w:pPr>
        <w:pStyle w:val="TextBody"/>
        <w:bidi w:val="0"/>
        <w:spacing w:lineRule="auto" w:line="288" w:before="0" w:after="0"/>
        <w:jc w:val="both"/>
      </w:pPr>
      <w:r>
        <w:rPr>
          <w:rFonts w:ascii="Times New Roman;serif" w:hAnsi="Times New Roman;serif"/>
          <w:b w:val="false"/>
          <w:color w:val="000000"/>
          <w:sz w:val="20"/>
          <w:shd w:fill="FFFFFF" w:val="clear"/>
        </w:rPr>
        <w:t>As of September 30, 2026 and December 31, 2025, the total carrying amount of long-term loans</w:t>
      </w:r>
      <w:r>
        <w:rPr>
          <w:color w:val="000000"/>
        </w:rPr>
        <w:t xml:space="preserve"> </w:t>
      </w:r>
      <w:r>
        <w:rPr>
          <w:rFonts w:ascii="Times New Roman;serif" w:hAnsi="Times New Roman;serif"/>
          <w:b w:val="false"/>
          <w:color w:val="000000"/>
          <w:sz w:val="20"/>
        </w:rPr>
        <w:t xml:space="preserve">was $212,397 and $214,012, compared with an estimated fair value of $193,251 and $202,706, respectively. The fair value of the long-term loans is estimated by discounting cash flows using interest rates </w:t>
      </w:r>
      <w:r>
        <w:rPr>
          <w:rFonts w:ascii="Times New Roman;serif" w:hAnsi="Times New Roman;serif"/>
          <w:b w:val="false"/>
          <w:color w:val="000000"/>
          <w:sz w:val="20"/>
          <w:shd w:fill="FFFFFF" w:val="clear"/>
        </w:rPr>
        <w:t>currently available for debts with similar terms and maturities (Level 2 fair value measurement).</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pPr>
      <w:hyperlink w:anchor="ia22e01e7fdae4b968e9b46967ef89c75_7">
        <w:r>
          <w:rPr>
            <w:rStyle w:val="InternetLink"/>
            <w:rFonts w:ascii="Times New Roman;serif" w:hAnsi="Times New Roman;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ACM RESEARCH,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the Condensed Consolidated Financial Statements</w:t>
      </w:r>
    </w:p>
    <w:p>
      <w:pPr>
        <w:pStyle w:val="TextBody"/>
        <w:bidi w:val="0"/>
        <w:spacing w:lineRule="auto" w:line="288" w:before="0" w:after="0"/>
        <w:jc w:val="center"/>
      </w:pPr>
      <w:r>
        <w:rPr>
          <w:rFonts w:ascii="Times New Roman;serif" w:hAnsi="Times New Roman;serif"/>
          <w:b w:val="false"/>
          <w:i/>
          <w:color w:val="000000"/>
          <w:sz w:val="20"/>
          <w:shd w:fill="FFFFFF" w:val="clear"/>
        </w:rPr>
        <w:t xml:space="preserve">(In </w:t>
      </w:r>
      <w:r>
        <w:rPr>
          <w:rFonts w:ascii="Times New Roman;serif" w:hAnsi="Times New Roman;serif"/>
          <w:b w:val="false"/>
          <w:i/>
          <w:color w:val="000000"/>
          <w:sz w:val="20"/>
        </w:rPr>
        <w:t>thousands</w:t>
      </w:r>
      <w:r>
        <w:rPr>
          <w:rFonts w:ascii="Times New Roman;serif" w:hAnsi="Times New Roman;serif"/>
          <w:b w:val="false"/>
          <w:i/>
          <w:color w:val="000000"/>
          <w:sz w:val="20"/>
          <w:shd w:fill="FFFFFF" w:val="clear"/>
        </w:rPr>
        <w:t>, except share, percentage and per share data)</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Scheduled principal payments for the outstanding long-term loans, including the current portion, as of September 30, 2026 are as follows:</w:t>
      </w:r>
    </w:p>
    <w:tbl>
      <w:tblPr>
        <w:tblW w:w="3561" w:type="dxa"/>
        <w:jc w:val="left"/>
        <w:tblInd w:w="0" w:type="dxa"/>
        <w:tblLayout w:type="fixed"/>
        <w:tblCellMar>
          <w:top w:w="28" w:type="dxa"/>
          <w:left w:w="28" w:type="dxa"/>
          <w:bottom w:w="28" w:type="dxa"/>
          <w:right w:w="28" w:type="dxa"/>
        </w:tblCellMar>
      </w:tblPr>
      <w:tblGrid>
        <w:gridCol w:w="852"/>
        <w:gridCol w:w="750"/>
        <w:gridCol w:w="753"/>
        <w:gridCol w:w="211"/>
        <w:gridCol w:w="841"/>
        <w:gridCol w:w="154"/>
      </w:tblGrid>
      <w:tr>
        <w:tc>
          <w:tcPr>
            <w:tcW w:w="85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3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494949"/>
                <w:sz w:val="20"/>
              </w:rPr>
            </w:pPr>
            <w:r>
              <w:rPr>
                <w:rFonts w:ascii="Times New Roman;serif" w:hAnsi="Times New Roman;serif"/>
                <w:b/>
                <w:color w:val="494949"/>
                <w:sz w:val="20"/>
              </w:rPr>
              <w:t>Year ending December 31,</w:t>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55"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1,635 </w:t>
            </w:r>
          </w:p>
        </w:tc>
        <w:tc>
          <w:tcPr>
            <w:tcW w:w="154"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87,393 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5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16,855 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47,512 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5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2030 and thereafter </w:t>
            </w:r>
          </w:p>
        </w:tc>
        <w:tc>
          <w:tcPr>
            <w:tcW w:w="105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59,002 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212,397</w:t>
            </w:r>
            <w:r>
              <w:rPr>
                <w:color w:val="000000"/>
              </w:rPr>
              <w:t>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NOTE 10 – LONG-TERM INVESTMENTS </w:t>
      </w:r>
    </w:p>
    <w:p>
      <w:pPr>
        <w:pStyle w:val="TextBody"/>
        <w:bidi w:val="0"/>
        <w:spacing w:before="0" w:after="0"/>
        <w:jc w:val="left"/>
      </w:p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Company’s long-term investment balance primarily consisted of the following:</w:t>
      </w:r>
    </w:p>
    <w:p>
      <w:pPr>
        <w:pStyle w:val="TextBody"/>
        <w:bidi w:val="0"/>
        <w:spacing w:before="0" w:after="0"/>
        <w:jc w:val="left"/>
      </w:pPr>
      <w:r/>
    </w:p>
    <w:tbl>
      <w:tblPr>
        <w:tblW w:w="10205" w:type="dxa"/>
        <w:jc w:val="left"/>
        <w:tblInd w:w="0" w:type="dxa"/>
        <w:tblLayout w:type="fixed"/>
        <w:tblCellMar>
          <w:top w:w="28" w:type="dxa"/>
          <w:left w:w="28" w:type="dxa"/>
          <w:bottom w:w="28" w:type="dxa"/>
          <w:right w:w="28" w:type="dxa"/>
        </w:tblCellMar>
      </w:tblPr>
      <w:tblGrid>
        <w:gridCol w:w="2822"/>
        <w:gridCol w:w="2404"/>
        <w:gridCol w:w="2427"/>
        <w:gridCol w:w="253"/>
        <w:gridCol w:w="888"/>
        <w:gridCol w:w="130"/>
        <w:gridCol w:w="245"/>
        <w:gridCol w:w="855"/>
        <w:gridCol w:w="181"/>
      </w:tblGrid>
      <w:tr>
        <w:tc>
          <w:tcPr>
            <w:tcW w:w="2822" w:type="dxa"/>
            <w:tcBorders/>
            <w:vAlign w:val="center"/>
          </w:tcPr>
          <w:p>
            <w:pPr>
              <w:pStyle w:val="TableContents"/>
              <w:bidi w:val="0"/>
              <w:spacing w:before="0" w:after="283"/>
              <w:jc w:val="left"/>
              <w:rPr>
                <w:sz w:val="4"/>
                <w:szCs w:val="4"/>
              </w:rPr>
            </w:pPr>
            <w:r>
              <w:rPr>
                <w:sz w:val="4"/>
                <w:szCs w:val="4"/>
              </w:rPr>
            </w:r>
          </w:p>
        </w:tc>
        <w:tc>
          <w:tcPr>
            <w:tcW w:w="2404" w:type="dxa"/>
            <w:tcBorders/>
            <w:vAlign w:val="center"/>
          </w:tcPr>
          <w:p>
            <w:pPr>
              <w:pStyle w:val="TableContents"/>
              <w:bidi w:val="0"/>
              <w:spacing w:before="0" w:after="283"/>
              <w:jc w:val="left"/>
              <w:rPr>
                <w:sz w:val="4"/>
                <w:szCs w:val="4"/>
              </w:rPr>
            </w:pPr>
            <w:r>
              <w:rPr>
                <w:sz w:val="4"/>
                <w:szCs w:val="4"/>
              </w:rPr>
            </w:r>
          </w:p>
        </w:tc>
        <w:tc>
          <w:tcPr>
            <w:tcW w:w="242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c>
          <w:tcPr>
            <w:tcW w:w="76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20"/>
              </w:rPr>
            </w:pPr>
            <w:r>
              <w:rPr>
                <w:rFonts w:ascii="Times New Roman;serif" w:hAnsi="Times New Roman;serif"/>
                <w:b/>
                <w:i/>
                <w:color w:val="000000"/>
                <w:sz w:val="20"/>
              </w:rPr>
              <w:t>Equity investee:</w:t>
            </w:r>
          </w:p>
        </w:tc>
        <w:tc>
          <w:tcPr>
            <w:tcW w:w="12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w:t>
              <w:br/>
              <w:t>2026</w:t>
            </w:r>
          </w:p>
        </w:tc>
        <w:tc>
          <w:tcPr>
            <w:tcW w:w="12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c>
          <w:tcPr>
            <w:tcW w:w="76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Ninebell Co., Ltd. ("Ninebell")</w:t>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44,783 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31,310 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6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Wooil Flucon Co., ("Wooil") </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6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Shengyi Semiconductor Technology Co., Ltd. ("Shengyi")</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6,787 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4,411 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6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Hefei Shixi Chanheng Integrated Circuit Industry Venture Capital Fund Partnership (LP) ("Hefiei Shixi")</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5,335 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6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Company A</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4,455 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6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Subtotal</w:t>
            </w:r>
          </w:p>
        </w:tc>
        <w:tc>
          <w:tcPr>
            <w:tcW w:w="11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59,295</w:t>
            </w:r>
            <w:r>
              <w:rPr>
                <w:color w:val="000000"/>
              </w:rPr>
              <w:t>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46,218</w:t>
            </w:r>
            <w:r>
              <w:rPr>
                <w:color w:val="000000"/>
              </w:rPr>
              <w:t> </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6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i/>
                <w:color w:val="000000"/>
                <w:sz w:val="20"/>
              </w:rPr>
              <w:t xml:space="preserve">Equity investments without readily determinable fair value using the measurement alternative </w:t>
            </w:r>
          </w:p>
        </w:tc>
        <w:tc>
          <w:tcPr>
            <w:tcW w:w="11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11,297</w:t>
            </w:r>
            <w:r>
              <w:rPr>
                <w:color w:val="000000"/>
              </w:rPr>
              <w:t>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10,114</w:t>
            </w:r>
            <w:r>
              <w:rPr>
                <w:color w:val="000000"/>
              </w:rPr>
              <w:t>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6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20"/>
              </w:rPr>
            </w:pPr>
            <w:r>
              <w:rPr>
                <w:rFonts w:ascii="Times New Roman;serif" w:hAnsi="Times New Roman;serif"/>
                <w:b/>
                <w:i/>
                <w:color w:val="000000"/>
                <w:sz w:val="20"/>
              </w:rPr>
              <w:t>Available for sale debt securities</w:t>
            </w:r>
          </w:p>
        </w:tc>
        <w:tc>
          <w:tcPr>
            <w:tcW w:w="11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10,807</w:t>
            </w:r>
            <w:r>
              <w:rPr>
                <w:color w:val="000000"/>
              </w:rPr>
              <w:t>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9,703</w:t>
            </w:r>
            <w:r>
              <w:rPr>
                <w:color w:val="000000"/>
              </w:rPr>
              <w:t> </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6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long-term investments</w:t>
            </w:r>
          </w:p>
        </w:tc>
        <w:tc>
          <w:tcPr>
            <w:tcW w:w="2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81,399</w:t>
            </w:r>
            <w:r>
              <w:rPr>
                <w:color w:val="000000"/>
              </w:rPr>
              <w:t> </w:t>
            </w:r>
          </w:p>
        </w:tc>
        <w:tc>
          <w:tcPr>
            <w:tcW w:w="1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66,035</w:t>
            </w:r>
            <w:r>
              <w:rPr>
                <w:color w:val="000000"/>
              </w:rPr>
              <w:t> </w:t>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pPr>
      <w:r/>
    </w:p>
    <w:p>
      <w:pPr>
        <w:pStyle w:val="TextBody"/>
        <w:bidi w:val="0"/>
        <w:spacing w:lineRule="auto" w:line="288" w:before="0" w:after="0"/>
        <w:jc w:val="both"/>
        <w:rPr>
          <w:rFonts w:ascii="Times New Roman;serif" w:hAnsi="Times New Roman;serif"/>
          <w:b/>
          <w:i/>
          <w:color w:val="000000"/>
          <w:sz w:val="20"/>
          <w:u w:val="single"/>
        </w:rPr>
      </w:pPr>
      <w:r>
        <w:rPr>
          <w:rFonts w:ascii="Times New Roman;serif" w:hAnsi="Times New Roman;serif"/>
          <w:b/>
          <w:i/>
          <w:color w:val="000000"/>
          <w:sz w:val="20"/>
          <w:u w:val="single"/>
        </w:rPr>
        <w:t>Available-for-sale debt investments</w:t>
      </w:r>
    </w:p>
    <w:p>
      <w:pPr>
        <w:pStyle w:val="TextBody"/>
        <w:bidi w:val="0"/>
        <w:spacing w:before="0" w:after="0"/>
        <w:jc w:val="left"/>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available-for-sale debt investments are investments in preferred shares that are redeemable at the Company’s option with no contractual maturity date, which are measured at fair value.</w:t>
      </w:r>
    </w:p>
    <w:p>
      <w:pPr>
        <w:pStyle w:val="TextBody"/>
        <w:bidi w:val="0"/>
        <w:spacing w:before="0" w:after="0"/>
        <w:jc w:val="left"/>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amortized cost and estimated fair value of the Company’s available-for-sale debt investments at September 30, 2026 and December 31, 2025:</w:t>
      </w:r>
    </w:p>
    <w:p>
      <w:pPr>
        <w:pStyle w:val="TextBody"/>
        <w:bidi w:val="0"/>
        <w:spacing w:before="0" w:after="0"/>
        <w:jc w:val="left"/>
      </w:pPr>
      <w:r/>
    </w:p>
    <w:tbl>
      <w:tblPr>
        <w:tblW w:w="5383" w:type="dxa"/>
        <w:jc w:val="center"/>
        <w:tblInd w:w="0" w:type="dxa"/>
        <w:tblLayout w:type="fixed"/>
        <w:tblCellMar>
          <w:top w:w="28" w:type="dxa"/>
          <w:left w:w="28" w:type="dxa"/>
          <w:bottom w:w="28" w:type="dxa"/>
          <w:right w:w="28" w:type="dxa"/>
        </w:tblCellMar>
      </w:tblPr>
      <w:tblGrid>
        <w:gridCol w:w="668"/>
        <w:gridCol w:w="588"/>
        <w:gridCol w:w="589"/>
        <w:gridCol w:w="397"/>
        <w:gridCol w:w="1165"/>
        <w:gridCol w:w="207"/>
        <w:gridCol w:w="380"/>
        <w:gridCol w:w="1110"/>
        <w:gridCol w:w="279"/>
      </w:tblGrid>
      <w:tr>
        <w:tc>
          <w:tcPr>
            <w:tcW w:w="66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c>
          <w:tcPr>
            <w:tcW w:w="1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2026</w:t>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c>
          <w:tcPr>
            <w:tcW w:w="18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Amortized Cost </w:t>
            </w:r>
          </w:p>
        </w:tc>
        <w:tc>
          <w:tcPr>
            <w:tcW w:w="3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7,585 </w:t>
            </w:r>
          </w:p>
        </w:tc>
        <w:tc>
          <w:tcPr>
            <w:tcW w:w="20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7,269 </w:t>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Estimated fair value </w:t>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10,807 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9,703 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pPr>
      <w:hyperlink w:anchor="ia22e01e7fdae4b968e9b46967ef89c75_7">
        <w:r>
          <w:rPr>
            <w:rStyle w:val="InternetLink"/>
            <w:rFonts w:ascii="Times New Roman;serif" w:hAnsi="Times New Roman;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ACM RESEARCH,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the Condensed Consolidated Financial Statements</w:t>
      </w:r>
    </w:p>
    <w:p>
      <w:pPr>
        <w:pStyle w:val="TextBody"/>
        <w:bidi w:val="0"/>
        <w:spacing w:lineRule="auto" w:line="288" w:before="0" w:after="0"/>
        <w:jc w:val="center"/>
      </w:pPr>
      <w:r>
        <w:rPr>
          <w:rFonts w:ascii="Times New Roman;serif" w:hAnsi="Times New Roman;serif"/>
          <w:b w:val="false"/>
          <w:i/>
          <w:color w:val="000000"/>
          <w:sz w:val="20"/>
          <w:shd w:fill="FFFFFF" w:val="clear"/>
        </w:rPr>
        <w:t xml:space="preserve">(In </w:t>
      </w:r>
      <w:r>
        <w:rPr>
          <w:rFonts w:ascii="Times New Roman;serif" w:hAnsi="Times New Roman;serif"/>
          <w:b w:val="false"/>
          <w:i/>
          <w:color w:val="000000"/>
          <w:sz w:val="20"/>
        </w:rPr>
        <w:t>thousands</w:t>
      </w:r>
      <w:r>
        <w:rPr>
          <w:rFonts w:ascii="Times New Roman;serif" w:hAnsi="Times New Roman;serif"/>
          <w:b w:val="false"/>
          <w:i/>
          <w:color w:val="000000"/>
          <w:sz w:val="20"/>
          <w:shd w:fill="FFFFFF" w:val="clear"/>
        </w:rPr>
        <w:t>, except share, percentage and per share data)</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NOTE 11 – SHORT-TERM INVESTMENTS </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At September 30, 2026 and December 31, 2025, the components of short-term investments were as follows:</w:t>
      </w:r>
    </w:p>
    <w:tbl>
      <w:tblPr>
        <w:tblW w:w="7484" w:type="dxa"/>
        <w:jc w:val="left"/>
        <w:tblInd w:w="0" w:type="dxa"/>
        <w:tblLayout w:type="fixed"/>
        <w:tblCellMar>
          <w:top w:w="28" w:type="dxa"/>
          <w:left w:w="28" w:type="dxa"/>
          <w:bottom w:w="28" w:type="dxa"/>
          <w:right w:w="28" w:type="dxa"/>
        </w:tblCellMar>
      </w:tblPr>
      <w:tblGrid>
        <w:gridCol w:w="1766"/>
        <w:gridCol w:w="1552"/>
        <w:gridCol w:w="1557"/>
        <w:gridCol w:w="264"/>
        <w:gridCol w:w="904"/>
        <w:gridCol w:w="136"/>
        <w:gridCol w:w="253"/>
        <w:gridCol w:w="867"/>
        <w:gridCol w:w="185"/>
      </w:tblGrid>
      <w:tr>
        <w:tc>
          <w:tcPr>
            <w:tcW w:w="1766"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w:t>
              <w:br/>
              <w:t>2026</w:t>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c>
          <w:tcPr>
            <w:tcW w:w="4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 listed in Shanghai Stock Exchange</w:t>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Cost</w:t>
            </w:r>
          </w:p>
        </w:tc>
        <w:tc>
          <w:tcPr>
            <w:tcW w:w="26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17,820 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17,076 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Market value</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66,910 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35,524 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the three and nine months ended September 30, 2026 and 2025, the net gains recognized on equity securities were as follows:</w:t>
      </w:r>
    </w:p>
    <w:tbl>
      <w:tblPr>
        <w:tblW w:w="10205" w:type="dxa"/>
        <w:jc w:val="center"/>
        <w:tblInd w:w="0" w:type="dxa"/>
        <w:tblLayout w:type="fixed"/>
        <w:tblCellMar>
          <w:top w:w="28" w:type="dxa"/>
          <w:left w:w="28" w:type="dxa"/>
          <w:bottom w:w="28" w:type="dxa"/>
          <w:right w:w="28" w:type="dxa"/>
        </w:tblCellMar>
      </w:tblPr>
      <w:tblGrid>
        <w:gridCol w:w="1716"/>
        <w:gridCol w:w="1509"/>
        <w:gridCol w:w="1513"/>
        <w:gridCol w:w="271"/>
        <w:gridCol w:w="1001"/>
        <w:gridCol w:w="139"/>
        <w:gridCol w:w="271"/>
        <w:gridCol w:w="927"/>
        <w:gridCol w:w="139"/>
        <w:gridCol w:w="269"/>
        <w:gridCol w:w="920"/>
        <w:gridCol w:w="139"/>
        <w:gridCol w:w="269"/>
        <w:gridCol w:w="920"/>
        <w:gridCol w:w="202"/>
      </w:tblGrid>
      <w:tr>
        <w:tc>
          <w:tcPr>
            <w:tcW w:w="1716"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c>
          <w:tcPr>
            <w:tcW w:w="47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8"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2719"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c>
          <w:tcPr>
            <w:tcW w:w="47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33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32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3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47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gain recognized on short-term investments held at September 30,</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(39,133)</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18,656 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29,053 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20,304 </w:t>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Realized gain on short-term investments </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r>
      <w:tr>
        <w:tc>
          <w:tcPr>
            <w:tcW w:w="47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(loss) gain recognized on short-term investments</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(39,105)</w:t>
            </w:r>
          </w:p>
        </w:tc>
        <w:tc>
          <w:tcPr>
            <w:tcW w:w="1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18,656 </w:t>
            </w:r>
          </w:p>
        </w:tc>
        <w:tc>
          <w:tcPr>
            <w:tcW w:w="1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29,081 </w:t>
            </w:r>
          </w:p>
        </w:tc>
        <w:tc>
          <w:tcPr>
            <w:tcW w:w="1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20,358 </w:t>
            </w:r>
          </w:p>
        </w:tc>
        <w:tc>
          <w:tcPr>
            <w:tcW w:w="2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color w:val="000000"/>
        </w:rPr>
      </w:pPr>
      <w:r>
        <w:rPr>
          <w:color w:val="000000"/>
        </w:rPr>
        <w:t>    </w:t>
      </w:r>
    </w:p>
    <w:p>
      <w:pPr>
        <w:pStyle w:val="TextBody"/>
        <w:bidi w:val="0"/>
        <w:spacing w:before="0" w:after="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12 – RELATED PARTY BALANCES AND TRANSACTIONS</w:t>
      </w:r>
    </w:p>
    <w:tbl>
      <w:tblPr>
        <w:tblW w:w="5024" w:type="dxa"/>
        <w:jc w:val="left"/>
        <w:tblInd w:w="0" w:type="dxa"/>
        <w:tblLayout w:type="fixed"/>
        <w:tblCellMar>
          <w:top w:w="28" w:type="dxa"/>
          <w:left w:w="28" w:type="dxa"/>
          <w:bottom w:w="28" w:type="dxa"/>
          <w:right w:w="28" w:type="dxa"/>
        </w:tblCellMar>
      </w:tblPr>
      <w:tblGrid>
        <w:gridCol w:w="874"/>
        <w:gridCol w:w="768"/>
        <w:gridCol w:w="773"/>
        <w:gridCol w:w="350"/>
        <w:gridCol w:w="773"/>
        <w:gridCol w:w="181"/>
        <w:gridCol w:w="280"/>
        <w:gridCol w:w="819"/>
        <w:gridCol w:w="206"/>
      </w:tblGrid>
      <w:tr>
        <w:tc>
          <w:tcPr>
            <w:tcW w:w="874"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c>
          <w:tcPr>
            <w:tcW w:w="24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Advances to related parties</w:t>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w:t>
              <w:br/>
              <w:t>2026</w:t>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c>
          <w:tcPr>
            <w:tcW w:w="241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Ninebell</w:t>
            </w:r>
          </w:p>
        </w:tc>
        <w:tc>
          <w:tcPr>
            <w:tcW w:w="350"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81"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206"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Shengyi</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2,337 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1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50"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8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20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4213" w:type="dxa"/>
        <w:jc w:val="left"/>
        <w:tblInd w:w="0" w:type="dxa"/>
        <w:tblLayout w:type="fixed"/>
        <w:tblCellMar>
          <w:top w:w="28" w:type="dxa"/>
          <w:left w:w="28" w:type="dxa"/>
          <w:bottom w:w="28" w:type="dxa"/>
          <w:right w:w="28" w:type="dxa"/>
        </w:tblCellMar>
      </w:tblPr>
      <w:tblGrid>
        <w:gridCol w:w="581"/>
        <w:gridCol w:w="511"/>
        <w:gridCol w:w="512"/>
        <w:gridCol w:w="264"/>
        <w:gridCol w:w="904"/>
        <w:gridCol w:w="136"/>
        <w:gridCol w:w="253"/>
        <w:gridCol w:w="867"/>
        <w:gridCol w:w="185"/>
      </w:tblGrid>
      <w:tr>
        <w:tc>
          <w:tcPr>
            <w:tcW w:w="5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c>
          <w:tcPr>
            <w:tcW w:w="16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Accounts payable</w:t>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w:t>
              <w:br/>
              <w:t>2026</w:t>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c>
          <w:tcPr>
            <w:tcW w:w="160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Ninebell</w:t>
            </w:r>
          </w:p>
        </w:tc>
        <w:tc>
          <w:tcPr>
            <w:tcW w:w="264"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20,449 </w:t>
            </w:r>
          </w:p>
        </w:tc>
        <w:tc>
          <w:tcPr>
            <w:tcW w:w="136"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20,353 </w:t>
            </w:r>
          </w:p>
        </w:tc>
        <w:tc>
          <w:tcPr>
            <w:tcW w:w="185"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Shengyi</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13,325 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11,707 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0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64"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33,774 </w:t>
            </w:r>
          </w:p>
        </w:tc>
        <w:tc>
          <w:tcPr>
            <w:tcW w:w="13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32,060 </w:t>
            </w:r>
          </w:p>
        </w:tc>
        <w:tc>
          <w:tcPr>
            <w:tcW w:w="185"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pPr>
      <w:r/>
    </w:p>
    <w:tbl>
      <w:tblPr>
        <w:tblW w:w="8421" w:type="dxa"/>
        <w:jc w:val="left"/>
        <w:tblInd w:w="0" w:type="dxa"/>
        <w:tblLayout w:type="fixed"/>
        <w:tblCellMar>
          <w:top w:w="28" w:type="dxa"/>
          <w:left w:w="28" w:type="dxa"/>
          <w:bottom w:w="28" w:type="dxa"/>
          <w:right w:w="28" w:type="dxa"/>
        </w:tblCellMar>
      </w:tblPr>
      <w:tblGrid>
        <w:gridCol w:w="738"/>
        <w:gridCol w:w="650"/>
        <w:gridCol w:w="652"/>
        <w:gridCol w:w="316"/>
        <w:gridCol w:w="1080"/>
        <w:gridCol w:w="163"/>
        <w:gridCol w:w="316"/>
        <w:gridCol w:w="1080"/>
        <w:gridCol w:w="163"/>
        <w:gridCol w:w="304"/>
        <w:gridCol w:w="1039"/>
        <w:gridCol w:w="157"/>
        <w:gridCol w:w="304"/>
        <w:gridCol w:w="1039"/>
        <w:gridCol w:w="157"/>
        <w:gridCol w:w="109"/>
        <w:gridCol w:w="154"/>
      </w:tblGrid>
      <w:tr>
        <w:tc>
          <w:tcPr>
            <w:tcW w:w="73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8"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000"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c>
          <w:tcPr>
            <w:tcW w:w="20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Purchases of materials</w:t>
            </w:r>
          </w:p>
        </w:tc>
        <w:tc>
          <w:tcPr>
            <w:tcW w:w="155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55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50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50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Ninebell</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23,696 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17,839 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61,468 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44,852 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0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Shengyi</w:t>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7,157 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5,541 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14,496 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11,527 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30,853 </w:t>
            </w:r>
          </w:p>
        </w:tc>
        <w:tc>
          <w:tcPr>
            <w:tcW w:w="1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23,380 </w:t>
            </w:r>
          </w:p>
        </w:tc>
        <w:tc>
          <w:tcPr>
            <w:tcW w:w="1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75,964 </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56,379 </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pPr>
      <w:hyperlink w:anchor="ia22e01e7fdae4b968e9b46967ef89c75_7">
        <w:r>
          <w:rPr>
            <w:rStyle w:val="InternetLink"/>
            <w:rFonts w:ascii="Times New Roman;serif" w:hAnsi="Times New Roman;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ACM RESEARCH,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the Condensed Consolidated Financial Statements</w:t>
      </w:r>
    </w:p>
    <w:p>
      <w:pPr>
        <w:pStyle w:val="TextBody"/>
        <w:bidi w:val="0"/>
        <w:spacing w:lineRule="auto" w:line="288" w:before="0" w:after="0"/>
        <w:jc w:val="center"/>
      </w:pPr>
      <w:r>
        <w:rPr>
          <w:rFonts w:ascii="Times New Roman;serif" w:hAnsi="Times New Roman;serif"/>
          <w:b w:val="false"/>
          <w:i/>
          <w:color w:val="000000"/>
          <w:sz w:val="20"/>
          <w:shd w:fill="FFFFFF" w:val="clear"/>
        </w:rPr>
        <w:t xml:space="preserve">(In </w:t>
      </w:r>
      <w:r>
        <w:rPr>
          <w:rFonts w:ascii="Times New Roman;serif" w:hAnsi="Times New Roman;serif"/>
          <w:b w:val="false"/>
          <w:i/>
          <w:color w:val="000000"/>
          <w:sz w:val="20"/>
        </w:rPr>
        <w:t>thousands</w:t>
      </w:r>
      <w:r>
        <w:rPr>
          <w:rFonts w:ascii="Times New Roman;serif" w:hAnsi="Times New Roman;serif"/>
          <w:b w:val="false"/>
          <w:i/>
          <w:color w:val="000000"/>
          <w:sz w:val="20"/>
          <w:shd w:fill="FFFFFF" w:val="clear"/>
        </w:rPr>
        <w:t>, except share, percentage and per share data)</w:t>
      </w:r>
    </w:p>
    <w:tbl>
      <w:tblPr>
        <w:tblW w:w="8511" w:type="dxa"/>
        <w:jc w:val="left"/>
        <w:tblInd w:w="0" w:type="dxa"/>
        <w:tblLayout w:type="fixed"/>
        <w:tblCellMar>
          <w:top w:w="28" w:type="dxa"/>
          <w:left w:w="28" w:type="dxa"/>
          <w:bottom w:w="28" w:type="dxa"/>
          <w:right w:w="28" w:type="dxa"/>
        </w:tblCellMar>
      </w:tblPr>
      <w:tblGrid>
        <w:gridCol w:w="734"/>
        <w:gridCol w:w="644"/>
        <w:gridCol w:w="647"/>
        <w:gridCol w:w="346"/>
        <w:gridCol w:w="765"/>
        <w:gridCol w:w="179"/>
        <w:gridCol w:w="179"/>
        <w:gridCol w:w="179"/>
        <w:gridCol w:w="179"/>
        <w:gridCol w:w="346"/>
        <w:gridCol w:w="765"/>
        <w:gridCol w:w="179"/>
        <w:gridCol w:w="309"/>
        <w:gridCol w:w="682"/>
        <w:gridCol w:w="159"/>
        <w:gridCol w:w="159"/>
        <w:gridCol w:w="159"/>
        <w:gridCol w:w="159"/>
        <w:gridCol w:w="309"/>
        <w:gridCol w:w="902"/>
        <w:gridCol w:w="159"/>
        <w:gridCol w:w="109"/>
        <w:gridCol w:w="109"/>
        <w:gridCol w:w="154"/>
      </w:tblGrid>
      <w:tr>
        <w:tc>
          <w:tcPr>
            <w:tcW w:w="73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2997"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15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Service fee charged by</w:t>
            </w:r>
          </w:p>
        </w:tc>
        <w:tc>
          <w:tcPr>
            <w:tcW w:w="12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02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Shengyi</w:t>
            </w:r>
          </w:p>
        </w:tc>
        <w:tc>
          <w:tcPr>
            <w:tcW w:w="34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626 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2,190 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02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color w:val="000000"/>
                <w:sz w:val="20"/>
              </w:rPr>
              <w:t xml:space="preserve">Rental fee charged to </w:t>
            </w:r>
          </w:p>
        </w:tc>
        <w:tc>
          <w:tcPr>
            <w:tcW w:w="129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0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Ninebell</w:t>
            </w:r>
          </w:p>
        </w:tc>
        <w:tc>
          <w:tcPr>
            <w:tcW w:w="34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7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5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NOTE 13 – COMMON STOCK</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ACM is authorized to issue 150,000,000 shares of Class A common stock and 5,307,816 shares of Class B common stock, each with a par value of $0.0001. Each share of Class A common stock is entitled to one vote, and each share of Class B common stock is entitled to twenty votes and is convertible at any time into one share of Class A common stock. Shares of Class A common stock and Class B common stock are treated equally, identically and ratably with respect to any dividends declared by the Board of Directors of ACM unless such Board of Directors declares different dividends to the Class A common stock and Class B common stock, which is subject to approval from a majority of common stockholders.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At September 30, 2026 and December 31, 2025, the number of shares of Class A common stock issued and outstanding was 64,876,605 and 60,590,017, respectively.</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At September 30, 2026 and December 31, 2025, the number of shares of Class B common stock issued and outstanding was 4,991,808 and 5,021,811,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14 – STOCK-BASED COMPENSATION</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2026, the Company issued option grants for 80,000 shares and restricted stock unit ("RSU") grants of 29,620 shares to employees and board members under its 2016 Omnibus Incentive Plan. The share-based awards are accounted for as equity awards, are subject only to service vesting conditions, and vest over a period of 4 years for employees. The Company did not grant any non-employee stock options during the three and nine months ended September 30, 2026 under the 2016 Omnibus Incentive Plan.</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fair value of options granted to employees is estimated on the grant date using the Black-Scholes valuation model with the following assumptions:</w:t>
      </w:r>
    </w:p>
    <w:tbl>
      <w:tblPr>
        <w:tblW w:w="10205" w:type="dxa"/>
        <w:jc w:val="left"/>
        <w:tblInd w:w="0" w:type="dxa"/>
        <w:tblLayout w:type="fixed"/>
        <w:tblCellMar>
          <w:top w:w="28" w:type="dxa"/>
          <w:left w:w="28" w:type="dxa"/>
          <w:bottom w:w="28" w:type="dxa"/>
          <w:right w:w="28" w:type="dxa"/>
        </w:tblCellMar>
      </w:tblPr>
      <w:tblGrid>
        <w:gridCol w:w="1190"/>
        <w:gridCol w:w="1046"/>
        <w:gridCol w:w="1049"/>
        <w:gridCol w:w="1144"/>
        <w:gridCol w:w="1144"/>
        <w:gridCol w:w="1147"/>
        <w:gridCol w:w="1016"/>
        <w:gridCol w:w="1016"/>
        <w:gridCol w:w="1453"/>
      </w:tblGrid>
      <w:tr>
        <w:tc>
          <w:tcPr>
            <w:tcW w:w="1190"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r>
      <w:t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 2026</w:t>
            </w:r>
          </w:p>
        </w:tc>
        <w:tc>
          <w:tcPr>
            <w:tcW w:w="34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Nine Months Ended September 30, 2025</w:t>
            </w:r>
          </w:p>
        </w:tc>
      </w:tr>
      <w:tr>
        <w:tc>
          <w:tcPr>
            <w:tcW w:w="32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Fair value of share of common stock (1)</w:t>
            </w:r>
          </w:p>
        </w:tc>
        <w:tc>
          <w:tcPr>
            <w:tcW w:w="343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$48.31-$81.26</w:t>
            </w:r>
          </w:p>
        </w:tc>
        <w:tc>
          <w:tcPr>
            <w:tcW w:w="348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$24.33-$29.18</w:t>
            </w:r>
          </w:p>
        </w:tc>
      </w:tr>
      <w:tr>
        <w:tc>
          <w:tcPr>
            <w:tcW w:w="32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Expected term in years (2)</w:t>
            </w:r>
          </w:p>
        </w:tc>
        <w:tc>
          <w:tcPr>
            <w:tcW w:w="343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5.50-6.25</w:t>
            </w:r>
          </w:p>
        </w:tc>
        <w:tc>
          <w:tcPr>
            <w:tcW w:w="34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5.50-6.25</w:t>
            </w:r>
          </w:p>
        </w:tc>
      </w:tr>
      <w:tr>
        <w:tc>
          <w:tcPr>
            <w:tcW w:w="32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Volatility (3)</w:t>
            </w:r>
          </w:p>
        </w:tc>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84.24%-86.14%</w:t>
            </w:r>
          </w:p>
        </w:tc>
        <w:tc>
          <w:tcPr>
            <w:tcW w:w="34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82.78%-83.28%</w:t>
            </w:r>
          </w:p>
        </w:tc>
      </w:tr>
      <w:tr>
        <w:tc>
          <w:tcPr>
            <w:tcW w:w="32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Risk-free interest rate (4)</w:t>
            </w:r>
          </w:p>
        </w:tc>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3.92%-4.52%</w:t>
            </w:r>
          </w:p>
        </w:tc>
        <w:tc>
          <w:tcPr>
            <w:tcW w:w="34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4.03%-4.25%</w:t>
            </w:r>
          </w:p>
        </w:tc>
      </w:tr>
      <w:tr>
        <w:tc>
          <w:tcPr>
            <w:tcW w:w="32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Expected dividend (5)</w:t>
            </w:r>
          </w:p>
        </w:tc>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Times New Roman;serif" w:hAnsi="Times New Roman;serif"/>
                <w:b w:val="false"/>
                <w:color w:val="000000"/>
                <w:sz w:val="20"/>
              </w:rPr>
              <w:t>%</w:t>
            </w:r>
          </w:p>
        </w:tc>
        <w:tc>
          <w:tcPr>
            <w:tcW w:w="3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Times New Roman;serif" w:hAnsi="Times New Roman;serif"/>
                <w:b w:val="false"/>
                <w:color w:val="000000"/>
                <w:sz w:val="20"/>
              </w:rPr>
              <w:t>%</w:t>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(1)Fair value of Class A common stock value was the closing market price of the Class A common stock on the grant date.</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(2)Expected term of share options is based on the average of the vesting period and the contractual term for each grant.</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(3)Volatility is calculated based on the historical volatility of ACM in the period equal to the expected term of each grant.</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(4)Risk-free interest rate is based on the yields of U.S. Treasury securities with maturities similar to the expected term of the share options in effect at the time of grant.</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pPr>
      <w:hyperlink w:anchor="ia22e01e7fdae4b968e9b46967ef89c75_7">
        <w:r>
          <w:rPr>
            <w:rStyle w:val="InternetLink"/>
            <w:rFonts w:ascii="Times New Roman;serif" w:hAnsi="Times New Roman;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ACM RESEARCH,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the Condensed Consolidated Financial Statements</w:t>
      </w:r>
    </w:p>
    <w:p>
      <w:pPr>
        <w:pStyle w:val="TextBody"/>
        <w:bidi w:val="0"/>
        <w:spacing w:lineRule="auto" w:line="288" w:before="0" w:after="0"/>
        <w:jc w:val="center"/>
      </w:pPr>
      <w:r>
        <w:rPr>
          <w:rFonts w:ascii="Times New Roman;serif" w:hAnsi="Times New Roman;serif"/>
          <w:b w:val="false"/>
          <w:i/>
          <w:color w:val="000000"/>
          <w:sz w:val="20"/>
          <w:shd w:fill="FFFFFF" w:val="clear"/>
        </w:rPr>
        <w:t xml:space="preserve">(In </w:t>
      </w:r>
      <w:r>
        <w:rPr>
          <w:rFonts w:ascii="Times New Roman;serif" w:hAnsi="Times New Roman;serif"/>
          <w:b w:val="false"/>
          <w:i/>
          <w:color w:val="000000"/>
          <w:sz w:val="20"/>
        </w:rPr>
        <w:t>thousands</w:t>
      </w:r>
      <w:r>
        <w:rPr>
          <w:rFonts w:ascii="Times New Roman;serif" w:hAnsi="Times New Roman;serif"/>
          <w:b w:val="false"/>
          <w:i/>
          <w:color w:val="000000"/>
          <w:sz w:val="20"/>
          <w:shd w:fill="FFFFFF" w:val="clear"/>
        </w:rPr>
        <w:t>, except share, percentage and per share data)</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 Expected dividend is assumed to be nil as ACM has no history or expectation of paying a dividend on its Class A common stock.</w:t>
      </w:r>
    </w:p>
    <w:p>
      <w:pPr>
        <w:pStyle w:val="TextBody"/>
        <w:bidi w:val="0"/>
        <w:spacing w:before="0" w:after="0"/>
        <w:ind w:left="0" w:right="0" w:hanging="360"/>
        <w:jc w:val="both"/>
      </w:p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ACM Shanghai 2026 Option Grants</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August 2026, ACM Shanghai adopted a 2026 Stock Option Incentive Plan (the "2026 Subsidiary Stock Option Plan") that provides for, among other incentives, the granting to officers, directors, employees of options to purchase shares of ACM Shanghai’s common stock. The vesting conditions consist of service periods conditions and performance conditions related to certain sales and research and development progress targets determined by the Board of Directors of ACM Shanghai.</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2026, ACM Shanghai issued 2,010,620 option grants under the 2026 Subsidiary Stock Option Plan with a weighted average grant date fair value of $31.12.</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fair value of options granted to employees is estimated on the grant date using the Black-Scholes valuation with following assumptions:</w:t>
      </w:r>
    </w:p>
    <w:tbl>
      <w:tblPr>
        <w:tblW w:w="6103" w:type="dxa"/>
        <w:jc w:val="left"/>
        <w:tblInd w:w="0" w:type="dxa"/>
        <w:tblLayout w:type="fixed"/>
        <w:tblCellMar>
          <w:top w:w="28" w:type="dxa"/>
          <w:left w:w="28" w:type="dxa"/>
          <w:bottom w:w="28" w:type="dxa"/>
          <w:right w:w="28" w:type="dxa"/>
        </w:tblCellMar>
      </w:tblPr>
      <w:tblGrid>
        <w:gridCol w:w="940"/>
        <w:gridCol w:w="826"/>
        <w:gridCol w:w="828"/>
        <w:gridCol w:w="1025"/>
        <w:gridCol w:w="1025"/>
        <w:gridCol w:w="1459"/>
      </w:tblGrid>
      <w:tr>
        <w:tc>
          <w:tcPr>
            <w:tcW w:w="94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r>
      <w:t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 2026</w:t>
            </w:r>
          </w:p>
        </w:tc>
      </w:tr>
      <w:tr>
        <w:tc>
          <w:tcPr>
            <w:tcW w:w="2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common stock(1)</w:t>
            </w:r>
          </w:p>
        </w:tc>
        <w:tc>
          <w:tcPr>
            <w:tcW w:w="35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$41.45</w:t>
            </w:r>
          </w:p>
        </w:tc>
      </w:tr>
      <w:tr>
        <w:tc>
          <w:tcPr>
            <w:tcW w:w="25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Expected term in years (2)</w:t>
            </w:r>
          </w:p>
        </w:tc>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1.50-4.50</w:t>
            </w:r>
          </w:p>
        </w:tc>
      </w:tr>
      <w:tr>
        <w:tc>
          <w:tcPr>
            <w:tcW w:w="25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Volatility (3)</w:t>
            </w:r>
          </w:p>
        </w:tc>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53.97%-70.69%</w:t>
            </w:r>
          </w:p>
        </w:tc>
      </w:tr>
      <w:tr>
        <w:tc>
          <w:tcPr>
            <w:tcW w:w="25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Risk-free interest rate (4)</w:t>
            </w:r>
          </w:p>
        </w:tc>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1.16%-1.33%</w:t>
            </w:r>
          </w:p>
        </w:tc>
      </w:tr>
      <w:tr>
        <w:tc>
          <w:tcPr>
            <w:tcW w:w="25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Expected dividend (5)</w:t>
            </w:r>
          </w:p>
        </w:tc>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Arial;sans-serif" w:hAnsi="Arial;sans-serif"/>
                <w:b w:val="false"/>
                <w:color w:val="000000"/>
                <w:sz w:val="20"/>
              </w:rPr>
              <w:t>%</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(1)Fair value of common stock was the closing market price of ACM Shanghai's common stock on the grant date.</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(2)Expected term of share options is based on the average of the vesting period and the contractual term for each grant.</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(3)Volatility is calculated based on the historical volatility of ACM Shanghai in the period equal to the expected term of each grant.</w:t>
      </w:r>
    </w:p>
    <w:p>
      <w:pPr>
        <w:pStyle w:val="TextBody"/>
        <w:bidi w:val="0"/>
        <w:spacing w:lineRule="auto" w:line="288" w:before="0" w:after="0"/>
        <w:ind w:left="0" w:right="0" w:hanging="360"/>
        <w:jc w:val="both"/>
      </w:pPr>
      <w:r>
        <w:rPr>
          <w:rFonts w:ascii="Times New Roman;serif" w:hAnsi="Times New Roman;serif"/>
          <w:b w:val="false"/>
          <w:color w:val="000000"/>
          <w:sz w:val="24"/>
        </w:rPr>
        <w:t>(4)</w:t>
      </w:r>
      <w:r>
        <w:rPr>
          <w:rFonts w:ascii="Times New Roman;serif" w:hAnsi="Times New Roman;serif"/>
          <w:b w:val="false"/>
          <w:color w:val="000000"/>
          <w:sz w:val="20"/>
        </w:rPr>
        <w:t>Risk-free interest rate is based on the yields of RMB deposit in mainland China with maturities similar to the expected term of the share options in effect at the time of grant.</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 Expected dividend is assumed to be 0% as the impact is adjusted on the value of share of common stock.</w:t>
      </w:r>
    </w:p>
    <w:p>
      <w:pPr>
        <w:pStyle w:val="TextBody"/>
        <w:bidi w:val="0"/>
        <w:spacing w:before="0" w:after="0"/>
        <w:jc w:val="both"/>
      </w:pPr>
      <w:r/>
    </w:p>
    <w:p>
      <w:pPr>
        <w:pStyle w:val="TextBody"/>
        <w:bidi w:val="0"/>
        <w:spacing w:lineRule="auto" w:line="288" w:before="0" w:after="0"/>
        <w:jc w:val="both"/>
        <w:rPr>
          <w:rFonts w:ascii="Times New Roman;serif" w:hAnsi="Times New Roman;serif"/>
          <w:b/>
          <w:i/>
          <w:color w:val="000000"/>
          <w:sz w:val="20"/>
          <w:u w:val="single"/>
        </w:rPr>
      </w:pPr>
      <w:r>
        <w:rPr>
          <w:rFonts w:ascii="Times New Roman;serif" w:hAnsi="Times New Roman;serif"/>
          <w:b/>
          <w:i/>
          <w:color w:val="000000"/>
          <w:sz w:val="20"/>
          <w:u w:val="single"/>
        </w:rPr>
        <w:t>Total Stock-Based Compensation Expense</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summarizes the components of stock-based compensation expense included in the condensed consolidated statements of comprehensive income:</w:t>
      </w:r>
    </w:p>
    <w:tbl>
      <w:tblPr>
        <w:tblW w:w="9688" w:type="dxa"/>
        <w:jc w:val="left"/>
        <w:tblInd w:w="0" w:type="dxa"/>
        <w:tblLayout w:type="fixed"/>
        <w:tblCellMar>
          <w:top w:w="28" w:type="dxa"/>
          <w:left w:w="28" w:type="dxa"/>
          <w:bottom w:w="28" w:type="dxa"/>
          <w:right w:w="28" w:type="dxa"/>
        </w:tblCellMar>
      </w:tblPr>
      <w:tblGrid>
        <w:gridCol w:w="1277"/>
        <w:gridCol w:w="1122"/>
        <w:gridCol w:w="1125"/>
        <w:gridCol w:w="333"/>
        <w:gridCol w:w="1138"/>
        <w:gridCol w:w="172"/>
        <w:gridCol w:w="333"/>
        <w:gridCol w:w="972"/>
        <w:gridCol w:w="172"/>
        <w:gridCol w:w="302"/>
        <w:gridCol w:w="1032"/>
        <w:gridCol w:w="156"/>
        <w:gridCol w:w="302"/>
        <w:gridCol w:w="1032"/>
        <w:gridCol w:w="220"/>
      </w:tblGrid>
      <w:tr>
        <w:tc>
          <w:tcPr>
            <w:tcW w:w="1277"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044"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4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49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5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2025</w:t>
            </w:r>
          </w:p>
        </w:tc>
      </w:tr>
      <w:t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Stock-based compensation expense:</w:t>
            </w:r>
          </w:p>
        </w:tc>
        <w:tc>
          <w:tcPr>
            <w:tcW w:w="16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352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Cost of revenue </w:t>
            </w:r>
          </w:p>
        </w:tc>
        <w:tc>
          <w:tcPr>
            <w:tcW w:w="33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8"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2"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1,138 </w:t>
            </w:r>
          </w:p>
        </w:tc>
        <w:tc>
          <w:tcPr>
            <w:tcW w:w="22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Sales and marketing expense </w:t>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5,854 </w:t>
            </w:r>
          </w:p>
        </w:tc>
        <w:tc>
          <w:tcPr>
            <w:tcW w:w="22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352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 </w:t>
            </w:r>
          </w:p>
        </w:tc>
        <w:tc>
          <w:tcPr>
            <w:tcW w:w="147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4,195 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1,915 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7,270 </w:t>
            </w:r>
          </w:p>
        </w:tc>
        <w:tc>
          <w:tcPr>
            <w:tcW w:w="22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 </w:t>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3,793 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12,887 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24"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Total stock-based compensation expense</w:t>
            </w:r>
          </w:p>
        </w:tc>
        <w:tc>
          <w:tcPr>
            <w:tcW w:w="333"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8"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10,702 </w:t>
            </w:r>
          </w:p>
        </w:tc>
        <w:tc>
          <w:tcPr>
            <w:tcW w:w="172"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2"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7,562 </w:t>
            </w:r>
          </w:p>
        </w:tc>
        <w:tc>
          <w:tcPr>
            <w:tcW w:w="172"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22,906 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27,149 </w:t>
            </w:r>
          </w:p>
        </w:tc>
        <w:tc>
          <w:tcPr>
            <w:tcW w:w="2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pPr>
      <w:hyperlink w:anchor="ia22e01e7fdae4b968e9b46967ef89c75_7">
        <w:r>
          <w:rPr>
            <w:rStyle w:val="InternetLink"/>
            <w:rFonts w:ascii="Times New Roman;serif" w:hAnsi="Times New Roman;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ACM RESEARCH,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the Condensed Consolidated Financial Statements</w:t>
      </w:r>
    </w:p>
    <w:p>
      <w:pPr>
        <w:pStyle w:val="TextBody"/>
        <w:bidi w:val="0"/>
        <w:spacing w:lineRule="auto" w:line="288" w:before="0" w:after="0"/>
        <w:jc w:val="center"/>
      </w:pPr>
      <w:r>
        <w:rPr>
          <w:rFonts w:ascii="Times New Roman;serif" w:hAnsi="Times New Roman;serif"/>
          <w:b w:val="false"/>
          <w:i/>
          <w:color w:val="000000"/>
          <w:sz w:val="20"/>
          <w:shd w:fill="FFFFFF" w:val="clear"/>
        </w:rPr>
        <w:t xml:space="preserve">(In </w:t>
      </w:r>
      <w:r>
        <w:rPr>
          <w:rFonts w:ascii="Times New Roman;serif" w:hAnsi="Times New Roman;serif"/>
          <w:b w:val="false"/>
          <w:i/>
          <w:color w:val="000000"/>
          <w:sz w:val="20"/>
        </w:rPr>
        <w:t>thousands</w:t>
      </w:r>
      <w:r>
        <w:rPr>
          <w:rFonts w:ascii="Times New Roman;serif" w:hAnsi="Times New Roman;serif"/>
          <w:b w:val="false"/>
          <w:i/>
          <w:color w:val="000000"/>
          <w:sz w:val="20"/>
          <w:shd w:fill="FFFFFF" w:val="clear"/>
        </w:rPr>
        <w:t>, except share, percentage and per share data)</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NOTE 15 – INCOME TAXES </w:t>
      </w:r>
    </w:p>
    <w:p>
      <w:pPr>
        <w:pStyle w:val="TextBody"/>
        <w:bidi w:val="0"/>
        <w:spacing w:before="0" w:after="0"/>
        <w:jc w:val="left"/>
      </w:pPr>
      <w:r/>
    </w:p>
    <w:tbl>
      <w:tblPr>
        <w:tblW w:w="8423" w:type="dxa"/>
        <w:jc w:val="left"/>
        <w:tblInd w:w="0" w:type="dxa"/>
        <w:tblLayout w:type="fixed"/>
        <w:tblCellMar>
          <w:top w:w="28" w:type="dxa"/>
          <w:left w:w="28" w:type="dxa"/>
          <w:bottom w:w="28" w:type="dxa"/>
          <w:right w:w="28" w:type="dxa"/>
        </w:tblCellMar>
      </w:tblPr>
      <w:tblGrid>
        <w:gridCol w:w="821"/>
        <w:gridCol w:w="719"/>
        <w:gridCol w:w="725"/>
        <w:gridCol w:w="280"/>
        <w:gridCol w:w="918"/>
        <w:gridCol w:w="144"/>
        <w:gridCol w:w="280"/>
        <w:gridCol w:w="918"/>
        <w:gridCol w:w="144"/>
        <w:gridCol w:w="144"/>
        <w:gridCol w:w="144"/>
        <w:gridCol w:w="144"/>
        <w:gridCol w:w="295"/>
        <w:gridCol w:w="1116"/>
        <w:gridCol w:w="152"/>
        <w:gridCol w:w="295"/>
        <w:gridCol w:w="969"/>
        <w:gridCol w:w="215"/>
      </w:tblGrid>
      <w:tr>
        <w:tc>
          <w:tcPr>
            <w:tcW w:w="821"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c>
          <w:tcPr>
            <w:tcW w:w="2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9"/>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042" w:type="dxa"/>
            <w:gridSpan w:val="6"/>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3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4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22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income tax expense</w:t>
            </w:r>
          </w:p>
        </w:tc>
        <w:tc>
          <w:tcPr>
            <w:tcW w:w="280"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(1,886)</w:t>
            </w:r>
          </w:p>
        </w:tc>
        <w:tc>
          <w:tcPr>
            <w:tcW w:w="14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(2,689)</w:t>
            </w:r>
          </w:p>
        </w:tc>
        <w:tc>
          <w:tcPr>
            <w:tcW w:w="14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(19,129)</w:t>
            </w:r>
          </w:p>
        </w:tc>
        <w:tc>
          <w:tcPr>
            <w:tcW w:w="152"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(6,733)</w:t>
            </w:r>
          </w:p>
        </w:tc>
        <w:tc>
          <w:tcPr>
            <w:tcW w:w="215"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effective tax rate differs from the statutory rates of 21% for U.S. federal income tax purposes and 25% for Chinese income tax purposes primarily due to the effects of the valuation allowance and certain permanent book-tax differences, including stock-based compensation, Subpart F income, net CFC tested income (NCTI) inclusions, and the R&amp;D super deduction. As a result, the Company recorded income tax expense of $19,129 and $6,733 for the nine months ended September 30, 2026 and 2025, respectively. The increase in the Company's effective tax rate for the nine months ended September 30, 2026 compared with the corresponding period in 2025 was primarily attributable to a higher estimated annual effective tax rate resulting from changes in the mix of earnings by jurisdiction and the relative impact of valuation allowances and permanent tax adjustments, partially offset by favorable discrete tax items recognized during 2026. </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changes to Section 174 enacted by the Tax Cuts and Jobs Act of 2017, which became effective on January 1, 2022, the Company is required to capitalize, and subsequently amortize R&amp;D expenses over fifteen years for research activities conducted outside of the U.S. The capitalization of foreign R&amp;D expenses results in an increase in the Company’s global intangible low-taxed income (“GILTI”) inclusion. The enactment of the One Big Beautiful Bill Act (“OBBBA”), signed into law in July 2025, repealed the mandatory capitalization requirement for domestic R&amp;D expenses for tax years beginning after December 31, 2025. However, the capitalization requirement for research activities conducted outside of the U.S remains unchanged. </w:t>
      </w:r>
    </w:p>
    <w:p>
      <w:pPr>
        <w:pStyle w:val="TextBody"/>
        <w:bidi w:val="0"/>
        <w:spacing w:before="0" w:after="0"/>
        <w:jc w:val="both"/>
      </w:pPr>
      <w:r/>
    </w:p>
    <w:p>
      <w:pPr>
        <w:pStyle w:val="TextBody"/>
        <w:bidi w:val="0"/>
        <w:spacing w:lineRule="auto" w:line="288" w:before="0" w:after="0"/>
        <w:jc w:val="both"/>
      </w:pPr>
      <w:r>
        <w:rPr>
          <w:rFonts w:ascii="Times New Roman;serif" w:hAnsi="Times New Roman;serif"/>
          <w:b w:val="false"/>
          <w:color w:val="000000"/>
          <w:sz w:val="20"/>
        </w:rPr>
        <w:t>The Company had total unrecognized tax benefits of $20,905 as of September 30, 2026 and December 31, 2025. If recognized, the net impact on the Company’s effective tax rate would be approximately $20,770. The Company does not expect any significant changes in its unrecognized tax benefits within the next 12 months. The Company recognizes interest and penalties related to uncertain tax provisions as a component of income tax expense. For the nine months ended September 30, 2026</w:t>
      </w:r>
      <w:r>
        <w:rPr>
          <w:color w:val="000000"/>
        </w:rPr>
        <w:t xml:space="preserve"> </w:t>
      </w:r>
      <w:r>
        <w:rPr>
          <w:rFonts w:ascii="Times New Roman;serif" w:hAnsi="Times New Roman;serif"/>
          <w:b w:val="false"/>
          <w:color w:val="000000"/>
          <w:sz w:val="20"/>
        </w:rPr>
        <w:t>and 2025, the Company recognized $2,466 and 3,379, respectively, of interest and penalties.</w:t>
      </w:r>
    </w:p>
    <w:p>
      <w:pPr>
        <w:pStyle w:val="TextBody"/>
        <w:bidi w:val="0"/>
        <w:spacing w:before="0" w:after="0"/>
        <w:jc w:val="left"/>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Corporate Income Tax Law of mainland China, all of the Company’s mainland China subsidiaries are generally subject to mainland China Corporate Income Taxes at a statutory rate of 25%, except for ACM Shanghai and ACM Lingang, which qualify for preferential tax treatments. According to Guoshuihan 2009 No. 203, an entity certified as an “advanced and new technology enterprise” is entitled to a preferential income tax rate of 15%. ACM Shanghai has been certified as an “advanced and new technology enterprise” in 2012 and subsequently renewed its certification in 2016, 2018, 2021, and 2024. The current certification remains effective through December 31, 2026. ACM Lingang is eligible for preferential tax incentives that provide for an exemption from income tax during its first two profitable years following the utilization of net operating loss carryforwards, followed by a reduced tax rate equal to 50% of the statutory tax rate for the subsequent three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16 – COMMITMENTS AND CONTINGENCIES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2026, the Company had $9,500 of open capital commitments to construction contracts.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Covenants in ACM Lingang’s Grant Contract for State-owned Construction Land Use Right in Shanghai City (Category of R&amp;D Headquarters and Industrial Projects), as amended, with the China (Shanghai) Pilot Free Trade Zone Lingang Special Area Administration require, among other things, that ACM Lingang pay liquidated damages in the event that, by December 12, 2029, the Company does not (i) generate a minimum specified amount of annual sales of products manufactured on the granted land or (ii) pay to mainland China at least 80% of RMB157.60 million ($22.8 million) in annual total taxes (including value-added taxes, corporate income tax, personal income taxes, urban maintenance and construction taxes, education surcharges, stamp taxes, and vehicle and shipping taxes) as a result of operations in connection with the granted land.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pPr>
      <w:hyperlink w:anchor="ia22e01e7fdae4b968e9b46967ef89c75_7">
        <w:r>
          <w:rPr>
            <w:rStyle w:val="InternetLink"/>
            <w:rFonts w:ascii="Times New Roman;serif" w:hAnsi="Times New Roman;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ACM RESEARCH,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the Condensed Consolidated Financial Statements</w:t>
      </w:r>
    </w:p>
    <w:p>
      <w:pPr>
        <w:pStyle w:val="TextBody"/>
        <w:bidi w:val="0"/>
        <w:spacing w:lineRule="auto" w:line="288" w:before="0" w:after="0"/>
        <w:jc w:val="center"/>
      </w:pPr>
      <w:r>
        <w:rPr>
          <w:rFonts w:ascii="Times New Roman;serif" w:hAnsi="Times New Roman;serif"/>
          <w:b w:val="false"/>
          <w:i/>
          <w:color w:val="000000"/>
          <w:sz w:val="20"/>
          <w:shd w:fill="FFFFFF" w:val="clear"/>
        </w:rPr>
        <w:t xml:space="preserve">(In </w:t>
      </w:r>
      <w:r>
        <w:rPr>
          <w:rFonts w:ascii="Times New Roman;serif" w:hAnsi="Times New Roman;serif"/>
          <w:b w:val="false"/>
          <w:i/>
          <w:color w:val="000000"/>
          <w:sz w:val="20"/>
        </w:rPr>
        <w:t>thousands</w:t>
      </w:r>
      <w:r>
        <w:rPr>
          <w:rFonts w:ascii="Times New Roman;serif" w:hAnsi="Times New Roman;serif"/>
          <w:b w:val="false"/>
          <w:i/>
          <w:color w:val="000000"/>
          <w:sz w:val="20"/>
          <w:shd w:fill="FFFFFF" w:val="clear"/>
        </w:rPr>
        <w:t>, except share, percentage and per share data)</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Legal Matters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the normal course of business, the Company is subject to contingencies, including legal proceedings, investigations, and environmental claims arising out of the normal course of business that relate to a wide range of matters, including among others, liability for breach of contract. The Company records accruals for such contingencies based upon the assessment of the probability of occurrence and, where determinable, an estimate of the liability. Management may consider many factors in making these assessments including past history, scientific evidence and the specifics of each matter. Some of these contingencies involve claims that are subject to substantial uncertainties and damages that cannot reasonably be estimated.</w:t>
      </w:r>
    </w:p>
    <w:p>
      <w:pPr>
        <w:pStyle w:val="TextBody"/>
        <w:bidi w:val="0"/>
        <w:spacing w:before="0" w:after="0"/>
        <w:jc w:val="left"/>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management has evaluated all proceedings and claims that existed as of September 30, 2026. In the opinion of management, no additional provision for liability nor disclosure was required as of September 30, 2026 related to any claim against the Company because: (a) there is not a reasonable possibility that a loss exceeding amounts already recognized (if any) may be incurred with respect to such claim; (b) a reasonably possible loss or range of loss cannot be estimated; or (c) such estimate is immaterial.</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September 30, 2026, the Company had no material outstanding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pPr>
      <w:r>
        <w:rPr>
          <w:rFonts w:ascii="Times New Roman;serif" w:hAnsi="Times New Roman;serif"/>
          <w:b/>
          <w:color w:val="000000"/>
          <w:sz w:val="20"/>
          <w:shd w:fill="FFFFFF" w:val="clear"/>
        </w:rPr>
        <w:t>NOTE 17 – SEGME</w:t>
      </w:r>
      <w:r>
        <w:rPr>
          <w:rFonts w:ascii="Times New Roman;serif" w:hAnsi="Times New Roman;serif"/>
          <w:b/>
          <w:color w:val="000000"/>
          <w:sz w:val="20"/>
        </w:rPr>
        <w:t>NT INFORMATION</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identifies operating segments according to how the business activities are managed and evaluated. The Company’s chief operating decision maker (“CODM”) has been identified as ACM’s Chief Executive Officer. The Company's operating segments include ACM Research and ACM Shanghai. As the Company is engaged in the development, manufacture and sale of capital equipment to global semiconductor manufacturers, and each of the operating segments share similar economic and other qualitative characteristics, the results of the Company’s operating segments are aggregated into one reportable segment.</w:t>
      </w:r>
    </w:p>
    <w:p>
      <w:pPr>
        <w:pStyle w:val="TextBody"/>
        <w:bidi w:val="0"/>
        <w:spacing w:before="0" w:after="0"/>
        <w:jc w:val="left"/>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CODM assesses financial performance for the Company and decides how to allocate resources based on consolidated revenue, gross margin and income from operations. The CODM considers forecasts and actual results on a regular basis when assessing the operating results and making resource decisions. </w:t>
      </w:r>
    </w:p>
    <w:p>
      <w:pPr>
        <w:pStyle w:val="TextBody"/>
        <w:bidi w:val="0"/>
        <w:spacing w:before="0" w:after="0"/>
        <w:jc w:val="left"/>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Significant expenses within income from operations, as well as within net income, include consolidated cost of revenue, sales and marketing, research and development, and general and administrative, and which are each separately presented on the Company’s condensed consolidated statements of comprehensive income. Other segment items within net income include interest income, interest expense, income from equity method investments and other expense, net, which are each separately presented on the Company’s condensed consolidated statements of comprehensive income. The measure of segment assets is reported on the Company’s condensed consolidated balance sheets as total assets.</w:t>
      </w:r>
    </w:p>
    <w:p>
      <w:pPr>
        <w:pStyle w:val="TextBody"/>
        <w:bidi w:val="0"/>
        <w:spacing w:before="0" w:after="0"/>
        <w:jc w:val="left"/>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Revenue by geographic location is determined by the location of customers’ facilities to which products were shipped. Long-lived assets consist primarily of property, plant and equipment, and right-of-use assets are attributed to the geographic location in which they are located. </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Long-lived assets by geographic region were as follows:</w:t>
      </w:r>
    </w:p>
    <w:tbl>
      <w:tblPr>
        <w:tblW w:w="5383" w:type="dxa"/>
        <w:jc w:val="left"/>
        <w:tblInd w:w="0" w:type="dxa"/>
        <w:tblLayout w:type="fixed"/>
        <w:tblCellMar>
          <w:top w:w="28" w:type="dxa"/>
          <w:left w:w="28" w:type="dxa"/>
          <w:bottom w:w="28" w:type="dxa"/>
          <w:right w:w="28" w:type="dxa"/>
        </w:tblCellMar>
      </w:tblPr>
      <w:tblGrid>
        <w:gridCol w:w="1004"/>
        <w:gridCol w:w="884"/>
        <w:gridCol w:w="886"/>
        <w:gridCol w:w="237"/>
        <w:gridCol w:w="946"/>
        <w:gridCol w:w="122"/>
        <w:gridCol w:w="228"/>
        <w:gridCol w:w="910"/>
        <w:gridCol w:w="166"/>
      </w:tblGrid>
      <w:tr>
        <w:tc>
          <w:tcPr>
            <w:tcW w:w="100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w:t>
              <w:br/>
              <w:t>2026</w:t>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c>
          <w:tcPr>
            <w:tcW w:w="27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Long-lived assets by geography:</w:t>
            </w:r>
          </w:p>
        </w:tc>
        <w:tc>
          <w:tcPr>
            <w:tcW w:w="13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7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Mainland China</w:t>
            </w:r>
          </w:p>
        </w:tc>
        <w:tc>
          <w:tcPr>
            <w:tcW w:w="23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413,797 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321,748 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South Korea</w:t>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7,202 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8,868 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7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United States</w:t>
            </w:r>
          </w:p>
        </w:tc>
        <w:tc>
          <w:tcPr>
            <w:tcW w:w="118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18,985 </w:t>
            </w:r>
          </w:p>
        </w:tc>
        <w:tc>
          <w:tcPr>
            <w:tcW w:w="12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9,465 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439,984</w:t>
            </w:r>
            <w:r>
              <w:rPr>
                <w:color w:val="000000"/>
              </w:rPr>
              <w:t> </w:t>
            </w:r>
          </w:p>
        </w:tc>
        <w:tc>
          <w:tcPr>
            <w:tcW w:w="1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340,081</w:t>
            </w:r>
            <w:r>
              <w:rPr>
                <w:color w:val="000000"/>
              </w:rPr>
              <w:t> </w:t>
            </w:r>
          </w:p>
        </w:tc>
        <w:tc>
          <w:tcPr>
            <w:tcW w:w="1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pPr>
      <w:hyperlink w:anchor="ia22e01e7fdae4b968e9b46967ef89c75_7">
        <w:r>
          <w:rPr>
            <w:rStyle w:val="InternetLink"/>
            <w:rFonts w:ascii="Times New Roman;serif" w:hAnsi="Times New Roman;serif"/>
            <w:b w:val="false"/>
            <w:i/>
            <w:color w:val="0000FF"/>
            <w:sz w:val="16"/>
            <w:u w:val="single"/>
            <w:shd w:fill="FFFFFF" w:val="clear"/>
          </w:rPr>
          <w:t>Table of Contents</w:t>
        </w:r>
      </w:hyperlink>
      <w:r>
        <w:rPr>
          <w:color w:val="000000"/>
          <w:shd w:fill="FFFFFF" w:val="clear"/>
        </w:rPr>
        <w:t xml:space="preserve">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ACM RESEARCH,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Notes to the Condensed Consolidated Financial Statements</w:t>
      </w:r>
    </w:p>
    <w:p>
      <w:pPr>
        <w:pStyle w:val="TextBody"/>
        <w:bidi w:val="0"/>
        <w:spacing w:lineRule="auto" w:line="288" w:before="0" w:after="0"/>
        <w:jc w:val="center"/>
      </w:pPr>
      <w:r>
        <w:rPr>
          <w:rFonts w:ascii="Times New Roman;serif" w:hAnsi="Times New Roman;serif"/>
          <w:b w:val="false"/>
          <w:i/>
          <w:color w:val="000000"/>
          <w:sz w:val="20"/>
          <w:shd w:fill="FFFFFF" w:val="clear"/>
        </w:rPr>
        <w:t xml:space="preserve">(In </w:t>
      </w:r>
      <w:r>
        <w:rPr>
          <w:rFonts w:ascii="Times New Roman;serif" w:hAnsi="Times New Roman;serif"/>
          <w:b w:val="false"/>
          <w:i/>
          <w:color w:val="000000"/>
          <w:sz w:val="20"/>
        </w:rPr>
        <w:t>thousands</w:t>
      </w:r>
      <w:r>
        <w:rPr>
          <w:rFonts w:ascii="Times New Roman;serif" w:hAnsi="Times New Roman;serif"/>
          <w:b w:val="false"/>
          <w:i/>
          <w:color w:val="000000"/>
          <w:sz w:val="20"/>
          <w:shd w:fill="FFFFFF" w:val="clear"/>
        </w:rPr>
        <w:t>, except share, percentage and per share data)</w:t>
      </w: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18 – STATUTORY SURPLUS RESERVE</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accordance with mainland China’s Foreign Enterprise Law, ACM Shanghai, ACM Lingang, and ACM Wuxi are required to make appropriation to reserve funds, comprising the statutory surplus reserve and discretionary surplus reserve, based on after-tax net income in accordance with generally accepted accounting principles of mainland China (“mainland China GAAP”).</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Appropriations to the statutory surplus reserve are required to be at least 10% of the after-tax net income determined in accordance with mainland China GAAP until the reserve is equal to 50% of the entities’ registered capital. The amount is calculated annually at the end of each calendar year. The balances of statutory reserve funds was $34,164 as of both September 30, 2026 and December 31, 2025, and is presented as statutory surplus reserve on the Company’s condensed consolidated balance sheets.</w:t>
      </w:r>
    </w:p>
    <w:p>
      <w:pPr>
        <w:pStyle w:val="TextBody"/>
        <w:bidi w:val="0"/>
        <w:spacing w:before="240" w:after="283"/>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both"/>
      </w:pPr>
      <w:hyperlink w:anchor="ia22e01e7fdae4b968e9b46967ef89c75_7">
        <w:r>
          <w:rPr>
            <w:rStyle w:val="InternetLink"/>
            <w:rFonts w:ascii="Times New Roman;serif" w:hAnsi="Times New Roman;serif"/>
            <w:b w:val="false"/>
            <w:i/>
            <w:color w:val="0000FF"/>
            <w:sz w:val="16"/>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before="0" w:after="0"/>
        <w:jc w:val="left"/>
      </w:pPr>
      <w:r/>
    </w:p>
    <w:p>
      <w:pPr>
        <w:pStyle w:val="TextBody"/>
        <w:bidi w:val="0"/>
        <w:spacing w:lineRule="auto" w:line="288" w:before="0" w:after="0"/>
        <w:jc w:val="both"/>
      </w:pPr>
      <w:r>
        <w:rPr>
          <w:rFonts w:ascii="Times New Roman;serif" w:hAnsi="Times New Roman;serif"/>
          <w:b w:val="false"/>
          <w:i/>
          <w:color w:val="000000"/>
          <w:sz w:val="20"/>
          <w:shd w:fill="FFFFFF" w:val="clear"/>
        </w:rPr>
        <w:t xml:space="preserve">You should read the following discussion of our financial condition and results of operations together with our condensed consolidated financial statements and the related notes and other financial information included elsewhere in this report and our Annual Report on Form 10-K for the fiscal year ended December 31, 2025, or our </w:t>
      </w:r>
      <w:r>
        <w:rPr>
          <w:rFonts w:ascii="Times New Roman;serif" w:hAnsi="Times New Roman;serif"/>
          <w:b w:val="false"/>
          <w:i/>
          <w:color w:val="000000"/>
          <w:sz w:val="20"/>
        </w:rPr>
        <w:t xml:space="preserve">2025 </w:t>
      </w:r>
      <w:r>
        <w:rPr>
          <w:rFonts w:ascii="Times New Roman;serif" w:hAnsi="Times New Roman;serif"/>
          <w:b w:val="false"/>
          <w:i/>
          <w:color w:val="000000"/>
          <w:sz w:val="20"/>
          <w:shd w:fill="FFFFFF" w:val="clear"/>
        </w:rPr>
        <w:t>Annual Report. The following discussion contains forward</w:t>
        <w:noBreakHyphen/>
        <w:t>looking statements that reflect our plans, estimates, and beliefs. Our actual results could differ materially from those discussed in the forward</w:t>
        <w:noBreakHyphen/>
        <w:t>looking statements. Factors that could cause or contribute to these differences include those discussed in Part I, Item 1A. “Risk Factors” in our</w:t>
      </w:r>
      <w:r>
        <w:rPr>
          <w:color w:val="000000"/>
        </w:rPr>
        <w:t xml:space="preserve"> </w:t>
      </w:r>
      <w:r>
        <w:rPr>
          <w:rFonts w:ascii="Times New Roman;serif" w:hAnsi="Times New Roman;serif"/>
          <w:b w:val="false"/>
          <w:i/>
          <w:color w:val="000000"/>
          <w:sz w:val="20"/>
        </w:rPr>
        <w:t>2025</w:t>
      </w:r>
      <w:r>
        <w:rPr>
          <w:color w:val="000000"/>
          <w:shd w:fill="FFFFFF" w:val="clear"/>
        </w:rPr>
        <w:t xml:space="preserve"> </w:t>
      </w:r>
      <w:r>
        <w:rPr>
          <w:rFonts w:ascii="Times New Roman;serif" w:hAnsi="Times New Roman;serif"/>
          <w:b w:val="false"/>
          <w:i/>
          <w:color w:val="000000"/>
          <w:sz w:val="20"/>
          <w:shd w:fill="FFFFFF" w:val="clear"/>
        </w:rPr>
        <w:t>Annual Report, as well as those discussed below and elsewhere in this report, particularly in the section titled “Item 1A – Risk Factors” in Part II below.</w:t>
      </w:r>
    </w:p>
    <w:p>
      <w:pPr>
        <w:pStyle w:val="TextBody"/>
        <w:bidi w:val="0"/>
        <w:spacing w:before="0" w:after="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ACM Research, Inc., or ACM Research, is a Delaware corporation founded in California in 1998 to supply capital equipment developed for the global semiconductor industry. Since 2005, ACM Research has conducted its business operations principally through its subsidiary ACM Research (Shanghai), Inc., or ACM Shanghai, a corporation formed by ACM Research in the People’s Republic of China, or mainland China, in 2005. Unless the context requires otherwise, references in this report to “our company,” “our,” “us,” “we” and similar terms refer to ACM Research, Inc. and its subsidiaries, including ACM Shanghai, collectively.</w:t>
      </w:r>
    </w:p>
    <w:p>
      <w:pPr>
        <w:pStyle w:val="TextBody"/>
        <w:bidi w:val="0"/>
        <w:spacing w:before="0" w:after="0"/>
        <w:jc w:val="left"/>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principal corporate office is located in Fremont, California. We conduct a substantial portion of our product development, manufacturing, support and services in mainland China through ACM Shanghai. We perform, through a subsidiary of ACM Shanghai, additional product development and subsystem production in Korea, and we conduct, through ACM Research, sales and marketing activities focused on sales of ACM Shanghai products in North America, Europe and certain regions in Asia outside mainland China.</w:t>
      </w:r>
    </w:p>
    <w:p>
      <w:pPr>
        <w:pStyle w:val="TextBody"/>
        <w:bidi w:val="0"/>
        <w:spacing w:before="0" w:after="0"/>
        <w:jc w:val="left"/>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ACM Research is not a mainland China operating company, and we do not conduct our operations in mainland China through the use of a variable interest entity, or VIE, or any other structure designed for the purpose of avoiding mainland China legal restrictions on direct foreign investments in mainland China-based companies. ACM Research has a direct ownership interest in ACM Shanghai as the result of its holding 72.8% of the outstanding shares of ACM Shanghai. Stockholders of ACM Research may never directly own equity interests in ACM Shanghai. We do not believe that our corporate structure or any other matters relating to our business operations require that we obtain any permissions or approvals from the China Securities Regulatory Commission, the Cyberspace Administration of China, or any other mainland China central government authority in order to continue to list shares of Class A common stock of ACM Research on the Nasdaq Global Select Market. This determination was based on the facts aforementioned and mainland China Company Law, mainland China Securities Law, cybersecurity regulations and other relevant laws, regulations and regulatory requirements in mainland China currently in effect. However, if this determination proves to be incorrect, then it could have a material adverse effect on ACM Research. See “Item 1A. Risk Factors—Risks Related to International Aspects of Our Business—If any mainland China central government authority were to determine that existing mainland China laws or regulations require that ACM Shanghai obtain the authority’s permission or approval to continue the listing of ACM Research’s Class A common stock in the United States or if those existing mainland China laws and regulations, or interpretations thereof, were to change to require such permission or approval, ACM Shanghai may be unable to obtain the required permission or approval or may only be able to obtain such permission or approval on terms and conditions that impose material new restrictions and limitations on operation of ACM Shanghai, either of which could have a material adverse effect on our business, financial condition, results of operations, reputation and prospects and on the trading price of ACM Research Class A common stock, which could decline in value or become worthless” in our 2025 Annual Report.</w:t>
      </w:r>
    </w:p>
    <w:p>
      <w:pPr>
        <w:pStyle w:val="TextBody"/>
        <w:bidi w:val="0"/>
        <w:spacing w:before="0" w:after="0"/>
        <w:jc w:val="left"/>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in the ordinary course of business, ACM Shanghai is required to obtain certain operating permits and licenses necessary for it to operate in mainland China, including business licenses, certifications relating to quality management standards, import and export-related qualifications from customs, as well as environmental and construction permits, licenses and approvals relating to construction projects. We believe ACM Shanghai has all such required permits and licenses. However, from time to time mainland China government issues new regulations, which may require additional actions on the part of ACM Shanghai to comply. If ACM Shanghai does not, or is unable to, obtain any such additional permits or licenses, ACM Shanghai may be subjected to restrictions and penalties imposed by the relevant mainland China regulatory authorities, and it could have a material adverse effect on our business, financial condition, results of operations, reputation and prospects and on the trading price of ACM Research Class A common stock, which could decline in value or become worthless.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6, 2026, we completed the sale of approximately 4.8 million shares of ACM Shanghai at a price of RMB160.00 per share (approximately $23.05 per share based on the exchange rate in effect on the date of the sale), generating approximately $110.2 million in gross proceeds and approximately $86 million net of taxes.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pPr>
      <w:hyperlink w:anchor="ia22e01e7fdae4b968e9b46967ef89c75_7">
        <w:r>
          <w:rPr>
            <w:rStyle w:val="InternetLink"/>
            <w:rFonts w:ascii="Times New Roman;serif" w:hAnsi="Times New Roman;serif"/>
            <w:b w:val="false"/>
            <w:i/>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June 30, 2026, ACM Shanghai's employees exercised 2,431,900 options for shares of ACM Shanghai stock. During the three months ended September 30, 2026, ACM Shanghai's employees exercised 2,669,625 options for shares of ACM Shanghai. Following these transactions, our ownership percentage in ACM Shanghai decreased from 73.2% as of June 30, 2026 to 72.8% as of September 30, 2026.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chart depicts our corporate organization as of September 30, 2026:</w:t>
      </w:r>
    </w:p>
    <w:p>
      <w:pPr>
        <w:pStyle w:val="TextBody"/>
        <w:bidi w:val="0"/>
        <w:spacing w:before="0" w:after="0"/>
        <w:jc w:val="both"/>
      </w:pPr>
      <w:r/>
    </w:p>
    <w:p>
      <w:pPr>
        <w:pStyle w:val="TextBody"/>
        <w:bidi w:val="0"/>
        <w:spacing w:before="0" w:after="0"/>
        <w:jc w:val="both"/>
      </w:pPr>
      <w:r>
        <w:drawing>
          <wp:inline distT="0" distB="0" distL="0" distR="0">
            <wp:extent cx="6286500" cy="2266950"/>
            <wp:effectExtent l="0" t="0" r="0" b="0"/>
            <wp:docPr id="3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 descr=""/>
                    <pic:cNvPicPr>
                      <a:picLocks noChangeAspect="1" noChangeArrowheads="1"/>
                    </pic:cNvPicPr>
                  </pic:nvPicPr>
                  <pic:blipFill>
                    <a:blip r:embed="rId3"/>
                    <a:stretch>
                      <a:fillRect/>
                    </a:stretch>
                  </pic:blipFill>
                  <pic:spPr bwMode="auto">
                    <a:xfrm>
                      <a:off x="0" y="0"/>
                      <a:ext cx="6286500" cy="2266950"/>
                    </a:xfrm>
                    <a:prstGeom prst="rect">
                      <a:avLst/>
                    </a:prstGeom>
                  </pic:spPr>
                </pic:pic>
              </a:graphicData>
            </a:graphic>
          </wp:inline>
        </w:drawing>
      </w:r>
      <w:bookmarkStart w:id="1" w:name="i-2"/>
      <w:bookmarkEnd w:id="1"/>
    </w:p>
    <w:p>
      <w:pPr>
        <w:pStyle w:val="TextBody"/>
        <w:bidi w:val="0"/>
        <w:spacing w:before="0" w:after="0"/>
        <w:jc w:val="both"/>
      </w:pPr>
      <w:r/>
    </w:p>
    <w:p>
      <w:pPr>
        <w:pStyle w:val="TextBody"/>
        <w:bidi w:val="0"/>
        <w:spacing w:lineRule="auto" w:line="288" w:before="0" w:after="0"/>
        <w:jc w:val="both"/>
      </w:pPr>
      <w:r>
        <w:rPr>
          <w:rFonts w:ascii="Times New Roman;serif" w:hAnsi="Times New Roman;serif"/>
          <w:b w:val="false"/>
          <w:color w:val="000000"/>
          <w:sz w:val="20"/>
          <w:shd w:fill="FFFFFF" w:val="clear"/>
        </w:rPr>
        <w:t xml:space="preserve">A detailed description of how cash is transferred through our organization is set forth under “Note 2 – Summary of Significant Accounting Policies – Cash and Cash Equivalents” to </w:t>
      </w:r>
      <w:r>
        <w:rPr>
          <w:rFonts w:ascii="Times New Roman;serif" w:hAnsi="Times New Roman;serif"/>
          <w:b w:val="false"/>
          <w:color w:val="000000"/>
          <w:sz w:val="20"/>
        </w:rPr>
        <w:t>the Condensed Consolidated Financial Statements of</w:t>
      </w:r>
      <w:r>
        <w:rPr>
          <w:color w:val="000000"/>
          <w:shd w:fill="FFFFFF" w:val="clear"/>
        </w:rPr>
        <w:t xml:space="preserve"> </w:t>
      </w:r>
      <w:r>
        <w:rPr>
          <w:rFonts w:ascii="Times New Roman;serif" w:hAnsi="Times New Roman;serif"/>
          <w:b w:val="false"/>
          <w:color w:val="000000"/>
          <w:sz w:val="20"/>
          <w:shd w:fill="FFFFFF" w:val="clear"/>
        </w:rPr>
        <w:t>this report.</w:t>
      </w:r>
    </w:p>
    <w:p>
      <w:pPr>
        <w:pStyle w:val="TextBody"/>
        <w:bidi w:val="0"/>
        <w:spacing w:before="0" w:after="0"/>
        <w:jc w:val="left"/>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U.S. Holding Foreign Companies Accountable Act, or the HFCA Act, requires that the Public Company Accounting Oversight Board, or the PCAOB, determine whether it is unable to inspect or investigate completely registered public accounting firms located in a non-U.S. jurisdiction because of a position taken by one or more authorities in any non-U.S. jurisdiction. Under current regulations, if ACM Research were to be included on the SEC's "Conclusive list of issuers identified under the HFCA Act" for two consecutive years due to our independent auditor being located in a jurisdiction that does not allow for PCAOB inspections, the SEC would prohibit trading in our securities and this ultimately could cause our securities to be delisted in the U.S., and their value may significantly decline or become worthless. See “Item 1A. Risk Factors—Risks Related to International Aspects of Our Business—We could be adversely affected if we are unable to comply with legislation and regulations regarding improved access to audit and other information and audit inspections of accounting firms, including registered public accounting firms, such as our prior and current audit firms, operating in mainland China” in our 2025 Annual Report for more information.</w:t>
      </w:r>
    </w:p>
    <w:p>
      <w:pPr>
        <w:pStyle w:val="TextBody"/>
        <w:bidi w:val="0"/>
        <w:spacing w:before="0" w:after="0"/>
        <w:jc w:val="left"/>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Effective on December 2, 2024, the U.S. Department of Commerce’s Bureau of Industry and Security (“BIS”) promulgated a final rule naming a number of companies to the BIS Entity List (the "BIS Entity List"). Among the 140 companies added to the BIS Entity List were two subsidiaries of ACM Research, ACM Shanghai, located in the People’s Republic of China, and ACM Korea, a direct subsidiary of ACM Shanghai, which is located in the Republic of Korea, and other related entities. In general terms, the new BIS Entity List designations prohibit any party worldwide from furnishing hardware, software, or technologies that are subject to U.S. export controls jurisdiction, directly or indirectly to ACM Shanghai or ACM Korea without obtaining authorization. See “Item 1A. Risk Factors—Regulatory Risks—Our operations in mainland China and Korea, including the import of components, technology, and activities of U.S. personnel therein, may be further impacted by the addition of ACM Shanghai, ACM Korea and related entities to the BIS Entity List” in our 2025 Annual Report for more information. </w:t>
      </w:r>
    </w:p>
    <w:p>
      <w:pPr>
        <w:pStyle w:val="TextBody"/>
        <w:bidi w:val="0"/>
        <w:spacing w:before="0" w:after="0"/>
        <w:jc w:val="left"/>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15, 2024, the U.S. Department of the Treasury published a final rule implementing a framework for the regulation of outbound foreign investment from the United States. The new program, known as the Outbound Investment Security Program (“OISP”) was codified in the United States Code of Federal Regulations at 31 C.F.R. Part 850, effective as of January 2, 2025. The OISP was amended by the Comprehensive Outbound Investment National Security Act (“COINS Act”) which was signed into law on December 18, 2025, although the provisions of the COINS Act will not come into effect until the Department of the Treasury issues implementing regulations, which by law must occur by March 2027. The OISP marks a shift in U.S. economic policy, as historically the United States government declined to restrict outbound investment from the United States for national security reasons. Going forward, the investment activities of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pPr>
      <w:hyperlink w:anchor="ia22e01e7fdae4b968e9b46967ef89c75_7">
        <w:r>
          <w:rPr>
            <w:rStyle w:val="InternetLink"/>
            <w:rFonts w:ascii="Times New Roman;serif" w:hAnsi="Times New Roman;serif"/>
            <w:b w:val="false"/>
            <w:i/>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multinational companies, including ACM Research are subject to both Committee on Foreign Investment in the United States ("CFIUS") and OISP requirements, which together will limit cross-border investment opportunities, especially as they relate to China. The OISP regulations in effect today could be interpreted to restrict certain types of private investment in ACM Research in the United States, although these measures do not impact investment in ACM Research’s publicly traded securities. The COINS Act reverses the possible application of the OISP to certain U.S. companies, including ACM Research, and therefore it appears ACM Research will not be subject to the OISP’s private investment restrictions once the provisions of the COINS Act enter into force in 2026 or 2027. See “Item 1A. Risk Factors—Regulatory Risks—The U.S. Government has implemented an outbound investment review mechanism, which may prevent us from taking advantage of investment opportunities hat could otherwise be advantageous to our stockholders” in our 2025 Annual Report for more information. </w:t>
      </w:r>
    </w:p>
    <w:p>
      <w:pPr>
        <w:pStyle w:val="TextBody"/>
        <w:bidi w:val="0"/>
        <w:spacing w:before="0" w:after="0"/>
        <w:jc w:val="left"/>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to the matters discussed above, we are also subject to a number of legal and operational risks associated with our corporate structure, including, as the result of a substantial portion of our operations being conducted in mainland China. Consequences of any of those risks could result in a material adverse change in our operations or cause the value of ACM Research Class A common stock to significantly decline in value or become worthless. Please carefully read the information included in “Item 1A. Risk Factors” in our 2025 Annual Report, in particular, the risk factors addressing the following issues:</w:t>
      </w:r>
    </w:p>
    <w:p>
      <w:pPr>
        <w:pStyle w:val="TextBody"/>
        <w:bidi w:val="0"/>
        <w:spacing w:before="0" w:after="0"/>
        <w:jc w:val="left"/>
      </w:pPr>
      <w:r/>
    </w:p>
    <w:p>
      <w:pPr>
        <w:pStyle w:val="TextBody"/>
        <w:bidi w:val="0"/>
        <w:spacing w:lineRule="auto" w:line="288" w:before="0" w:after="0"/>
        <w:ind w:left="0" w:right="0" w:hanging="270"/>
        <w:jc w:val="both"/>
        <w:rPr>
          <w:color w:val="000000"/>
        </w:rPr>
      </w:pPr>
      <w:r>
        <w:rPr>
          <w:color w:val="000000"/>
        </w:rPr>
        <w:t xml:space="preserve">• </w:t>
      </w:r>
      <w:r>
        <w:rPr>
          <w:rFonts w:ascii="Times New Roman;serif" w:hAnsi="Times New Roman;serif"/>
          <w:b w:val="false"/>
          <w:color w:val="000000"/>
          <w:sz w:val="20"/>
        </w:rPr>
        <w:t>If any mainland China central government authority were to determine that existing mainland China laws or regulations require that ACM Shanghai obtain the authority’s permission or approval to continue the listing of ACM Research’s Class A common stock in the United States or if those existing mainland China laws and regulations, or interpretations thereof, were to change to require such permission or approval, or if we inadvertently conclude that such permissions or approvals are not required, ACM Shanghai may be unable to obtain the required permission or approval or may only be able to obtain such permission or approval on terms and conditions that impose material new restrictions and limitations on operation of ACM Shanghai, either of which could have a material adverse effect on our business, financial condition, results of operations, reputation and prospects and on the trading price of ACM Research Class A common stock, which could decline in value or become worthless.</w:t>
      </w:r>
    </w:p>
    <w:p>
      <w:pPr>
        <w:pStyle w:val="TextBody"/>
        <w:bidi w:val="0"/>
        <w:spacing w:lineRule="auto" w:line="288" w:before="0" w:after="0"/>
        <w:ind w:left="0" w:right="0" w:hanging="270"/>
        <w:jc w:val="both"/>
      </w:pPr>
      <w:r>
        <w:rPr>
          <w:color w:val="000000"/>
        </w:rPr>
        <w:t>•</w:t>
      </w:r>
      <w:r>
        <w:rPr>
          <w:rFonts w:ascii="Times New Roman;serif" w:hAnsi="Times New Roman;serif"/>
          <w:b w:val="false"/>
          <w:color w:val="000000"/>
          <w:sz w:val="20"/>
        </w:rPr>
        <w:t>Mainland China central government authorities may intervene in, or influence, ACM Shanghai’s mainland China-based operations at any time, and those authorities’ rules and regulations in mainland China can change quickly with little or no advance notice.</w:t>
      </w:r>
    </w:p>
    <w:p>
      <w:pPr>
        <w:pStyle w:val="TextBody"/>
        <w:bidi w:val="0"/>
        <w:spacing w:lineRule="auto" w:line="288" w:before="0" w:after="0"/>
        <w:ind w:left="0" w:right="0" w:hanging="360"/>
        <w:jc w:val="both"/>
      </w:pPr>
      <w:r>
        <w:rPr>
          <w:color w:val="000000"/>
        </w:rPr>
        <w:t>•</w:t>
      </w:r>
      <w:r>
        <w:rPr>
          <w:rFonts w:ascii="Times New Roman;serif" w:hAnsi="Times New Roman;serif"/>
          <w:b w:val="false"/>
          <w:color w:val="000000"/>
          <w:sz w:val="20"/>
        </w:rPr>
        <w:t>The mainland China central government may determine to exert additional control over offerings conducted overseas or foreign investment in mainland China-based issuers, which could result in a material change in operations of ACM Shanghai and cause significant declines in the value of ACM Research Class A common stock, or make them worthless.</w:t>
      </w:r>
    </w:p>
    <w:p>
      <w:pPr>
        <w:pStyle w:val="TextBody"/>
        <w:bidi w:val="0"/>
        <w:spacing w:before="0" w:after="0"/>
        <w:jc w:val="left"/>
      </w:pPr>
      <w:r/>
    </w:p>
    <w:p>
      <w:pPr>
        <w:pStyle w:val="TextBody"/>
        <w:bidi w:val="0"/>
        <w:spacing w:lineRule="auto" w:line="288" w:before="0" w:after="0"/>
        <w:jc w:val="both"/>
      </w:pPr>
      <w:r>
        <w:rPr>
          <w:rFonts w:ascii="Times New Roman;serif" w:hAnsi="Times New Roman;serif"/>
          <w:b w:val="false"/>
          <w:color w:val="000000"/>
          <w:sz w:val="20"/>
        </w:rPr>
        <w:t>Recent statements and regulatory actions by mainland China central government authorities with respect to the use of VIEs and to data security and anti-monopoly concerns have not affected our ability to conduct our business operations in China. For further information, see “Item 1A. Risk Factors —Risks Related to International Aspects of Our Business”</w:t>
      </w:r>
      <w:r>
        <w:rPr>
          <w:color w:val="000000"/>
        </w:rPr>
        <w:t xml:space="preserve"> </w:t>
      </w:r>
      <w:r>
        <w:rPr>
          <w:rFonts w:ascii="Times New Roman;serif" w:hAnsi="Times New Roman;serif"/>
          <w:b w:val="false"/>
          <w:color w:val="000000"/>
          <w:sz w:val="20"/>
        </w:rPr>
        <w:t>of our 2025 Annual Report for more information.</w:t>
      </w:r>
    </w:p>
    <w:p>
      <w:pPr>
        <w:pStyle w:val="TextBody"/>
        <w:bidi w:val="0"/>
        <w:spacing w:before="0" w:after="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before="0" w:after="0"/>
        <w:jc w:val="left"/>
      </w:p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supply advanced, innovative capital equipment developed for the global semiconductor industry. Fabricators of advanced integrated circuits, or chips, can use our wet-cleaning and other front-end processing tools in numerous steps to improve product yield, even at increasingly advanced process nodes. We have designed these tools for use in fabricating foundry, logic and memory chips, including dynamic random-access memory, or DRAM, and 3D NAND-flash memory chips. We also develop, manufacture and sell a range of advanced packaging tools to wafer assembly and packaging customers.</w:t>
      </w:r>
    </w:p>
    <w:p>
      <w:pPr>
        <w:pStyle w:val="TextBody"/>
        <w:bidi w:val="0"/>
        <w:spacing w:before="0" w:after="0"/>
        <w:jc w:val="left"/>
      </w:pPr>
      <w:r/>
    </w:p>
    <w:p>
      <w:pPr>
        <w:pStyle w:val="TextBody"/>
        <w:bidi w:val="0"/>
        <w:spacing w:lineRule="auto" w:line="288" w:before="0" w:after="0"/>
        <w:jc w:val="both"/>
      </w:pPr>
      <w:r>
        <w:rPr>
          <w:rFonts w:ascii="Times New Roman;serif" w:hAnsi="Times New Roman;serif"/>
          <w:b w:val="false"/>
          <w:color w:val="000000"/>
          <w:sz w:val="20"/>
          <w:shd w:fill="FFFFFF" w:val="clear"/>
        </w:rPr>
        <w:t>Since 2009 we have</w:t>
      </w:r>
      <w:r>
        <w:rPr>
          <w:color w:val="000000"/>
        </w:rPr>
        <w:t xml:space="preserve"> </w:t>
      </w:r>
      <w:r>
        <w:rPr>
          <w:rFonts w:ascii="Times New Roman;serif" w:hAnsi="Times New Roman;serif"/>
          <w:b w:val="false"/>
          <w:color w:val="000000"/>
          <w:sz w:val="20"/>
        </w:rPr>
        <w:t>delivered more than 1,715 tools to our customers, more than 1,565 of which were repeat orders or acceptances upon contractual performance obligations that have been met and thereby generated revenue to us. The balance of the delivered tools is subject to the customer's acceptance of the tool upon the tool's satisfaction of applicable contractual requirements or subject to the customer's subsequent discretionary commitment to purchase the tool. To date, substantially all of our sales of equipment for semiconductor-manufacturing have been to customers located in Asia, and we anticipate that a substantial majority of our revenue from these products will continue to come from customers located in this region for the foreseeable future. We have begun to add to our efforts to further address customers in North Americ</w:t>
      </w:r>
      <w:r>
        <w:rPr>
          <w:rFonts w:ascii="Times New Roman;serif" w:hAnsi="Times New Roman;serif"/>
          <w:b w:val="false"/>
          <w:color w:val="000000"/>
          <w:sz w:val="20"/>
          <w:shd w:fill="FFFFFF" w:val="clear"/>
        </w:rPr>
        <w:t>a, Western Europe and Southeast Asia, by expanding our direct sales teams and increasing our global marketing activities.</w:t>
      </w:r>
    </w:p>
    <w:p>
      <w:pPr>
        <w:pStyle w:val="TextBody"/>
        <w:bidi w:val="0"/>
        <w:spacing w:before="0" w:after="0"/>
        <w:jc w:val="both"/>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both"/>
      </w:pPr>
      <w:hyperlink w:anchor="ia22e01e7fdae4b968e9b46967ef89c75_7">
        <w:r>
          <w:rPr>
            <w:rStyle w:val="InternetLink"/>
            <w:rFonts w:ascii="Times New Roman;serif" w:hAnsi="Times New Roman;serif"/>
            <w:b w:val="false"/>
            <w:i/>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estimate, based on third-party reports, customer feedback and other information, that our current product portfolio addresses approximately $22.1 billion of the 2026 global wafer fab equipment, or WFE, market. By product line, we estimate an approximately $7.4 billion market opportunity is addressed by our wafer cleaning equipment, $6.2 billion by our Plasma-Enhanced Chemical Vapor Deposition, or PECVD, equipment, $3.5 billion by our Track equipment, $1.7 billion by our furnace equipment, $1.8 billion by our electro-chemical plating, or ECP, equipment, and $1.5 billion by our stress-free polishing, advanced packaging, wafer processing, and other processing equipment.</w:t>
      </w:r>
    </w:p>
    <w:p>
      <w:pPr>
        <w:pStyle w:val="TextBody"/>
        <w:bidi w:val="0"/>
        <w:spacing w:lineRule="auto" w:line="288" w:before="0" w:after="0"/>
        <w:jc w:val="both"/>
      </w:pPr>
      <w:r>
        <w:rPr>
          <w:rFonts w:ascii="Times New Roman;serif" w:hAnsi="Times New Roman;serif"/>
          <w:b w:val="false"/>
          <w:color w:val="000000"/>
          <w:sz w:val="20"/>
        </w:rPr>
        <w:t>Frost &amp; Sullivan estimates the total worldwide semiconductor equipment market grew by 16.3% from $122.2 billion in 2024 to $142.1 billion in 2025, and is expected to increase by 7.3% to $152.5 billion in 2026. Frost &amp; Sullivan estimates the China semiconductor equipment market increased by 11.8%, from $46.8 billion in 2024 to $52.3 billion in 2025, and is expected to increase by 10.1% to $57.6 billion in 2026</w:t>
      </w:r>
      <w:r>
        <w:rPr>
          <w:rFonts w:ascii="Times New Roman;serif" w:hAnsi="Times New Roman;serif"/>
          <w:b w:val="false"/>
          <w:color w:val="000000"/>
          <w:sz w:val="13"/>
        </w:rPr>
        <w:t>1</w:t>
      </w:r>
      <w:r>
        <w:rPr>
          <w:rFonts w:ascii="Times New Roman;serif" w:hAnsi="Times New Roman;serif"/>
          <w:b w:val="false"/>
          <w:color w:val="000000"/>
          <w:sz w:val="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ACM Shanghai Proposed IPO listing on The Stock Exchange of Hong Kong Limited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May 26, 2026, ACM Shanghai issued an announcement (the “Announcement”) to the Shanghai Stock Exchange regarding the Resolutions of the Fifth Meeting of the Third Board of Directors. At the meeting, the board of directors of ACM Shanghai approved, among other matters, the proposal on the offering of H shares and listing on the Main Board of The Stock Exchange of Hong Kong Limited (the “H Share Listing”) and, on an item-by-item basis, the proposal on the plan for the H Share Listing. These proposals have been approved by ACM Shanghai’s board of directors and shareholders. Pursuant to the approved plan, ACM Shanghai proposes to issue H shares representing no more than 7% of its total issued share capital upon completion of the proposed offering (prior to the exercise of any over-allotment option), and may grant the overall coordinators an over-allotment option to purchase up to 15% of the number of H shares initially offered. The H shares to be issued will be ordinary shares of H share class, with a par value of RMB 1.00 per share, to be listed and traded on the Main Board of The Stock Exchange of Hong Kong Limited. Net proceeds from the proposed H Share Listing, after deduction of offering expenses, are intended to be used for purposes including, but not limited to, further product development and enhancement of independent research and development capabilities, improvement of global market expansion and service capabilities, replenishment of general working capital and repayment of bank loans. The proposed H Share Listing remains subject to market conditions and the obtaining of necessary filings, approvals and/or other regulatory clearances, including those from the China Securities Regulatory Commission, The Stock Exchange of Hong Kong Limited and the Securities and Futures Commission of Hong Kong.</w:t>
      </w: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ACM Shanghai Dividend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August 12, 2026, ACM Research's principal operating subsidiary, ACM Shanghai, paid a cash dividend for a net total of approximately RMB 276.7 million (approximately USD $40.9 million) to the stockholders of ACM Shanghai, including ACM Research, which owned 72.8% of the outstanding shares of ACM Shanghai at the time. ACM Research intends to use the net proceeds for working capital and general corporate purposes. The cash portion of the dividend paid by ACM Shanghai to non-controlling interests was $11.8 million (note 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Mainland China Government Research and Development Funding</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Since 2008, ACM Shanghai has received various government grants for the development and commercialization of certain technologies, and the development of the R&amp;D and production center in the Lingang Special Area of Shanghai. </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governmental grants contain certain operating conditions, and we are required to complete a government due diligence process once the project is complete. The grants therefore are recorded as long-term liabilities upon receipt, although we are not required to return any funds received by ACM Shanghai.</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Grant amounts are recognized in our condensed consolidated statements of comprehensive income as follows:</w:t>
      </w:r>
    </w:p>
    <w:p>
      <w:pPr>
        <w:pStyle w:val="TextBody"/>
        <w:bidi w:val="0"/>
        <w:spacing w:lineRule="auto" w:line="288" w:before="0" w:after="0"/>
        <w:ind w:left="0" w:right="0" w:hanging="360"/>
        <w:jc w:val="both"/>
      </w:pPr>
      <w:r>
        <w:rPr>
          <w:color w:val="000000"/>
        </w:rPr>
        <w:t>•</w:t>
      </w:r>
      <w:r>
        <w:rPr>
          <w:rFonts w:ascii="Times New Roman;serif" w:hAnsi="Times New Roman;serif"/>
          <w:b w:val="false"/>
          <w:color w:val="000000"/>
          <w:sz w:val="20"/>
        </w:rPr>
        <w:t xml:space="preserve">Government subsidies relating to current expenses are recorded as reductions of those expenses in the periods in which the current expenses are recorded. Such subsidies were immaterial in amount for the three and nine months ended September 30, 2026 and 2025. </w:t>
      </w:r>
    </w:p>
    <w:p>
      <w:pPr>
        <w:pStyle w:val="TextBody"/>
        <w:bidi w:val="0"/>
        <w:spacing w:lineRule="auto" w:line="288" w:before="0" w:after="0"/>
        <w:jc w:val="both"/>
      </w:pPr>
      <w:r>
        <w:rPr>
          <w:rFonts w:ascii="Times New Roman;serif" w:hAnsi="Times New Roman;serif"/>
          <w:b w:val="false"/>
          <w:color w:val="000000"/>
          <w:sz w:val="13"/>
        </w:rPr>
        <w:t>1</w:t>
      </w:r>
      <w:r>
        <w:rPr>
          <w:rFonts w:ascii="Times New Roman;serif" w:hAnsi="Times New Roman;serif"/>
          <w:b w:val="false"/>
          <w:color w:val="000000"/>
          <w:sz w:val="20"/>
        </w:rPr>
        <w:t xml:space="preserve">The information contains statistical data and estimates, including forecasts, that are based on information provided by Frost &amp; Sullivan, "Global and China Semiconductor Equipment Market Research, June 2026."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both"/>
      </w:pPr>
      <w:hyperlink w:anchor="ia22e01e7fdae4b968e9b46967ef89c75_7">
        <w:r>
          <w:rPr>
            <w:rStyle w:val="InternetLink"/>
            <w:rFonts w:ascii="Times New Roman;serif" w:hAnsi="Times New Roman;serif"/>
            <w:b w:val="false"/>
            <w:i/>
            <w:color w:val="0000FF"/>
            <w:sz w:val="16"/>
            <w:u w:val="single"/>
          </w:rPr>
          <w:t>Table of Contents</w:t>
        </w:r>
      </w:hyperlink>
    </w:p>
    <w:p>
      <w:pPr>
        <w:pStyle w:val="TextBody"/>
        <w:bidi w:val="0"/>
        <w:spacing w:lineRule="auto" w:line="288" w:before="0" w:after="0"/>
        <w:ind w:left="0" w:right="0" w:hanging="360"/>
        <w:jc w:val="both"/>
      </w:pPr>
      <w:r>
        <w:rPr>
          <w:color w:val="000000"/>
        </w:rPr>
        <w:t>•</w:t>
      </w:r>
      <w:r>
        <w:rPr>
          <w:rFonts w:ascii="Times New Roman;serif" w:hAnsi="Times New Roman;serif"/>
          <w:b w:val="false"/>
          <w:color w:val="000000"/>
          <w:sz w:val="20"/>
        </w:rPr>
        <w:t>Government subsidies related to depreciable assets are credited to income over the useful lives of the related assets for which the grant was received. Government subsidies related to VAT reduction are credited to income in the period received. Such subsidies were immaterial in amount for the three and nine months ended September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Recent Accounting Pronouncements</w:t>
      </w:r>
    </w:p>
    <w:p>
      <w:pPr>
        <w:pStyle w:val="TextBody"/>
        <w:bidi w:val="0"/>
        <w:spacing w:before="0" w:after="0"/>
        <w:jc w:val="both"/>
      </w:pPr>
      <w:r/>
    </w:p>
    <w:p>
      <w:pPr>
        <w:pStyle w:val="TextBody"/>
        <w:bidi w:val="0"/>
        <w:spacing w:lineRule="auto" w:line="288" w:before="0" w:after="0"/>
        <w:jc w:val="both"/>
      </w:pPr>
      <w:r>
        <w:rPr>
          <w:rFonts w:ascii="Times New Roman;serif" w:hAnsi="Times New Roman;serif"/>
          <w:b w:val="false"/>
          <w:color w:val="000000"/>
          <w:sz w:val="20"/>
          <w:shd w:fill="FFFFFF" w:val="clear"/>
        </w:rPr>
        <w:t xml:space="preserve">A discussion of recent accounting pronouncements is included in our </w:t>
      </w:r>
      <w:r>
        <w:rPr>
          <w:rFonts w:ascii="Times New Roman;serif" w:hAnsi="Times New Roman;serif"/>
          <w:b w:val="false"/>
          <w:color w:val="000000"/>
          <w:sz w:val="20"/>
        </w:rPr>
        <w:t xml:space="preserve">2025 Annual </w:t>
      </w:r>
      <w:r>
        <w:rPr>
          <w:rFonts w:ascii="Times New Roman;serif" w:hAnsi="Times New Roman;serif"/>
          <w:b w:val="false"/>
          <w:color w:val="000000"/>
          <w:sz w:val="20"/>
          <w:shd w:fill="FFFFFF" w:val="clear"/>
        </w:rPr>
        <w:t xml:space="preserve">Report and is updated in </w:t>
      </w:r>
      <w:r>
        <w:rPr>
          <w:rFonts w:ascii="Times New Roman;serif" w:hAnsi="Times New Roman;serif"/>
          <w:b w:val="false"/>
          <w:color w:val="000000"/>
          <w:sz w:val="20"/>
        </w:rPr>
        <w:t>Note</w:t>
      </w:r>
      <w:r>
        <w:rPr>
          <w:color w:val="000000"/>
          <w:shd w:fill="FFFFFF" w:val="clear"/>
        </w:rPr>
        <w:t xml:space="preserve"> </w:t>
      </w:r>
      <w:r>
        <w:rPr>
          <w:rFonts w:ascii="Times New Roman;serif" w:hAnsi="Times New Roman;serif"/>
          <w:b w:val="false"/>
          <w:color w:val="000000"/>
          <w:sz w:val="20"/>
          <w:shd w:fill="FFFFFF" w:val="clear"/>
        </w:rPr>
        <w:t>2 to the condensed consolidated financial statements included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Net Income Attributable to Non-Controlling Interests</w:t>
      </w:r>
    </w:p>
    <w:p>
      <w:pPr>
        <w:pStyle w:val="TextBody"/>
        <w:bidi w:val="0"/>
        <w:spacing w:before="0" w:after="0"/>
        <w:jc w:val="left"/>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Net income attributable to non-controlling interests is attributable to the minority holders of shares of ACM Shanghai stock. As a result, we reflect the portion of our net income allocable to the minority holders of ACM Shanghai shares as net income attributable to non-controlling interests. As of September 30, 2026, ACM Research held 72.8% of ACM Shanghai’s outstanding shares.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Critical Accounting Policies and Estimates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preparing our condensed consolidated financial statements in conformity with GAAP, we make assumptions, judgments and estimates in applying our accounting policies that can have a significant impact on our revenue, operating income and net income, as well as on the value of certain assets and liabilities on our condensed consolidated balance sheets. We base our assumptions, judgments and estimates on historical experience and various other factors that we believe to be reasonable under the circumstances. At least quarterly, we evaluate our assumptions, judgments and estimates and make changes as deemed necessary. Actual results could differ materially from these estimates under different assumptions or conditions.</w:t>
      </w:r>
    </w:p>
    <w:p>
      <w:pPr>
        <w:pStyle w:val="TextBody"/>
        <w:bidi w:val="0"/>
        <w:spacing w:before="0" w:after="0"/>
        <w:jc w:val="left"/>
      </w:p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believe that the assumptions, judgments and estimates involved in the accounting for the following accounting policies have the greatest potential impact on our condensed consolidated financial statements, and we therefore consider these to be our critical accounting estimates. For information on our significant accounting policies, see Note 2 in the notes to condensed consolidated financial statements in Part I, Item 1 of this report and in the Notes to Condensed Consolidated Financial Statements in Part II, Item 8 of our 2025 Annual Report, describe the significant accounting policies and methods used in the preparation of the Company’s condensed consolidated financial statements. There have been no material changes to the Company’s critical accounting estimates included in our 2025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both"/>
      </w:pPr>
      <w:hyperlink w:anchor="ia22e01e7fdae4b968e9b46967ef89c75_7">
        <w:r>
          <w:rPr>
            <w:rStyle w:val="InternetLink"/>
            <w:rFonts w:ascii="Times New Roman;serif" w:hAnsi="Times New Roman;serif"/>
            <w:b w:val="false"/>
            <w:i/>
            <w:color w:val="0000FF"/>
            <w:sz w:val="16"/>
            <w:u w:val="single"/>
          </w:rPr>
          <w:t>Table of Contents</w:t>
        </w:r>
      </w:hyperlink>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Results of Operations</w:t>
      </w:r>
    </w:p>
    <w:p>
      <w:pPr>
        <w:pStyle w:val="TextBody"/>
        <w:bidi w:val="0"/>
        <w:spacing w:lineRule="auto" w:line="288" w:before="240" w:after="283"/>
        <w:jc w:val="both"/>
      </w:pPr>
      <w:r>
        <w:rPr>
          <w:rFonts w:ascii="Times New Roman;serif" w:hAnsi="Times New Roman;serif"/>
          <w:b w:val="false"/>
          <w:color w:val="000000"/>
          <w:sz w:val="20"/>
          <w:shd w:fill="FFFFFF" w:val="clear"/>
        </w:rPr>
        <w:t>The following table sets forth our results of operations for the periods presented,</w:t>
      </w:r>
      <w:r>
        <w:rPr>
          <w:color w:val="000000"/>
        </w:rPr>
        <w:t xml:space="preserve"> </w:t>
      </w:r>
      <w:r>
        <w:rPr>
          <w:rFonts w:ascii="Times New Roman;serif" w:hAnsi="Times New Roman;serif"/>
          <w:b w:val="false"/>
          <w:color w:val="000000"/>
          <w:sz w:val="20"/>
        </w:rPr>
        <w:t>as percentages of revenue:</w:t>
      </w:r>
    </w:p>
    <w:tbl>
      <w:tblPr>
        <w:tblW w:w="10205" w:type="dxa"/>
        <w:jc w:val="left"/>
        <w:tblInd w:w="0" w:type="dxa"/>
        <w:tblLayout w:type="fixed"/>
        <w:tblCellMar>
          <w:top w:w="28" w:type="dxa"/>
          <w:left w:w="28" w:type="dxa"/>
          <w:bottom w:w="28" w:type="dxa"/>
          <w:right w:w="28" w:type="dxa"/>
        </w:tblCellMar>
      </w:tblPr>
      <w:tblGrid>
        <w:gridCol w:w="1463"/>
        <w:gridCol w:w="1290"/>
        <w:gridCol w:w="1317"/>
        <w:gridCol w:w="352"/>
        <w:gridCol w:w="264"/>
        <w:gridCol w:w="520"/>
        <w:gridCol w:w="209"/>
        <w:gridCol w:w="209"/>
        <w:gridCol w:w="209"/>
        <w:gridCol w:w="352"/>
        <w:gridCol w:w="264"/>
        <w:gridCol w:w="520"/>
        <w:gridCol w:w="109"/>
        <w:gridCol w:w="109"/>
        <w:gridCol w:w="109"/>
        <w:gridCol w:w="352"/>
        <w:gridCol w:w="264"/>
        <w:gridCol w:w="496"/>
        <w:gridCol w:w="199"/>
        <w:gridCol w:w="199"/>
        <w:gridCol w:w="199"/>
        <w:gridCol w:w="352"/>
        <w:gridCol w:w="264"/>
        <w:gridCol w:w="584"/>
      </w:tblGrid>
      <w:tr>
        <w:tc>
          <w:tcPr>
            <w:tcW w:w="1463"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r>
      <w:tr>
        <w:tc>
          <w:tcPr>
            <w:tcW w:w="4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c>
          <w:tcPr>
            <w:tcW w:w="4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6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4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4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55.8 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Gross margin</w:t>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5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5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4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45.7 </w:t>
            </w:r>
          </w:p>
        </w:tc>
        <w:tc>
          <w:tcPr>
            <w:tcW w:w="5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Sales and marketing</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5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5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5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Research and development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General and administrative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5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5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5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Total operating expenses</w:t>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5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5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4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58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Income from operations</w:t>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5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5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4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5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5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5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4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58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gain on short-term investments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5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5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5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from equity method investments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5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5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Income before income taxes</w:t>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5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5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4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58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5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5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4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5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Net income</w:t>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5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5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4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58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5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5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4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5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 attributable to ACM Research, Inc.</w:t>
            </w:r>
          </w:p>
        </w:tc>
        <w:tc>
          <w:tcPr>
            <w:tcW w:w="61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5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5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4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5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Comparison of Three Months Ended September 30, 2026 and 2025</w:t>
      </w:r>
    </w:p>
    <w:p>
      <w:pPr>
        <w:pStyle w:val="TextBody"/>
        <w:bidi w:val="0"/>
        <w:spacing w:lineRule="auto" w:line="288" w:before="24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Revenue</w:t>
      </w:r>
    </w:p>
    <w:tbl>
      <w:tblPr>
        <w:tblW w:w="10205" w:type="dxa"/>
        <w:jc w:val="left"/>
        <w:tblInd w:w="0" w:type="dxa"/>
        <w:tblLayout w:type="fixed"/>
        <w:tblCellMar>
          <w:top w:w="28" w:type="dxa"/>
          <w:left w:w="28" w:type="dxa"/>
          <w:bottom w:w="28" w:type="dxa"/>
          <w:right w:w="28" w:type="dxa"/>
        </w:tblCellMar>
      </w:tblPr>
      <w:tblGrid>
        <w:gridCol w:w="1455"/>
        <w:gridCol w:w="1263"/>
        <w:gridCol w:w="1270"/>
        <w:gridCol w:w="234"/>
        <w:gridCol w:w="937"/>
        <w:gridCol w:w="121"/>
        <w:gridCol w:w="121"/>
        <w:gridCol w:w="121"/>
        <w:gridCol w:w="121"/>
        <w:gridCol w:w="234"/>
        <w:gridCol w:w="937"/>
        <w:gridCol w:w="121"/>
        <w:gridCol w:w="109"/>
        <w:gridCol w:w="109"/>
        <w:gridCol w:w="109"/>
        <w:gridCol w:w="262"/>
        <w:gridCol w:w="264"/>
        <w:gridCol w:w="648"/>
        <w:gridCol w:w="109"/>
        <w:gridCol w:w="109"/>
        <w:gridCol w:w="109"/>
        <w:gridCol w:w="274"/>
        <w:gridCol w:w="960"/>
        <w:gridCol w:w="208"/>
      </w:tblGrid>
      <w:tr>
        <w:tc>
          <w:tcPr>
            <w:tcW w:w="1455"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c>
          <w:tcPr>
            <w:tcW w:w="3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br/>
              <w:t> 2026 v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Absolute Change </w:t>
              <w:br/>
              <w:t>2026 v 2025</w:t>
            </w:r>
          </w:p>
        </w:tc>
      </w:tr>
      <w:tr>
        <w:tc>
          <w:tcPr>
            <w:tcW w:w="39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7"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39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Single wafer cleaning, Tahoe and semi-critical cleaning equipment</w:t>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210,721 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181,570 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64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29,151 </w:t>
            </w:r>
          </w:p>
        </w:tc>
        <w:tc>
          <w:tcPr>
            <w:tcW w:w="20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39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ECP (front-end and packaging), furnace and other technologies</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109,469 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59,853 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82.9 </w:t>
            </w:r>
          </w:p>
        </w:tc>
        <w:tc>
          <w:tcPr>
            <w:tcW w:w="6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49,616 </w:t>
            </w:r>
          </w:p>
        </w:tc>
        <w:tc>
          <w:tcPr>
            <w:tcW w:w="20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39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Advanced packaging (excluding ECP), services &amp; spares</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47,497 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27,737 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71.2 </w:t>
            </w:r>
          </w:p>
        </w:tc>
        <w:tc>
          <w:tcPr>
            <w:tcW w:w="64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19,760 </w:t>
            </w:r>
          </w:p>
        </w:tc>
        <w:tc>
          <w:tcPr>
            <w:tcW w:w="20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39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Revenue by Product Category</w:t>
            </w:r>
          </w:p>
        </w:tc>
        <w:tc>
          <w:tcPr>
            <w:tcW w:w="2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367,687</w:t>
            </w:r>
            <w:r>
              <w:rPr>
                <w:color w:val="000000"/>
              </w:rPr>
              <w:t> </w:t>
            </w:r>
          </w:p>
        </w:tc>
        <w:tc>
          <w:tcPr>
            <w:tcW w:w="1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269,160</w:t>
            </w:r>
            <w:r>
              <w:rPr>
                <w:color w:val="000000"/>
              </w:rPr>
              <w:t> </w:t>
            </w:r>
          </w:p>
        </w:tc>
        <w:tc>
          <w:tcPr>
            <w:tcW w:w="1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36.6</w:t>
            </w:r>
            <w:r>
              <w:rPr>
                <w:color w:val="000000"/>
              </w:rPr>
              <w:t> </w:t>
            </w:r>
          </w:p>
        </w:tc>
        <w:tc>
          <w:tcPr>
            <w:tcW w:w="6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98,527</w:t>
            </w:r>
            <w:r>
              <w:rPr>
                <w:color w:val="000000"/>
              </w:rPr>
              <w:t> </w:t>
            </w:r>
          </w:p>
        </w:tc>
        <w:tc>
          <w:tcPr>
            <w:tcW w:w="2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both"/>
      </w:pPr>
      <w:hyperlink w:anchor="ia22e01e7fdae4b968e9b46967ef89c75_7">
        <w:r>
          <w:rPr>
            <w:rStyle w:val="InternetLink"/>
            <w:rFonts w:ascii="Times New Roman;serif" w:hAnsi="Times New Roman;serif"/>
            <w:b w:val="false"/>
            <w:i/>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increase in revenue for three months ended September 30, 2026 as compared to the same period in 2025 reflects higher sales of single wafer cleaning, Tahoe and semi-critical cleaning equipment, ECP (front-end and packaging), furnace and other technologies, and Advanced packaging (excluding ECP), services and spares. We attribute the increase to a longer-term commitment by our mainland China-based customers to increase production capacity to achieve a greater share of the global semiconductor market together with the market share changes and product cycles.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Cost of Revenue and Gross Margin</w:t>
      </w:r>
    </w:p>
    <w:tbl>
      <w:tblPr>
        <w:tblW w:w="7969" w:type="dxa"/>
        <w:jc w:val="left"/>
        <w:tblInd w:w="0" w:type="dxa"/>
        <w:tblLayout w:type="fixed"/>
        <w:tblCellMar>
          <w:top w:w="28" w:type="dxa"/>
          <w:left w:w="28" w:type="dxa"/>
          <w:bottom w:w="28" w:type="dxa"/>
          <w:right w:w="28" w:type="dxa"/>
        </w:tblCellMar>
      </w:tblPr>
      <w:tblGrid>
        <w:gridCol w:w="506"/>
        <w:gridCol w:w="444"/>
        <w:gridCol w:w="446"/>
        <w:gridCol w:w="223"/>
        <w:gridCol w:w="875"/>
        <w:gridCol w:w="287"/>
        <w:gridCol w:w="115"/>
        <w:gridCol w:w="115"/>
        <w:gridCol w:w="115"/>
        <w:gridCol w:w="223"/>
        <w:gridCol w:w="875"/>
        <w:gridCol w:w="287"/>
        <w:gridCol w:w="109"/>
        <w:gridCol w:w="109"/>
        <w:gridCol w:w="109"/>
        <w:gridCol w:w="263"/>
        <w:gridCol w:w="263"/>
        <w:gridCol w:w="659"/>
        <w:gridCol w:w="109"/>
        <w:gridCol w:w="109"/>
        <w:gridCol w:w="109"/>
        <w:gridCol w:w="314"/>
        <w:gridCol w:w="1076"/>
        <w:gridCol w:w="229"/>
      </w:tblGrid>
      <w:tr>
        <w:tc>
          <w:tcPr>
            <w:tcW w:w="5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br/>
              <w:t> 2026 v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Absolute Change </w:t>
              <w:br/>
              <w:t>2026 v 2025</w:t>
            </w:r>
          </w:p>
        </w:tc>
      </w:tr>
      <w:t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9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2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215,275 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156,011 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659"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59,264 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152,412 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113,149 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6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39,263 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9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109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287"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287"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659"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 bps</w:t>
            </w:r>
          </w:p>
        </w:tc>
      </w:tr>
    </w:tbl>
    <w:p>
      <w:pPr>
        <w:pStyle w:val="TextBody"/>
        <w:bidi w:val="0"/>
        <w:spacing w:before="0" w:after="0"/>
        <w:jc w:val="both"/>
      </w:pPr>
      <w:r/>
    </w:p>
    <w:p>
      <w:pPr>
        <w:pStyle w:val="TextBody"/>
        <w:bidi w:val="0"/>
        <w:spacing w:lineRule="auto" w:line="288" w:before="0" w:after="0"/>
        <w:jc w:val="both"/>
      </w:pPr>
      <w:r>
        <w:rPr>
          <w:rFonts w:ascii="Times New Roman;serif" w:hAnsi="Times New Roman;serif"/>
          <w:b w:val="false"/>
          <w:color w:val="000000"/>
          <w:sz w:val="20"/>
        </w:rPr>
        <w:t>Cost of revenue and gross profit increased due to the increased sales volume together with a slight decrease in gross margin. The decrease in gross margin versus the prior-year period was primarily due to revenue mix between product categories, an impact from foreign exchange, and a higher provision for inventory</w:t>
      </w:r>
      <w:r>
        <w:rPr>
          <w:rFonts w:ascii="Times New Roman;serif" w:hAnsi="Times New Roman;serif"/>
          <w:b w:val="false"/>
          <w:color w:val="000000"/>
          <w:sz w:val="20"/>
          <w:shd w:fill="FFFFFF" w:val="clear"/>
        </w:rPr>
        <w:t xml:space="preserve">. Gross margin may vary from period to period, primarily related to the level of utilization and the timing and mix of revenue. We expect gross margin </w:t>
      </w:r>
      <w:r>
        <w:rPr>
          <w:rFonts w:ascii="Times New Roman;serif" w:hAnsi="Times New Roman;serif"/>
          <w:b w:val="false"/>
          <w:color w:val="000000"/>
          <w:sz w:val="20"/>
        </w:rPr>
        <w:t>to be between 42.0% and 48.0% for the f</w:t>
      </w:r>
      <w:r>
        <w:rPr>
          <w:rFonts w:ascii="Times New Roman;serif" w:hAnsi="Times New Roman;serif"/>
          <w:b w:val="false"/>
          <w:color w:val="000000"/>
          <w:sz w:val="20"/>
          <w:shd w:fill="FFFFFF" w:val="clear"/>
        </w:rPr>
        <w:t>oreseeable future.</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Operating Expenses</w:t>
      </w:r>
    </w:p>
    <w:tbl>
      <w:tblPr>
        <w:tblW w:w="9638" w:type="dxa"/>
        <w:jc w:val="left"/>
        <w:tblInd w:w="0" w:type="dxa"/>
        <w:tblLayout w:type="fixed"/>
        <w:tblCellMar>
          <w:top w:w="28" w:type="dxa"/>
          <w:left w:w="28" w:type="dxa"/>
          <w:bottom w:w="28" w:type="dxa"/>
          <w:right w:w="28" w:type="dxa"/>
        </w:tblCellMar>
      </w:tblPr>
      <w:tblGrid>
        <w:gridCol w:w="1093"/>
        <w:gridCol w:w="960"/>
        <w:gridCol w:w="963"/>
        <w:gridCol w:w="273"/>
        <w:gridCol w:w="934"/>
        <w:gridCol w:w="141"/>
        <w:gridCol w:w="141"/>
        <w:gridCol w:w="141"/>
        <w:gridCol w:w="141"/>
        <w:gridCol w:w="273"/>
        <w:gridCol w:w="934"/>
        <w:gridCol w:w="141"/>
        <w:gridCol w:w="109"/>
        <w:gridCol w:w="109"/>
        <w:gridCol w:w="109"/>
        <w:gridCol w:w="293"/>
        <w:gridCol w:w="278"/>
        <w:gridCol w:w="659"/>
        <w:gridCol w:w="109"/>
        <w:gridCol w:w="109"/>
        <w:gridCol w:w="109"/>
        <w:gridCol w:w="314"/>
        <w:gridCol w:w="1076"/>
        <w:gridCol w:w="229"/>
      </w:tblGrid>
      <w:tr>
        <w:tc>
          <w:tcPr>
            <w:tcW w:w="1093"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c>
          <w:tcPr>
            <w:tcW w:w="3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br/>
              <w:t> 2026 v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Absolute Change </w:t>
              <w:br/>
              <w:t>2026 v 2025</w:t>
            </w:r>
          </w:p>
        </w:tc>
      </w:tr>
      <w:tr>
        <w:tc>
          <w:tcPr>
            <w:tcW w:w="3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1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 expense</w:t>
            </w:r>
          </w:p>
        </w:tc>
        <w:tc>
          <w:tcPr>
            <w:tcW w:w="27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26,906 </w:t>
            </w:r>
          </w:p>
        </w:tc>
        <w:tc>
          <w:tcPr>
            <w:tcW w:w="14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22,311 </w:t>
            </w:r>
          </w:p>
        </w:tc>
        <w:tc>
          <w:tcPr>
            <w:tcW w:w="14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659"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4,595 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w:t>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51,372 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39,651 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6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11,721 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1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w:t>
            </w:r>
          </w:p>
        </w:tc>
        <w:tc>
          <w:tcPr>
            <w:tcW w:w="12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18,607 </w:t>
            </w:r>
          </w:p>
        </w:tc>
        <w:tc>
          <w:tcPr>
            <w:tcW w:w="14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22,264 </w:t>
            </w:r>
          </w:p>
        </w:tc>
        <w:tc>
          <w:tcPr>
            <w:tcW w:w="14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659"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(3,657)</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7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96,885 </w:t>
            </w:r>
          </w:p>
        </w:tc>
        <w:tc>
          <w:tcPr>
            <w:tcW w:w="14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84,226 </w:t>
            </w:r>
          </w:p>
        </w:tc>
        <w:tc>
          <w:tcPr>
            <w:tcW w:w="14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65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12,659 </w:t>
            </w:r>
          </w:p>
        </w:tc>
        <w:tc>
          <w:tcPr>
            <w:tcW w:w="22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pPr>
      <w:r/>
    </w:p>
    <w:p>
      <w:pPr>
        <w:pStyle w:val="TextBody"/>
        <w:bidi w:val="0"/>
        <w:spacing w:lineRule="auto" w:line="288" w:before="0" w:after="0"/>
        <w:jc w:val="both"/>
      </w:pPr>
      <w:r>
        <w:rPr>
          <w:rFonts w:ascii="Times New Roman;serif" w:hAnsi="Times New Roman;serif"/>
          <w:b w:val="false"/>
          <w:i/>
          <w:color w:val="000000"/>
          <w:sz w:val="20"/>
          <w:shd w:fill="FFFFFF" w:val="clear"/>
        </w:rPr>
        <w:t>Sales and marketing expense</w:t>
      </w:r>
      <w:r>
        <w:rPr>
          <w:color w:val="000000"/>
          <w:shd w:fill="FFFFFF" w:val="clear"/>
        </w:rPr>
        <w:t xml:space="preserve"> </w:t>
      </w:r>
      <w:r>
        <w:rPr>
          <w:rFonts w:ascii="Times New Roman;serif" w:hAnsi="Times New Roman;serif"/>
          <w:b w:val="false"/>
          <w:color w:val="000000"/>
          <w:sz w:val="20"/>
          <w:shd w:fill="FFFFFF" w:val="clear"/>
        </w:rPr>
        <w:t xml:space="preserve">increased </w:t>
      </w:r>
      <w:r>
        <w:rPr>
          <w:rFonts w:ascii="Times New Roman;serif" w:hAnsi="Times New Roman;serif"/>
          <w:b w:val="false"/>
          <w:color w:val="000000"/>
          <w:sz w:val="20"/>
        </w:rPr>
        <w:t xml:space="preserve">due to a $3.4 million increase in commissions, professional services, and other expenses, a $0.5 million increase in stock-based compensation, and a $0.7 million increase in personnel costs. </w:t>
      </w:r>
      <w:r>
        <w:rPr>
          <w:rFonts w:ascii="Times New Roman;serif" w:hAnsi="Times New Roman;serif"/>
          <w:b w:val="false"/>
          <w:color w:val="000000"/>
          <w:sz w:val="20"/>
          <w:shd w:fill="FFFFFF" w:val="clear"/>
        </w:rPr>
        <w:t xml:space="preserve">We expect that, for the foreseeable future, sales and marketing </w:t>
      </w:r>
      <w:r>
        <w:rPr>
          <w:rFonts w:ascii="Times New Roman;serif" w:hAnsi="Times New Roman;serif"/>
          <w:b w:val="false"/>
          <w:color w:val="000000"/>
          <w:sz w:val="20"/>
        </w:rPr>
        <w:t>expense</w:t>
      </w:r>
      <w:r>
        <w:rPr>
          <w:color w:val="000000"/>
          <w:shd w:fill="FFFFFF" w:val="clear"/>
        </w:rPr>
        <w:t xml:space="preserve"> </w:t>
      </w:r>
      <w:r>
        <w:rPr>
          <w:rFonts w:ascii="Times New Roman;serif" w:hAnsi="Times New Roman;serif"/>
          <w:b w:val="false"/>
          <w:color w:val="000000"/>
          <w:sz w:val="20"/>
          <w:shd w:fill="FFFFFF" w:val="clear"/>
        </w:rPr>
        <w:t xml:space="preserve">will increase in </w:t>
      </w:r>
      <w:r>
        <w:rPr>
          <w:rFonts w:ascii="Times New Roman;serif" w:hAnsi="Times New Roman;serif"/>
          <w:b w:val="false"/>
          <w:color w:val="000000"/>
          <w:sz w:val="20"/>
        </w:rPr>
        <w:t xml:space="preserve">absolute </w:t>
      </w:r>
      <w:r>
        <w:rPr>
          <w:rFonts w:ascii="Times New Roman;serif" w:hAnsi="Times New Roman;serif"/>
          <w:b w:val="false"/>
          <w:color w:val="000000"/>
          <w:sz w:val="20"/>
          <w:shd w:fill="FFFFFF" w:val="clear"/>
        </w:rPr>
        <w:t xml:space="preserve">dollars, as we </w:t>
      </w:r>
      <w:r>
        <w:rPr>
          <w:rFonts w:ascii="Times New Roman;serif" w:hAnsi="Times New Roman;serif"/>
          <w:b w:val="false"/>
          <w:color w:val="000000"/>
          <w:sz w:val="20"/>
        </w:rPr>
        <w:t>continue to invest in sales and marketing by hiring</w:t>
      </w:r>
      <w:r>
        <w:rPr>
          <w:color w:val="000000"/>
          <w:shd w:fill="FFFFFF" w:val="clear"/>
        </w:rPr>
        <w:t xml:space="preserve"> </w:t>
      </w:r>
      <w:r>
        <w:rPr>
          <w:rFonts w:ascii="Times New Roman;serif" w:hAnsi="Times New Roman;serif"/>
          <w:b w:val="false"/>
          <w:color w:val="000000"/>
          <w:sz w:val="20"/>
          <w:shd w:fill="FFFFFF" w:val="clear"/>
        </w:rPr>
        <w:t xml:space="preserve">additional </w:t>
      </w:r>
      <w:r>
        <w:rPr>
          <w:rFonts w:ascii="Times New Roman;serif" w:hAnsi="Times New Roman;serif"/>
          <w:b w:val="false"/>
          <w:color w:val="000000"/>
          <w:sz w:val="20"/>
        </w:rPr>
        <w:t xml:space="preserve">employees and expanding marketing programs in existing or new markets. We must invest in sales and marketing processes to develop and maintain close relationships with customers. We are making dollar-based investments to support the growth of </w:t>
      </w:r>
      <w:r>
        <w:rPr>
          <w:rFonts w:ascii="Times New Roman;serif" w:hAnsi="Times New Roman;serif"/>
          <w:b w:val="false"/>
          <w:color w:val="000000"/>
          <w:sz w:val="20"/>
          <w:shd w:fill="FFFFFF" w:val="clear"/>
        </w:rPr>
        <w:t xml:space="preserve">our customer base in </w:t>
      </w:r>
      <w:r>
        <w:rPr>
          <w:rFonts w:ascii="Times New Roman;serif" w:hAnsi="Times New Roman;serif"/>
          <w:b w:val="false"/>
          <w:color w:val="000000"/>
          <w:sz w:val="20"/>
        </w:rPr>
        <w:t>the United States and global markets</w:t>
      </w:r>
      <w:r>
        <w:rPr>
          <w:rFonts w:ascii="Times New Roman;serif" w:hAnsi="Times New Roman;serif"/>
          <w:b w:val="false"/>
          <w:color w:val="000000"/>
          <w:sz w:val="20"/>
          <w:shd w:fill="FFFFFF" w:val="clear"/>
        </w:rPr>
        <w:t>.</w:t>
      </w:r>
    </w:p>
    <w:p>
      <w:pPr>
        <w:pStyle w:val="TextBody"/>
        <w:bidi w:val="0"/>
        <w:spacing w:before="0" w:after="0"/>
        <w:jc w:val="both"/>
      </w:pPr>
      <w:r/>
    </w:p>
    <w:p>
      <w:pPr>
        <w:pStyle w:val="TextBody"/>
        <w:bidi w:val="0"/>
        <w:spacing w:lineRule="auto" w:line="288" w:before="0" w:after="0"/>
        <w:jc w:val="both"/>
      </w:pPr>
      <w:r>
        <w:rPr>
          <w:rFonts w:ascii="Times New Roman;serif" w:hAnsi="Times New Roman;serif"/>
          <w:b w:val="false"/>
          <w:i/>
          <w:color w:val="000000"/>
          <w:sz w:val="20"/>
          <w:shd w:fill="FFFFFF" w:val="clear"/>
        </w:rPr>
        <w:t>Res</w:t>
      </w:r>
      <w:r>
        <w:rPr>
          <w:rFonts w:ascii="Times New Roman;serif" w:hAnsi="Times New Roman;serif"/>
          <w:b w:val="false"/>
          <w:i/>
          <w:color w:val="000000"/>
          <w:sz w:val="20"/>
        </w:rPr>
        <w:t>earch and development expense</w:t>
      </w:r>
      <w:r>
        <w:rPr>
          <w:color w:val="000000"/>
        </w:rPr>
        <w:t xml:space="preserve"> </w:t>
      </w:r>
      <w:r>
        <w:rPr>
          <w:rFonts w:ascii="Times New Roman;serif" w:hAnsi="Times New Roman;serif"/>
          <w:b w:val="false"/>
          <w:color w:val="000000"/>
          <w:sz w:val="20"/>
        </w:rPr>
        <w:t>increased due to an increase of $3.0 million in personnel, a net increase of $3.8 million in depreciation, outside services and other research and development costs, an increase of $2.6 million in costs of components for tools built for product development purposes, and a $2.3 million increase in stock-based compensation. We expect that, for the foreseeable future, research and development expense will increase in absolute dollars as we continue to invest in research and development to advance our technologies. We intend to continue to invest in research and development to support and enhance our cleaning, plating, advanced packaging, furnace, track, PECVD and future product offerings to build and maintain our technology leadership position.</w:t>
      </w:r>
    </w:p>
    <w:p>
      <w:pPr>
        <w:pStyle w:val="TextBody"/>
        <w:bidi w:val="0"/>
        <w:spacing w:before="0" w:after="0"/>
        <w:jc w:val="both"/>
      </w:pPr>
      <w:r/>
    </w:p>
    <w:p>
      <w:pPr>
        <w:pStyle w:val="TextBody"/>
        <w:bidi w:val="0"/>
        <w:spacing w:lineRule="auto" w:line="288" w:before="0" w:after="0"/>
        <w:jc w:val="both"/>
      </w:pPr>
      <w:r>
        <w:rPr>
          <w:rFonts w:ascii="Times New Roman;serif" w:hAnsi="Times New Roman;serif"/>
          <w:b w:val="false"/>
          <w:i/>
          <w:color w:val="000000"/>
          <w:sz w:val="20"/>
          <w:shd w:fill="FFFFFF" w:val="clear"/>
        </w:rPr>
        <w:t xml:space="preserve">General and administrative expense </w:t>
      </w:r>
      <w:r>
        <w:rPr>
          <w:rFonts w:ascii="Times New Roman;serif" w:hAnsi="Times New Roman;serif"/>
          <w:b w:val="false"/>
          <w:color w:val="000000"/>
          <w:sz w:val="20"/>
          <w:shd w:fill="FFFFFF" w:val="clear"/>
        </w:rPr>
        <w:t>decreased primaril</w:t>
      </w:r>
      <w:r>
        <w:rPr>
          <w:rFonts w:ascii="Times New Roman;serif" w:hAnsi="Times New Roman;serif"/>
          <w:b w:val="false"/>
          <w:color w:val="000000"/>
          <w:sz w:val="20"/>
        </w:rPr>
        <w:t>y reflecting a $2.7 million decrease in allowance for credit losses</w:t>
      </w:r>
      <w:r>
        <w:rPr>
          <w:rFonts w:ascii="Times New Roman;serif" w:hAnsi="Times New Roman;serif"/>
          <w:b w:val="false"/>
          <w:color w:val="000000"/>
          <w:sz w:val="20"/>
          <w:shd w:fill="FFFFFF" w:val="clear"/>
        </w:rPr>
        <w:t xml:space="preserve">, a $1.1 million net decrease in personnel costs, professional services costs, and other costs related to general and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both"/>
      </w:pPr>
      <w:hyperlink w:anchor="ia22e01e7fdae4b968e9b46967ef89c75_7">
        <w:r>
          <w:rPr>
            <w:rStyle w:val="InternetLink"/>
            <w:rFonts w:ascii="Times New Roman;serif" w:hAnsi="Times New Roman;serif"/>
            <w:b w:val="false"/>
            <w:i/>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administrative expenses, partially offset by a $0.1 million increase in stock-based compensation. We expect that, for the foreseeable future, general and administrative expense will increase in absolute dollars, as we continue to invest in general and administrative by hiring additional employees and expanding in existing or new markets.</w:t>
      </w:r>
    </w:p>
    <w:p>
      <w:pPr>
        <w:pStyle w:val="TextBody"/>
        <w:bidi w:val="0"/>
        <w:spacing w:lineRule="auto" w:line="288" w:before="24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Interest income, Interest expense, and Other expense, net</w:t>
      </w:r>
    </w:p>
    <w:tbl>
      <w:tblPr>
        <w:tblW w:w="8284" w:type="dxa"/>
        <w:jc w:val="left"/>
        <w:tblInd w:w="0" w:type="dxa"/>
        <w:tblLayout w:type="fixed"/>
        <w:tblCellMar>
          <w:top w:w="28" w:type="dxa"/>
          <w:left w:w="28" w:type="dxa"/>
          <w:bottom w:w="28" w:type="dxa"/>
          <w:right w:w="28" w:type="dxa"/>
        </w:tblCellMar>
      </w:tblPr>
      <w:tblGrid>
        <w:gridCol w:w="587"/>
        <w:gridCol w:w="514"/>
        <w:gridCol w:w="519"/>
        <w:gridCol w:w="299"/>
        <w:gridCol w:w="874"/>
        <w:gridCol w:w="154"/>
        <w:gridCol w:w="154"/>
        <w:gridCol w:w="154"/>
        <w:gridCol w:w="154"/>
        <w:gridCol w:w="299"/>
        <w:gridCol w:w="874"/>
        <w:gridCol w:w="154"/>
        <w:gridCol w:w="109"/>
        <w:gridCol w:w="109"/>
        <w:gridCol w:w="109"/>
        <w:gridCol w:w="308"/>
        <w:gridCol w:w="308"/>
        <w:gridCol w:w="659"/>
        <w:gridCol w:w="109"/>
        <w:gridCol w:w="109"/>
        <w:gridCol w:w="109"/>
        <w:gridCol w:w="348"/>
        <w:gridCol w:w="1017"/>
        <w:gridCol w:w="254"/>
      </w:tblGrid>
      <w:tr>
        <w:tc>
          <w:tcPr>
            <w:tcW w:w="58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br/>
              <w:t> 2026 v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Absolute Change </w:t>
              <w:br/>
              <w:t>2026 v 2025</w:t>
            </w:r>
          </w:p>
        </w:tc>
      </w:tr>
      <w:t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2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99"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7,422 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3,100 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139.4 </w:t>
            </w:r>
          </w:p>
        </w:tc>
        <w:tc>
          <w:tcPr>
            <w:tcW w:w="659"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4,322 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6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2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17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(6,923)</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(3,411)</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659"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(3,512)</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lineRule="auto" w:line="288" w:before="0" w:after="0"/>
        <w:jc w:val="both"/>
      </w:pPr>
      <w:r>
        <w:rPr>
          <w:rFonts w:ascii="Times New Roman;serif" w:hAnsi="Times New Roman;serif"/>
          <w:b w:val="false"/>
          <w:color w:val="000000"/>
          <w:sz w:val="20"/>
        </w:rPr>
        <w:t xml:space="preserve">Other </w:t>
      </w:r>
      <w:r>
        <w:rPr>
          <w:rFonts w:ascii="Times New Roman;serif" w:hAnsi="Times New Roman;serif"/>
          <w:b w:val="false"/>
          <w:color w:val="000000"/>
          <w:sz w:val="20"/>
          <w:shd w:fill="FFFFFF" w:val="clear"/>
        </w:rPr>
        <w:t>expense, net primarily refle</w:t>
      </w:r>
      <w:r>
        <w:rPr>
          <w:rFonts w:ascii="Times New Roman;serif" w:hAnsi="Times New Roman;serif"/>
          <w:b w:val="false"/>
          <w:color w:val="000000"/>
          <w:sz w:val="20"/>
        </w:rPr>
        <w:t xml:space="preserve">cts (a) the impact of exchange rates between the RMB and U.S. dollar on our working capital which resulted in a loss of $18.2 million for the three months ended September 30, 2026, and a loss of $4.0 million in the three months ended September 30, 2025, and (b) government subsidies, as described under “—Mainland China Government Research and Development Funding” above, and (c) other factors. </w:t>
      </w:r>
    </w:p>
    <w:p>
      <w:pPr>
        <w:pStyle w:val="TextBody"/>
        <w:bidi w:val="0"/>
        <w:spacing w:lineRule="auto" w:line="288" w:before="240" w:after="283"/>
        <w:jc w:val="both"/>
      </w:pPr>
      <w:r>
        <w:rPr>
          <w:rFonts w:ascii="Times New Roman;serif" w:hAnsi="Times New Roman;serif"/>
          <w:b w:val="false"/>
          <w:i/>
          <w:color w:val="000000"/>
          <w:sz w:val="20"/>
        </w:rPr>
        <w:t>Realized and unrealized gain on short-term investments, and income from equity method investme</w:t>
      </w:r>
      <w:r>
        <w:rPr>
          <w:rFonts w:ascii="Times New Roman;serif" w:hAnsi="Times New Roman;serif"/>
          <w:b w:val="false"/>
          <w:i/>
          <w:color w:val="000000"/>
          <w:sz w:val="20"/>
          <w:shd w:fill="FFFFFF" w:val="clear"/>
        </w:rPr>
        <w:t>nts</w:t>
      </w:r>
    </w:p>
    <w:tbl>
      <w:tblPr>
        <w:tblW w:w="10205" w:type="dxa"/>
        <w:jc w:val="left"/>
        <w:tblInd w:w="0" w:type="dxa"/>
        <w:tblLayout w:type="fixed"/>
        <w:tblCellMar>
          <w:top w:w="28" w:type="dxa"/>
          <w:left w:w="28" w:type="dxa"/>
          <w:bottom w:w="28" w:type="dxa"/>
          <w:right w:w="28" w:type="dxa"/>
        </w:tblCellMar>
      </w:tblPr>
      <w:tblGrid>
        <w:gridCol w:w="1053"/>
        <w:gridCol w:w="926"/>
        <w:gridCol w:w="929"/>
        <w:gridCol w:w="377"/>
        <w:gridCol w:w="539"/>
        <w:gridCol w:w="163"/>
        <w:gridCol w:w="163"/>
        <w:gridCol w:w="163"/>
        <w:gridCol w:w="163"/>
        <w:gridCol w:w="354"/>
        <w:gridCol w:w="607"/>
        <w:gridCol w:w="163"/>
        <w:gridCol w:w="109"/>
        <w:gridCol w:w="109"/>
        <w:gridCol w:w="109"/>
        <w:gridCol w:w="333"/>
        <w:gridCol w:w="334"/>
        <w:gridCol w:w="618"/>
        <w:gridCol w:w="109"/>
        <w:gridCol w:w="109"/>
        <w:gridCol w:w="109"/>
        <w:gridCol w:w="412"/>
        <w:gridCol w:w="685"/>
        <w:gridCol w:w="209"/>
        <w:gridCol w:w="109"/>
        <w:gridCol w:w="109"/>
        <w:gridCol w:w="109"/>
        <w:gridCol w:w="109"/>
        <w:gridCol w:w="109"/>
        <w:gridCol w:w="109"/>
        <w:gridCol w:w="109"/>
        <w:gridCol w:w="109"/>
        <w:gridCol w:w="109"/>
        <w:gridCol w:w="109"/>
        <w:gridCol w:w="109"/>
        <w:gridCol w:w="161"/>
      </w:tblGrid>
      <w:tr>
        <w:tc>
          <w:tcPr>
            <w:tcW w:w="1053"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br/>
              <w:t> 2026 v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Absolute Change </w:t>
              <w:br/>
              <w:t>2026 v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0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Realized gain on short term investments</w:t>
            </w:r>
          </w:p>
        </w:tc>
        <w:tc>
          <w:tcPr>
            <w:tcW w:w="377"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9"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7"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18"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gain on short term investments</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(39,133)</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18,656 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(309.8)</w:t>
            </w:r>
          </w:p>
        </w:tc>
        <w:tc>
          <w:tcPr>
            <w:tcW w:w="6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(57,789)</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08"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(Loss) income from equity method investments</w:t>
            </w:r>
          </w:p>
        </w:tc>
        <w:tc>
          <w:tcPr>
            <w:tcW w:w="91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(7,140)</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3,670 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(294.6)</w:t>
            </w:r>
          </w:p>
        </w:tc>
        <w:tc>
          <w:tcPr>
            <w:tcW w:w="6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(10,810)</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unrealized loss on short term investments for the three months ended September 30, 2026, primarily reflects a significant decline in the market value of certain of our publicly traded stocks which are listed on the Shanghai Stock Exchange. The loss from equity investments for the three months ended September 30, 2026 due to a decrease in net income from the investments in affiliates.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both"/>
      </w:pPr>
      <w:hyperlink w:anchor="ia22e01e7fdae4b968e9b46967ef89c75_7">
        <w:r>
          <w:rPr>
            <w:rStyle w:val="InternetLink"/>
            <w:rFonts w:ascii="Times New Roman;serif" w:hAnsi="Times New Roman;serif"/>
            <w:b w:val="false"/>
            <w:i/>
            <w:color w:val="0000FF"/>
            <w:sz w:val="16"/>
            <w:u w:val="single"/>
          </w:rPr>
          <w:t>Table of Contents</w:t>
        </w:r>
      </w:hyperlink>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Income Tax Expense </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presents components of income tax expense for the indicated periods:</w:t>
      </w:r>
    </w:p>
    <w:tbl>
      <w:tblPr>
        <w:tblW w:w="4889" w:type="dxa"/>
        <w:jc w:val="left"/>
        <w:tblInd w:w="0" w:type="dxa"/>
        <w:tblLayout w:type="fixed"/>
        <w:tblCellMar>
          <w:top w:w="28" w:type="dxa"/>
          <w:left w:w="28" w:type="dxa"/>
          <w:bottom w:w="28" w:type="dxa"/>
          <w:right w:w="28" w:type="dxa"/>
        </w:tblCellMar>
      </w:tblPr>
      <w:tblGrid>
        <w:gridCol w:w="625"/>
        <w:gridCol w:w="550"/>
        <w:gridCol w:w="551"/>
        <w:gridCol w:w="279"/>
        <w:gridCol w:w="913"/>
        <w:gridCol w:w="144"/>
        <w:gridCol w:w="144"/>
        <w:gridCol w:w="144"/>
        <w:gridCol w:w="144"/>
        <w:gridCol w:w="279"/>
        <w:gridCol w:w="913"/>
        <w:gridCol w:w="203"/>
      </w:tblGrid>
      <w:tr>
        <w:tc>
          <w:tcPr>
            <w:tcW w:w="625"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c>
          <w:tcPr>
            <w:tcW w:w="1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r>
      <w:tr>
        <w:tc>
          <w:tcPr>
            <w:tcW w:w="1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1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3" w:type="dxa"/>
            <w:gridSpan w:val="9"/>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r>
      <w:tr>
        <w:tc>
          <w:tcPr>
            <w:tcW w:w="17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27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(1,886)</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(2,689)</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tax expense for the three months ended September 30, 2026 primarily resulted from tax effect of a decrease in pre-tax income for the period.</w:t>
      </w:r>
    </w:p>
    <w:p>
      <w:pPr>
        <w:pStyle w:val="TextBody"/>
        <w:bidi w:val="0"/>
        <w:spacing w:before="0" w:after="0"/>
        <w:jc w:val="left"/>
      </w:p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Net Income Attributable to Non-Controlling Interests</w:t>
      </w:r>
    </w:p>
    <w:tbl>
      <w:tblPr>
        <w:tblW w:w="10205" w:type="dxa"/>
        <w:jc w:val="left"/>
        <w:tblInd w:w="0" w:type="dxa"/>
        <w:tblLayout w:type="fixed"/>
        <w:tblCellMar>
          <w:top w:w="28" w:type="dxa"/>
          <w:left w:w="28" w:type="dxa"/>
          <w:bottom w:w="28" w:type="dxa"/>
          <w:right w:w="28" w:type="dxa"/>
        </w:tblCellMar>
      </w:tblPr>
      <w:tblGrid>
        <w:gridCol w:w="1388"/>
        <w:gridCol w:w="1219"/>
        <w:gridCol w:w="1225"/>
        <w:gridCol w:w="272"/>
        <w:gridCol w:w="798"/>
        <w:gridCol w:w="140"/>
        <w:gridCol w:w="140"/>
        <w:gridCol w:w="140"/>
        <w:gridCol w:w="140"/>
        <w:gridCol w:w="272"/>
        <w:gridCol w:w="934"/>
        <w:gridCol w:w="140"/>
        <w:gridCol w:w="109"/>
        <w:gridCol w:w="109"/>
        <w:gridCol w:w="109"/>
        <w:gridCol w:w="288"/>
        <w:gridCol w:w="288"/>
        <w:gridCol w:w="641"/>
        <w:gridCol w:w="109"/>
        <w:gridCol w:w="109"/>
        <w:gridCol w:w="109"/>
        <w:gridCol w:w="304"/>
        <w:gridCol w:w="990"/>
        <w:gridCol w:w="232"/>
      </w:tblGrid>
      <w:tr>
        <w:tc>
          <w:tcPr>
            <w:tcW w:w="1388"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c>
          <w:tcPr>
            <w:tcW w:w="3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br/>
              <w:t> 2026 v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Absolute Change </w:t>
              <w:br/>
              <w:t>2026 v 2025</w:t>
            </w:r>
          </w:p>
        </w:tc>
      </w:tr>
      <w:tr>
        <w:tc>
          <w:tcPr>
            <w:tcW w:w="3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3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272"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4,779 </w:t>
            </w:r>
          </w:p>
        </w:tc>
        <w:tc>
          <w:tcPr>
            <w:tcW w:w="14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4"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10,509 </w:t>
            </w:r>
          </w:p>
        </w:tc>
        <w:tc>
          <w:tcPr>
            <w:tcW w:w="14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(54.5)</w:t>
            </w:r>
          </w:p>
        </w:tc>
        <w:tc>
          <w:tcPr>
            <w:tcW w:w="64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(5,730)</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ACM Research owns 72.8% of ACM Shanghai’s (note 1) outstanding shares, which is reflected in our condensed consolidated financial statements. We reflect the portion of net income allocable to the minority holders of ACM Shanghai shares as net income attributable to non-controlling interests. The significant decrease was due to the overall decrease in net income.</w:t>
      </w:r>
    </w:p>
    <w:p>
      <w:pPr>
        <w:pStyle w:val="TextBody"/>
        <w:bidi w:val="0"/>
        <w:spacing w:lineRule="auto" w:line="288" w:before="24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Foreign currency translation adjustment</w:t>
      </w:r>
    </w:p>
    <w:tbl>
      <w:tblPr>
        <w:tblW w:w="10022" w:type="dxa"/>
        <w:jc w:val="left"/>
        <w:tblInd w:w="0" w:type="dxa"/>
        <w:tblLayout w:type="fixed"/>
        <w:tblCellMar>
          <w:top w:w="28" w:type="dxa"/>
          <w:left w:w="28" w:type="dxa"/>
          <w:bottom w:w="28" w:type="dxa"/>
          <w:right w:w="28" w:type="dxa"/>
        </w:tblCellMar>
      </w:tblPr>
      <w:tblGrid>
        <w:gridCol w:w="1217"/>
        <w:gridCol w:w="1069"/>
        <w:gridCol w:w="1073"/>
        <w:gridCol w:w="285"/>
        <w:gridCol w:w="976"/>
        <w:gridCol w:w="147"/>
        <w:gridCol w:w="147"/>
        <w:gridCol w:w="147"/>
        <w:gridCol w:w="147"/>
        <w:gridCol w:w="285"/>
        <w:gridCol w:w="834"/>
        <w:gridCol w:w="147"/>
        <w:gridCol w:w="109"/>
        <w:gridCol w:w="109"/>
        <w:gridCol w:w="109"/>
        <w:gridCol w:w="308"/>
        <w:gridCol w:w="308"/>
        <w:gridCol w:w="659"/>
        <w:gridCol w:w="109"/>
        <w:gridCol w:w="109"/>
        <w:gridCol w:w="109"/>
        <w:gridCol w:w="314"/>
        <w:gridCol w:w="1076"/>
        <w:gridCol w:w="229"/>
      </w:tblGrid>
      <w:tr>
        <w:tc>
          <w:tcPr>
            <w:tcW w:w="1217"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br/>
              <w:t> 2026 v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Absolute Change </w:t>
              <w:br/>
              <w:t>2026 v 2025</w:t>
            </w:r>
          </w:p>
        </w:tc>
      </w:tr>
      <w:t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5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285"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25,290 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9,899 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155.5 </w:t>
            </w:r>
          </w:p>
        </w:tc>
        <w:tc>
          <w:tcPr>
            <w:tcW w:w="659"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15,391 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pPr>
      <w:r/>
    </w:p>
    <w:p>
      <w:pPr>
        <w:pStyle w:val="TextBody"/>
        <w:bidi w:val="0"/>
        <w:spacing w:lineRule="auto" w:line="288" w:before="0" w:after="0"/>
        <w:jc w:val="both"/>
      </w:pPr>
      <w:r>
        <w:rPr>
          <w:rFonts w:ascii="Times New Roman;serif" w:hAnsi="Times New Roman;serif"/>
          <w:b w:val="false"/>
          <w:color w:val="000000"/>
          <w:sz w:val="20"/>
        </w:rPr>
        <w:t>We recorded a gain of</w:t>
      </w:r>
      <w:r>
        <w:rPr>
          <w:color w:val="000000"/>
          <w:shd w:fill="FFFFFF" w:val="clear"/>
        </w:rPr>
        <w:t xml:space="preserve"> </w:t>
      </w:r>
      <w:r>
        <w:rPr>
          <w:rFonts w:ascii="Times New Roman;serif" w:hAnsi="Times New Roman;serif"/>
          <w:b w:val="false"/>
          <w:color w:val="000000"/>
          <w:sz w:val="20"/>
          <w:shd w:fill="FFFFFF" w:val="clear"/>
        </w:rPr>
        <w:t xml:space="preserve">foreign currency translation adjustment primarily </w:t>
      </w:r>
      <w:r>
        <w:rPr>
          <w:rFonts w:ascii="Times New Roman;serif" w:hAnsi="Times New Roman;serif"/>
          <w:b w:val="false"/>
          <w:color w:val="000000"/>
          <w:sz w:val="20"/>
        </w:rPr>
        <w:t>due to</w:t>
      </w:r>
      <w:r>
        <w:rPr>
          <w:color w:val="000000"/>
          <w:shd w:fill="FFFFFF" w:val="clear"/>
        </w:rPr>
        <w:t xml:space="preserve"> </w:t>
      </w:r>
      <w:r>
        <w:rPr>
          <w:rFonts w:ascii="Times New Roman;serif" w:hAnsi="Times New Roman;serif"/>
          <w:b w:val="false"/>
          <w:color w:val="000000"/>
          <w:sz w:val="20"/>
          <w:shd w:fill="FFFFFF" w:val="clear"/>
        </w:rPr>
        <w:t xml:space="preserve">the </w:t>
      </w:r>
      <w:r>
        <w:rPr>
          <w:rFonts w:ascii="Times New Roman;serif" w:hAnsi="Times New Roman;serif"/>
          <w:b w:val="false"/>
          <w:color w:val="000000"/>
          <w:sz w:val="20"/>
        </w:rPr>
        <w:t>strengthening</w:t>
      </w:r>
      <w:r>
        <w:rPr>
          <w:color w:val="000000"/>
          <w:shd w:fill="FFFFFF" w:val="clear"/>
        </w:rPr>
        <w:t xml:space="preserve"> </w:t>
      </w:r>
      <w:r>
        <w:rPr>
          <w:rFonts w:ascii="Times New Roman;serif" w:hAnsi="Times New Roman;serif"/>
          <w:b w:val="false"/>
          <w:color w:val="000000"/>
          <w:sz w:val="20"/>
          <w:shd w:fill="FFFFFF" w:val="clear"/>
        </w:rPr>
        <w:t>of RMB to</w:t>
      </w:r>
      <w:r>
        <w:rPr>
          <w:color w:val="000000"/>
        </w:rPr>
        <w:t xml:space="preserve"> </w:t>
      </w:r>
      <w:r>
        <w:rPr>
          <w:rFonts w:ascii="Times New Roman;serif" w:hAnsi="Times New Roman;serif"/>
          <w:b w:val="false"/>
          <w:color w:val="000000"/>
          <w:sz w:val="20"/>
        </w:rPr>
        <w:t>U.S.</w:t>
      </w:r>
      <w:r>
        <w:rPr>
          <w:color w:val="000000"/>
          <w:shd w:fill="FFFFFF" w:val="clear"/>
        </w:rPr>
        <w:t xml:space="preserve"> </w:t>
      </w:r>
      <w:r>
        <w:rPr>
          <w:rFonts w:ascii="Times New Roman;serif" w:hAnsi="Times New Roman;serif"/>
          <w:b w:val="false"/>
          <w:color w:val="000000"/>
          <w:sz w:val="20"/>
          <w:shd w:fill="FFFFFF" w:val="clear"/>
        </w:rPr>
        <w:t xml:space="preserve">dollar exchange rate fluctuations for the period on the converted value of ACM Shanghai’s RMB-denominated balances to U.S. dollar equivalents.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both"/>
      </w:pPr>
      <w:hyperlink w:anchor="ia22e01e7fdae4b968e9b46967ef89c75_7">
        <w:r>
          <w:rPr>
            <w:rStyle w:val="InternetLink"/>
            <w:rFonts w:ascii="Times New Roman;serif" w:hAnsi="Times New Roman;serif"/>
            <w:b w:val="false"/>
            <w:i/>
            <w:color w:val="0000FF"/>
            <w:sz w:val="16"/>
            <w:u w:val="single"/>
          </w:rPr>
          <w:t>Table of Contents</w:t>
        </w:r>
      </w:hyperlink>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Comprehensive income attributable to non-controlling interests </w:t>
      </w:r>
    </w:p>
    <w:p>
      <w:pPr>
        <w:pStyle w:val="TextBody"/>
        <w:bidi w:val="0"/>
        <w:spacing w:before="0" w:after="0"/>
        <w:jc w:val="left"/>
      </w:pPr>
      <w:r/>
    </w:p>
    <w:tbl>
      <w:tblPr>
        <w:tblW w:w="10205" w:type="dxa"/>
        <w:jc w:val="left"/>
        <w:tblInd w:w="0" w:type="dxa"/>
        <w:tblLayout w:type="fixed"/>
        <w:tblCellMar>
          <w:top w:w="28" w:type="dxa"/>
          <w:left w:w="28" w:type="dxa"/>
          <w:bottom w:w="28" w:type="dxa"/>
          <w:right w:w="28" w:type="dxa"/>
        </w:tblCellMar>
      </w:tblPr>
      <w:tblGrid>
        <w:gridCol w:w="1466"/>
        <w:gridCol w:w="1288"/>
        <w:gridCol w:w="1294"/>
        <w:gridCol w:w="253"/>
        <w:gridCol w:w="865"/>
        <w:gridCol w:w="130"/>
        <w:gridCol w:w="130"/>
        <w:gridCol w:w="130"/>
        <w:gridCol w:w="130"/>
        <w:gridCol w:w="253"/>
        <w:gridCol w:w="865"/>
        <w:gridCol w:w="130"/>
        <w:gridCol w:w="109"/>
        <w:gridCol w:w="109"/>
        <w:gridCol w:w="109"/>
        <w:gridCol w:w="283"/>
        <w:gridCol w:w="283"/>
        <w:gridCol w:w="624"/>
        <w:gridCol w:w="109"/>
        <w:gridCol w:w="109"/>
        <w:gridCol w:w="109"/>
        <w:gridCol w:w="287"/>
        <w:gridCol w:w="922"/>
        <w:gridCol w:w="218"/>
      </w:tblGrid>
      <w:tr>
        <w:tc>
          <w:tcPr>
            <w:tcW w:w="1466"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c>
          <w:tcPr>
            <w:tcW w:w="4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br/>
              <w:t> 2026 v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Absolute Change </w:t>
              <w:br/>
              <w:t>2026 v 2025</w:t>
            </w:r>
          </w:p>
        </w:tc>
      </w:tr>
      <w:tr>
        <w:tc>
          <w:tcPr>
            <w:tcW w:w="4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48"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non-controlling interests</w:t>
            </w:r>
          </w:p>
        </w:tc>
        <w:tc>
          <w:tcPr>
            <w:tcW w:w="25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11,576 </w:t>
            </w:r>
          </w:p>
        </w:tc>
        <w:tc>
          <w:tcPr>
            <w:tcW w:w="1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13,017 </w:t>
            </w:r>
          </w:p>
        </w:tc>
        <w:tc>
          <w:tcPr>
            <w:tcW w:w="1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624"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(1,441)</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Comprehensive income attributable to non-controlling interests represents the portions of ACM Shanghai's operating results attributable to shares of ACM Shanghai stock held by unaffiliated shareholders.</w:t>
      </w:r>
    </w:p>
    <w:p>
      <w:pPr>
        <w:pStyle w:val="TextBody"/>
        <w:bidi w:val="0"/>
        <w:spacing w:lineRule="auto" w:line="288" w:before="24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Comparison of Nine Months Ended September 30, 2026 and 2025</w:t>
      </w:r>
    </w:p>
    <w:p>
      <w:pPr>
        <w:pStyle w:val="TextBody"/>
        <w:bidi w:val="0"/>
        <w:spacing w:lineRule="auto" w:line="288" w:before="24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Revenue</w:t>
      </w:r>
    </w:p>
    <w:tbl>
      <w:tblPr>
        <w:tblW w:w="10205" w:type="dxa"/>
        <w:jc w:val="left"/>
        <w:tblInd w:w="0" w:type="dxa"/>
        <w:tblLayout w:type="fixed"/>
        <w:tblCellMar>
          <w:top w:w="28" w:type="dxa"/>
          <w:left w:w="28" w:type="dxa"/>
          <w:bottom w:w="28" w:type="dxa"/>
          <w:right w:w="28" w:type="dxa"/>
        </w:tblCellMar>
      </w:tblPr>
      <w:tblGrid>
        <w:gridCol w:w="1565"/>
        <w:gridCol w:w="1363"/>
        <w:gridCol w:w="1370"/>
        <w:gridCol w:w="254"/>
        <w:gridCol w:w="1016"/>
        <w:gridCol w:w="131"/>
        <w:gridCol w:w="254"/>
        <w:gridCol w:w="1016"/>
        <w:gridCol w:w="131"/>
        <w:gridCol w:w="308"/>
        <w:gridCol w:w="308"/>
        <w:gridCol w:w="656"/>
        <w:gridCol w:w="109"/>
        <w:gridCol w:w="109"/>
        <w:gridCol w:w="109"/>
        <w:gridCol w:w="262"/>
        <w:gridCol w:w="1048"/>
        <w:gridCol w:w="196"/>
      </w:tblGrid>
      <w:tr>
        <w:tc>
          <w:tcPr>
            <w:tcW w:w="1565"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c>
          <w:tcPr>
            <w:tcW w:w="42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2"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2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br/>
              <w:t> 2026 v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Absolute Change </w:t>
              <w:br/>
              <w:t>2026 v 2025</w:t>
            </w:r>
          </w:p>
        </w:tc>
      </w:tr>
      <w:tr>
        <w:tc>
          <w:tcPr>
            <w:tcW w:w="4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2"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98"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r>
      <w:tr>
        <w:tc>
          <w:tcPr>
            <w:tcW w:w="4298"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ind w:left="0" w:right="0" w:hanging="180"/>
              <w:jc w:val="left"/>
              <w:rPr>
                <w:sz w:val="4"/>
                <w:szCs w:val="4"/>
              </w:rPr>
            </w:pPr>
            <w:r>
              <w:rPr>
                <w:sz w:val="4"/>
                <w:szCs w:val="4"/>
              </w:rPr>
            </w:r>
          </w:p>
        </w:tc>
      </w:tr>
      <w:tr>
        <w:tc>
          <w:tcPr>
            <w:tcW w:w="42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Single wafer cleaning, Tahoe and semi-critical cleaning equipment</w:t>
            </w:r>
          </w:p>
        </w:tc>
        <w:tc>
          <w:tcPr>
            <w:tcW w:w="2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466,181 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466,100 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9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42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ECP (front-end and packaging), furnace and other technologies</w:t>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322,254 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135,499 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137.8 </w:t>
            </w:r>
          </w:p>
        </w:tc>
        <w:tc>
          <w:tcPr>
            <w:tcW w:w="6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186,755 </w:t>
            </w:r>
          </w:p>
        </w:tc>
        <w:tc>
          <w:tcPr>
            <w:tcW w:w="19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42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Advanced packaging (excluding ECP), services &amp; spares</w:t>
            </w:r>
          </w:p>
        </w:tc>
        <w:tc>
          <w:tcPr>
            <w:tcW w:w="12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103,434 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55,280 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87.1 </w:t>
            </w:r>
          </w:p>
        </w:tc>
        <w:tc>
          <w:tcPr>
            <w:tcW w:w="65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48,154 </w:t>
            </w:r>
          </w:p>
        </w:tc>
        <w:tc>
          <w:tcPr>
            <w:tcW w:w="19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42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Revenue by Product Category</w:t>
            </w:r>
          </w:p>
        </w:tc>
        <w:tc>
          <w:tcPr>
            <w:tcW w:w="2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891,869</w:t>
            </w:r>
            <w:r>
              <w:rPr>
                <w:color w:val="000000"/>
              </w:rPr>
              <w:t> </w:t>
            </w:r>
          </w:p>
        </w:tc>
        <w:tc>
          <w:tcPr>
            <w:tcW w:w="1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656,879</w:t>
            </w:r>
            <w:r>
              <w:rPr>
                <w:color w:val="000000"/>
              </w:rPr>
              <w:t> </w:t>
            </w:r>
          </w:p>
        </w:tc>
        <w:tc>
          <w:tcPr>
            <w:tcW w:w="1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35.8</w:t>
            </w:r>
            <w:r>
              <w:rPr>
                <w:color w:val="000000"/>
              </w:rPr>
              <w:t> </w:t>
            </w:r>
          </w:p>
        </w:tc>
        <w:tc>
          <w:tcPr>
            <w:tcW w:w="6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234,990</w:t>
            </w:r>
            <w:r>
              <w:rPr>
                <w:color w:val="000000"/>
              </w:rPr>
              <w:t>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increase in revenue reflects higher sales of ECP (front-end and packaging), furnace and other technologies and Advanced packaging (excluding ECP), services and spares. We attribute the increase to a longer-term commitment by our mainland China-based customers to increase production capacity to achieve a greater share of the global semiconductor market together with the market share changes and product cycles.</w:t>
      </w:r>
    </w:p>
    <w:p>
      <w:pPr>
        <w:pStyle w:val="TextBody"/>
        <w:bidi w:val="0"/>
        <w:spacing w:lineRule="auto" w:line="288" w:before="24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Cost of Revenue and Gross Margin</w:t>
      </w:r>
    </w:p>
    <w:tbl>
      <w:tblPr>
        <w:tblW w:w="7854" w:type="dxa"/>
        <w:jc w:val="left"/>
        <w:tblInd w:w="0" w:type="dxa"/>
        <w:tblLayout w:type="fixed"/>
        <w:tblCellMar>
          <w:top w:w="28" w:type="dxa"/>
          <w:left w:w="28" w:type="dxa"/>
          <w:bottom w:w="28" w:type="dxa"/>
          <w:right w:w="28" w:type="dxa"/>
        </w:tblCellMar>
      </w:tblPr>
      <w:tblGrid>
        <w:gridCol w:w="506"/>
        <w:gridCol w:w="444"/>
        <w:gridCol w:w="446"/>
        <w:gridCol w:w="215"/>
        <w:gridCol w:w="842"/>
        <w:gridCol w:w="276"/>
        <w:gridCol w:w="111"/>
        <w:gridCol w:w="111"/>
        <w:gridCol w:w="111"/>
        <w:gridCol w:w="215"/>
        <w:gridCol w:w="842"/>
        <w:gridCol w:w="276"/>
        <w:gridCol w:w="109"/>
        <w:gridCol w:w="109"/>
        <w:gridCol w:w="109"/>
        <w:gridCol w:w="263"/>
        <w:gridCol w:w="263"/>
        <w:gridCol w:w="659"/>
        <w:gridCol w:w="109"/>
        <w:gridCol w:w="109"/>
        <w:gridCol w:w="109"/>
        <w:gridCol w:w="287"/>
        <w:gridCol w:w="1124"/>
        <w:gridCol w:w="209"/>
      </w:tblGrid>
      <w:tr>
        <w:tc>
          <w:tcPr>
            <w:tcW w:w="5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br/>
              <w:t> 2026 v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Absolute Change </w:t>
              <w:br/>
              <w:t>2026 v 2025</w:t>
            </w:r>
          </w:p>
        </w:tc>
      </w:tr>
      <w:t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9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5"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497,601 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356,719 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659"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4"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140,882 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394,268 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300,160 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6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94,108 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9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10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27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45.7 </w:t>
            </w:r>
          </w:p>
        </w:tc>
        <w:tc>
          <w:tcPr>
            <w:tcW w:w="27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659"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 bps)</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Cost of revenue and gross profit increased due to the increased sales volume, partly offset by a decrease in gross margin. The decrease in gross margin versus the prior-year period was primarily due to revenue mix between product categories, an impact from foreign exchange, and a higher provision for inventory.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both"/>
      </w:pPr>
      <w:hyperlink w:anchor="ia22e01e7fdae4b968e9b46967ef89c75_7">
        <w:r>
          <w:rPr>
            <w:rStyle w:val="InternetLink"/>
            <w:rFonts w:ascii="Times New Roman;serif" w:hAnsi="Times New Roman;serif"/>
            <w:b w:val="false"/>
            <w:i/>
            <w:color w:val="0000FF"/>
            <w:sz w:val="16"/>
            <w:u w:val="single"/>
          </w:rPr>
          <w:t>Table of Contents</w:t>
        </w:r>
      </w:hyperlink>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Operating Expenses</w:t>
      </w:r>
    </w:p>
    <w:tbl>
      <w:tblPr>
        <w:tblW w:w="9468" w:type="dxa"/>
        <w:jc w:val="left"/>
        <w:tblInd w:w="0" w:type="dxa"/>
        <w:tblLayout w:type="fixed"/>
        <w:tblCellMar>
          <w:top w:w="28" w:type="dxa"/>
          <w:left w:w="28" w:type="dxa"/>
          <w:bottom w:w="28" w:type="dxa"/>
          <w:right w:w="28" w:type="dxa"/>
        </w:tblCellMar>
      </w:tblPr>
      <w:tblGrid>
        <w:gridCol w:w="1093"/>
        <w:gridCol w:w="960"/>
        <w:gridCol w:w="963"/>
        <w:gridCol w:w="241"/>
        <w:gridCol w:w="946"/>
        <w:gridCol w:w="124"/>
        <w:gridCol w:w="124"/>
        <w:gridCol w:w="124"/>
        <w:gridCol w:w="124"/>
        <w:gridCol w:w="241"/>
        <w:gridCol w:w="946"/>
        <w:gridCol w:w="124"/>
        <w:gridCol w:w="109"/>
        <w:gridCol w:w="109"/>
        <w:gridCol w:w="109"/>
        <w:gridCol w:w="263"/>
        <w:gridCol w:w="263"/>
        <w:gridCol w:w="659"/>
        <w:gridCol w:w="109"/>
        <w:gridCol w:w="109"/>
        <w:gridCol w:w="109"/>
        <w:gridCol w:w="314"/>
        <w:gridCol w:w="1076"/>
        <w:gridCol w:w="229"/>
      </w:tblGrid>
      <w:tr>
        <w:tc>
          <w:tcPr>
            <w:tcW w:w="1093"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c>
          <w:tcPr>
            <w:tcW w:w="3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br/>
              <w:t> 2026 v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Absolute Change </w:t>
              <w:br/>
              <w:t>2026 v 2025</w:t>
            </w:r>
          </w:p>
        </w:tc>
      </w:tr>
      <w:tr>
        <w:tc>
          <w:tcPr>
            <w:tcW w:w="3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1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 expense</w:t>
            </w:r>
          </w:p>
        </w:tc>
        <w:tc>
          <w:tcPr>
            <w:tcW w:w="24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71,372 </w:t>
            </w:r>
          </w:p>
        </w:tc>
        <w:tc>
          <w:tcPr>
            <w:tcW w:w="12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60,756 </w:t>
            </w:r>
          </w:p>
        </w:tc>
        <w:tc>
          <w:tcPr>
            <w:tcW w:w="12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659"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10,616 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130,175 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100,971 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6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29,204 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1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51,274 </w:t>
            </w:r>
          </w:p>
        </w:tc>
        <w:tc>
          <w:tcPr>
            <w:tcW w:w="12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52,039 </w:t>
            </w:r>
          </w:p>
        </w:tc>
        <w:tc>
          <w:tcPr>
            <w:tcW w:w="12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659"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(765)</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252,821 </w:t>
            </w:r>
          </w:p>
        </w:tc>
        <w:tc>
          <w:tcPr>
            <w:tcW w:w="1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213,766 </w:t>
            </w:r>
          </w:p>
        </w:tc>
        <w:tc>
          <w:tcPr>
            <w:tcW w:w="1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6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39,055 </w:t>
            </w:r>
          </w:p>
        </w:tc>
        <w:tc>
          <w:tcPr>
            <w:tcW w:w="2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pPr>
      <w:r/>
    </w:p>
    <w:p>
      <w:pPr>
        <w:pStyle w:val="TextBody"/>
        <w:bidi w:val="0"/>
        <w:spacing w:lineRule="auto" w:line="288" w:before="0" w:after="0"/>
        <w:jc w:val="both"/>
      </w:pPr>
      <w:r>
        <w:rPr>
          <w:rFonts w:ascii="Times New Roman;serif" w:hAnsi="Times New Roman;serif"/>
          <w:b w:val="false"/>
          <w:i/>
          <w:color w:val="000000"/>
          <w:sz w:val="20"/>
        </w:rPr>
        <w:t>Sales and marketing expense</w:t>
      </w:r>
      <w:r>
        <w:rPr>
          <w:color w:val="000000"/>
        </w:rPr>
        <w:t xml:space="preserve"> </w:t>
      </w:r>
      <w:r>
        <w:rPr>
          <w:rFonts w:ascii="Times New Roman;serif" w:hAnsi="Times New Roman;serif"/>
          <w:b w:val="false"/>
          <w:color w:val="000000"/>
          <w:sz w:val="20"/>
        </w:rPr>
        <w:t>increased due to a $4.3 million increase in commissions and travel and entertainment, a $3.7 million increase in personnel costs, a $1.8 million net increase in professional services, outside services and other sales and marketing related expenses, and a $1.7 million increase in promotional tools, offset by a $0.9 million decrease in stock-based compensation.</w:t>
      </w:r>
    </w:p>
    <w:p>
      <w:pPr>
        <w:pStyle w:val="TextBody"/>
        <w:bidi w:val="0"/>
        <w:spacing w:lineRule="auto" w:line="288" w:before="240" w:after="283"/>
        <w:jc w:val="both"/>
      </w:pPr>
      <w:r>
        <w:rPr>
          <w:rFonts w:ascii="Times New Roman;serif" w:hAnsi="Times New Roman;serif"/>
          <w:b w:val="false"/>
          <w:i/>
          <w:color w:val="000000"/>
          <w:sz w:val="20"/>
        </w:rPr>
        <w:t>Research and development expense</w:t>
      </w:r>
      <w:r>
        <w:rPr>
          <w:color w:val="000000"/>
        </w:rPr>
        <w:t xml:space="preserve"> </w:t>
      </w:r>
      <w:r>
        <w:rPr>
          <w:rFonts w:ascii="Times New Roman;serif" w:hAnsi="Times New Roman;serif"/>
          <w:b w:val="false"/>
          <w:color w:val="000000"/>
          <w:sz w:val="20"/>
        </w:rPr>
        <w:t>increased due to a $10.4 million increase in personnel costs, a $9.3 million increase in costs of components for tools built for product development purposes, an increase of $5.6 million in depreciation expense, an increase of $3.6 million mostly in professional services, outside services, and travel and entertainment, and a $0.3 million increase in stock-based compensation.</w:t>
      </w:r>
    </w:p>
    <w:p>
      <w:pPr>
        <w:pStyle w:val="TextBody"/>
        <w:bidi w:val="0"/>
        <w:spacing w:lineRule="auto" w:line="288" w:before="240" w:after="283"/>
        <w:jc w:val="both"/>
      </w:pPr>
      <w:r>
        <w:rPr>
          <w:rFonts w:ascii="Times New Roman;serif" w:hAnsi="Times New Roman;serif"/>
          <w:b w:val="false"/>
          <w:i/>
          <w:color w:val="000000"/>
          <w:sz w:val="20"/>
        </w:rPr>
        <w:t>General and administrative expense decrease</w:t>
      </w:r>
      <w:r>
        <w:rPr>
          <w:color w:val="000000"/>
        </w:rPr>
        <w:t xml:space="preserve"> </w:t>
      </w:r>
      <w:r>
        <w:rPr>
          <w:rFonts w:ascii="Times New Roman;serif" w:hAnsi="Times New Roman;serif"/>
          <w:b w:val="false"/>
          <w:color w:val="000000"/>
          <w:sz w:val="20"/>
        </w:rPr>
        <w:t xml:space="preserve">primarily reflecting a $3.5 million decrease in stock-based compensation, a $0.7 million decrease in allowance for credit losses, offset by a $3.4 million increase in outside services, personnel and professional services costs. </w:t>
      </w:r>
    </w:p>
    <w:p>
      <w:pPr>
        <w:pStyle w:val="TextBody"/>
        <w:bidi w:val="0"/>
        <w:spacing w:lineRule="auto" w:line="288" w:before="24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Interest income, Interest expense and Other expense, net</w:t>
      </w:r>
    </w:p>
    <w:tbl>
      <w:tblPr>
        <w:tblW w:w="8163" w:type="dxa"/>
        <w:jc w:val="left"/>
        <w:tblInd w:w="0" w:type="dxa"/>
        <w:tblLayout w:type="fixed"/>
        <w:tblCellMar>
          <w:top w:w="28" w:type="dxa"/>
          <w:left w:w="28" w:type="dxa"/>
          <w:bottom w:w="28" w:type="dxa"/>
          <w:right w:w="28" w:type="dxa"/>
        </w:tblCellMar>
      </w:tblPr>
      <w:tblGrid>
        <w:gridCol w:w="587"/>
        <w:gridCol w:w="514"/>
        <w:gridCol w:w="519"/>
        <w:gridCol w:w="262"/>
        <w:gridCol w:w="898"/>
        <w:gridCol w:w="135"/>
        <w:gridCol w:w="135"/>
        <w:gridCol w:w="135"/>
        <w:gridCol w:w="135"/>
        <w:gridCol w:w="262"/>
        <w:gridCol w:w="898"/>
        <w:gridCol w:w="135"/>
        <w:gridCol w:w="109"/>
        <w:gridCol w:w="109"/>
        <w:gridCol w:w="109"/>
        <w:gridCol w:w="317"/>
        <w:gridCol w:w="299"/>
        <w:gridCol w:w="659"/>
        <w:gridCol w:w="109"/>
        <w:gridCol w:w="109"/>
        <w:gridCol w:w="109"/>
        <w:gridCol w:w="348"/>
        <w:gridCol w:w="1017"/>
        <w:gridCol w:w="254"/>
      </w:tblGrid>
      <w:tr>
        <w:tc>
          <w:tcPr>
            <w:tcW w:w="58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br/>
              <w:t> 2026 v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Absolute Change </w:t>
              <w:br/>
              <w:t>2026 v 2025</w:t>
            </w:r>
          </w:p>
        </w:tc>
      </w:tr>
      <w:t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2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62"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19,283 </w:t>
            </w:r>
          </w:p>
        </w:tc>
        <w:tc>
          <w:tcPr>
            <w:tcW w:w="13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10,452 </w:t>
            </w:r>
          </w:p>
        </w:tc>
        <w:tc>
          <w:tcPr>
            <w:tcW w:w="13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84.5 </w:t>
            </w:r>
          </w:p>
        </w:tc>
        <w:tc>
          <w:tcPr>
            <w:tcW w:w="659"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8,831 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(5,564)</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(5,166)</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6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2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16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(26,016)</w:t>
            </w:r>
          </w:p>
        </w:tc>
        <w:tc>
          <w:tcPr>
            <w:tcW w:w="13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(4,019)</w:t>
            </w:r>
          </w:p>
        </w:tc>
        <w:tc>
          <w:tcPr>
            <w:tcW w:w="13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547.3 </w:t>
            </w:r>
          </w:p>
        </w:tc>
        <w:tc>
          <w:tcPr>
            <w:tcW w:w="659"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(21,997)</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Other expense, net primarily reflects (a) loss recognized from the impact of exchange rates on our working-capital which was $27.8 million for the nine months ended September 30, 2026 compared to $4.6 million for the nine months ended September 30, 2025, (b) government subsidies, as described under “—Mainland China Government Research and Development Funding” above, and (c) other factors.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both"/>
      </w:pPr>
      <w:hyperlink w:anchor="ia22e01e7fdae4b968e9b46967ef89c75_7">
        <w:r>
          <w:rPr>
            <w:rStyle w:val="InternetLink"/>
            <w:rFonts w:ascii="Times New Roman;serif" w:hAnsi="Times New Roman;serif"/>
            <w:b w:val="false"/>
            <w:i/>
            <w:color w:val="0000FF"/>
            <w:sz w:val="16"/>
            <w:u w:val="single"/>
          </w:rPr>
          <w:t>Table of Contents</w:t>
        </w:r>
      </w:hyperlink>
    </w:p>
    <w:p>
      <w:pPr>
        <w:pStyle w:val="TextBody"/>
        <w:bidi w:val="0"/>
        <w:spacing w:lineRule="auto" w:line="288" w:before="24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Realized and unrealized gain on short-term investments, and income from equity method investments</w:t>
      </w:r>
    </w:p>
    <w:tbl>
      <w:tblPr>
        <w:tblW w:w="10205" w:type="dxa"/>
        <w:jc w:val="left"/>
        <w:tblInd w:w="0" w:type="dxa"/>
        <w:tblLayout w:type="fixed"/>
        <w:tblCellMar>
          <w:top w:w="28" w:type="dxa"/>
          <w:left w:w="28" w:type="dxa"/>
          <w:bottom w:w="28" w:type="dxa"/>
          <w:right w:w="28" w:type="dxa"/>
        </w:tblCellMar>
      </w:tblPr>
      <w:tblGrid>
        <w:gridCol w:w="1389"/>
        <w:gridCol w:w="1221"/>
        <w:gridCol w:w="1225"/>
        <w:gridCol w:w="372"/>
        <w:gridCol w:w="614"/>
        <w:gridCol w:w="185"/>
        <w:gridCol w:w="185"/>
        <w:gridCol w:w="185"/>
        <w:gridCol w:w="185"/>
        <w:gridCol w:w="372"/>
        <w:gridCol w:w="614"/>
        <w:gridCol w:w="185"/>
        <w:gridCol w:w="109"/>
        <w:gridCol w:w="109"/>
        <w:gridCol w:w="109"/>
        <w:gridCol w:w="308"/>
        <w:gridCol w:w="308"/>
        <w:gridCol w:w="648"/>
        <w:gridCol w:w="109"/>
        <w:gridCol w:w="109"/>
        <w:gridCol w:w="109"/>
        <w:gridCol w:w="441"/>
        <w:gridCol w:w="785"/>
        <w:gridCol w:w="329"/>
      </w:tblGrid>
      <w:tr>
        <w:tc>
          <w:tcPr>
            <w:tcW w:w="1389"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c>
          <w:tcPr>
            <w:tcW w:w="3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br/>
              <w:t> 2026 v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Absolute Change </w:t>
              <w:br/>
              <w:t>2026 v 2025</w:t>
            </w:r>
          </w:p>
        </w:tc>
      </w:tr>
      <w:tr>
        <w:tc>
          <w:tcPr>
            <w:tcW w:w="3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3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 from sale of short-term investments</w:t>
            </w:r>
          </w:p>
        </w:tc>
        <w:tc>
          <w:tcPr>
            <w:tcW w:w="372"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4"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4"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(48.1)</w:t>
            </w:r>
          </w:p>
        </w:tc>
        <w:tc>
          <w:tcPr>
            <w:tcW w:w="648"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on short-term investments</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29,053 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20,304 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6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8,749 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3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from equity method investments </w:t>
            </w:r>
          </w:p>
        </w:tc>
        <w:tc>
          <w:tcPr>
            <w:tcW w:w="98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15,706 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6,395 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145.6 </w:t>
            </w:r>
          </w:p>
        </w:tc>
        <w:tc>
          <w:tcPr>
            <w:tcW w:w="648"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9,311 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increase in unrealized gain on short-term investments is mainly due to a significant increase during the period in the market price of certain of our holdings of publicly traded stocks which are listed on the Shanghai Stock Exchange. The increase in the income from equity investments for the nine months ended September 30, 2026 is mainly derived from gain on disposal of available-for-sale securities held by our equity method investee.</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presents components of income tax expense for the indicated periods:</w:t>
      </w:r>
    </w:p>
    <w:tbl>
      <w:tblPr>
        <w:tblW w:w="4767" w:type="dxa"/>
        <w:jc w:val="left"/>
        <w:tblInd w:w="0" w:type="dxa"/>
        <w:tblLayout w:type="fixed"/>
        <w:tblCellMar>
          <w:top w:w="28" w:type="dxa"/>
          <w:left w:w="28" w:type="dxa"/>
          <w:bottom w:w="28" w:type="dxa"/>
          <w:right w:w="28" w:type="dxa"/>
        </w:tblCellMar>
      </w:tblPr>
      <w:tblGrid>
        <w:gridCol w:w="625"/>
        <w:gridCol w:w="550"/>
        <w:gridCol w:w="551"/>
        <w:gridCol w:w="257"/>
        <w:gridCol w:w="970"/>
        <w:gridCol w:w="132"/>
        <w:gridCol w:w="132"/>
        <w:gridCol w:w="132"/>
        <w:gridCol w:w="132"/>
        <w:gridCol w:w="257"/>
        <w:gridCol w:w="842"/>
        <w:gridCol w:w="187"/>
      </w:tblGrid>
      <w:tr>
        <w:tc>
          <w:tcPr>
            <w:tcW w:w="625"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c>
          <w:tcPr>
            <w:tcW w:w="1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c>
          <w:tcPr>
            <w:tcW w:w="1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1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r>
      <w:tr>
        <w:tc>
          <w:tcPr>
            <w:tcW w:w="17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2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(19,129)</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(6,733)</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tax expense for the nine months ended September 30, 2026 primarily resulted from the tax effect of an increase in operating profit and an increase in effective tax rate for the period.</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Net Income Attributable to Non-Controlling Interests</w:t>
      </w:r>
    </w:p>
    <w:tbl>
      <w:tblPr>
        <w:tblW w:w="10205" w:type="dxa"/>
        <w:jc w:val="left"/>
        <w:tblInd w:w="0" w:type="dxa"/>
        <w:tblLayout w:type="fixed"/>
        <w:tblCellMar>
          <w:top w:w="28" w:type="dxa"/>
          <w:left w:w="28" w:type="dxa"/>
          <w:bottom w:w="28" w:type="dxa"/>
          <w:right w:w="28" w:type="dxa"/>
        </w:tblCellMar>
      </w:tblPr>
      <w:tblGrid>
        <w:gridCol w:w="1395"/>
        <w:gridCol w:w="1226"/>
        <w:gridCol w:w="1231"/>
        <w:gridCol w:w="254"/>
        <w:gridCol w:w="870"/>
        <w:gridCol w:w="130"/>
        <w:gridCol w:w="130"/>
        <w:gridCol w:w="130"/>
        <w:gridCol w:w="130"/>
        <w:gridCol w:w="254"/>
        <w:gridCol w:w="870"/>
        <w:gridCol w:w="130"/>
        <w:gridCol w:w="109"/>
        <w:gridCol w:w="109"/>
        <w:gridCol w:w="109"/>
        <w:gridCol w:w="308"/>
        <w:gridCol w:w="308"/>
        <w:gridCol w:w="642"/>
        <w:gridCol w:w="109"/>
        <w:gridCol w:w="109"/>
        <w:gridCol w:w="109"/>
        <w:gridCol w:w="297"/>
        <w:gridCol w:w="1020"/>
        <w:gridCol w:w="226"/>
      </w:tblGrid>
      <w:tr>
        <w:tc>
          <w:tcPr>
            <w:tcW w:w="1395"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c>
          <w:tcPr>
            <w:tcW w:w="3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br/>
              <w:t> 2026 v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Absolute Change </w:t>
              <w:br/>
              <w:t>2026 v 2025</w:t>
            </w:r>
          </w:p>
        </w:tc>
      </w:tr>
      <w:tr>
        <w:tc>
          <w:tcPr>
            <w:tcW w:w="3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5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254"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46,973 </w:t>
            </w:r>
          </w:p>
        </w:tc>
        <w:tc>
          <w:tcPr>
            <w:tcW w:w="1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0"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21,652 </w:t>
            </w:r>
          </w:p>
        </w:tc>
        <w:tc>
          <w:tcPr>
            <w:tcW w:w="13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116.9 </w:t>
            </w:r>
          </w:p>
        </w:tc>
        <w:tc>
          <w:tcPr>
            <w:tcW w:w="642"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0"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25,321 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ACM Research owns 72.8% of ACM Shanghai’s (note 1) outstanding shares, which is reflected in our condensed consolidated financial statements. We reflect the portion of net income allocable to the minority holders of ACM Shanghai shares as net income attributable to non-controlling interests. The significant increase was due to the overall increase in net income.</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both"/>
      </w:pPr>
      <w:hyperlink w:anchor="ia22e01e7fdae4b968e9b46967ef89c75_7">
        <w:r>
          <w:rPr>
            <w:rStyle w:val="InternetLink"/>
            <w:rFonts w:ascii="Times New Roman;serif" w:hAnsi="Times New Roman;serif"/>
            <w:b w:val="false"/>
            <w:i/>
            <w:color w:val="0000FF"/>
            <w:sz w:val="16"/>
            <w:u w:val="single"/>
          </w:rPr>
          <w:t>Table of Contents</w:t>
        </w:r>
      </w:hyperlink>
    </w:p>
    <w:p>
      <w:pPr>
        <w:pStyle w:val="TextBody"/>
        <w:bidi w:val="0"/>
        <w:spacing w:lineRule="auto" w:line="288" w:before="24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Foreign currency translation adjustment</w:t>
      </w:r>
    </w:p>
    <w:tbl>
      <w:tblPr>
        <w:tblW w:w="9902" w:type="dxa"/>
        <w:jc w:val="left"/>
        <w:tblInd w:w="0" w:type="dxa"/>
        <w:tblLayout w:type="fixed"/>
        <w:tblCellMar>
          <w:top w:w="28" w:type="dxa"/>
          <w:left w:w="28" w:type="dxa"/>
          <w:bottom w:w="28" w:type="dxa"/>
          <w:right w:w="28" w:type="dxa"/>
        </w:tblCellMar>
      </w:tblPr>
      <w:tblGrid>
        <w:gridCol w:w="1217"/>
        <w:gridCol w:w="1069"/>
        <w:gridCol w:w="1073"/>
        <w:gridCol w:w="262"/>
        <w:gridCol w:w="898"/>
        <w:gridCol w:w="135"/>
        <w:gridCol w:w="135"/>
        <w:gridCol w:w="135"/>
        <w:gridCol w:w="135"/>
        <w:gridCol w:w="262"/>
        <w:gridCol w:w="898"/>
        <w:gridCol w:w="135"/>
        <w:gridCol w:w="109"/>
        <w:gridCol w:w="109"/>
        <w:gridCol w:w="109"/>
        <w:gridCol w:w="308"/>
        <w:gridCol w:w="308"/>
        <w:gridCol w:w="659"/>
        <w:gridCol w:w="109"/>
        <w:gridCol w:w="109"/>
        <w:gridCol w:w="109"/>
        <w:gridCol w:w="314"/>
        <w:gridCol w:w="1076"/>
        <w:gridCol w:w="229"/>
      </w:tblGrid>
      <w:tr>
        <w:tc>
          <w:tcPr>
            <w:tcW w:w="1217"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br/>
              <w:t> 2026 v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Absolute Change </w:t>
              <w:br/>
              <w:t>2026 v 2025</w:t>
            </w:r>
          </w:p>
        </w:tc>
      </w:tr>
      <w:t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5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262"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83,228 </w:t>
            </w:r>
          </w:p>
        </w:tc>
        <w:tc>
          <w:tcPr>
            <w:tcW w:w="13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15,554 </w:t>
            </w:r>
          </w:p>
        </w:tc>
        <w:tc>
          <w:tcPr>
            <w:tcW w:w="13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435.1 </w:t>
            </w:r>
          </w:p>
        </w:tc>
        <w:tc>
          <w:tcPr>
            <w:tcW w:w="659"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67,674 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foreign currency translation adjustment is primarily based on the net effect of RMB to dollar exchange rate fluctuations for the period on the converted value of ACM Shanghai’s RMB-denominated balances to U.S. dollar equivalents. </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Comprehensive income attributable to non-controlling interests </w:t>
      </w:r>
    </w:p>
    <w:p>
      <w:pPr>
        <w:pStyle w:val="TextBody"/>
        <w:bidi w:val="0"/>
        <w:spacing w:before="0" w:after="0"/>
        <w:jc w:val="left"/>
      </w:pPr>
      <w:r/>
    </w:p>
    <w:tbl>
      <w:tblPr>
        <w:tblW w:w="10205" w:type="dxa"/>
        <w:jc w:val="left"/>
        <w:tblInd w:w="0" w:type="dxa"/>
        <w:tblLayout w:type="fixed"/>
        <w:tblCellMar>
          <w:top w:w="28" w:type="dxa"/>
          <w:left w:w="28" w:type="dxa"/>
          <w:bottom w:w="28" w:type="dxa"/>
          <w:right w:w="28" w:type="dxa"/>
        </w:tblCellMar>
      </w:tblPr>
      <w:tblGrid>
        <w:gridCol w:w="1467"/>
        <w:gridCol w:w="1290"/>
        <w:gridCol w:w="1295"/>
        <w:gridCol w:w="245"/>
        <w:gridCol w:w="841"/>
        <w:gridCol w:w="126"/>
        <w:gridCol w:w="126"/>
        <w:gridCol w:w="126"/>
        <w:gridCol w:w="126"/>
        <w:gridCol w:w="245"/>
        <w:gridCol w:w="841"/>
        <w:gridCol w:w="126"/>
        <w:gridCol w:w="109"/>
        <w:gridCol w:w="109"/>
        <w:gridCol w:w="109"/>
        <w:gridCol w:w="308"/>
        <w:gridCol w:w="308"/>
        <w:gridCol w:w="624"/>
        <w:gridCol w:w="109"/>
        <w:gridCol w:w="109"/>
        <w:gridCol w:w="109"/>
        <w:gridCol w:w="281"/>
        <w:gridCol w:w="962"/>
        <w:gridCol w:w="214"/>
      </w:tblGrid>
      <w:tr>
        <w:tc>
          <w:tcPr>
            <w:tcW w:w="1467"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c>
          <w:tcPr>
            <w:tcW w:w="4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br/>
              <w:t> 2026 v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Absolute Change </w:t>
              <w:br/>
              <w:t>2026 v 2025</w:t>
            </w:r>
          </w:p>
        </w:tc>
      </w:tr>
      <w:tr>
        <w:tc>
          <w:tcPr>
            <w:tcW w:w="4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5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non-controlling interests</w:t>
            </w:r>
          </w:p>
        </w:tc>
        <w:tc>
          <w:tcPr>
            <w:tcW w:w="245"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69,220 </w:t>
            </w:r>
          </w:p>
        </w:tc>
        <w:tc>
          <w:tcPr>
            <w:tcW w:w="1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25,224 </w:t>
            </w:r>
          </w:p>
        </w:tc>
        <w:tc>
          <w:tcPr>
            <w:tcW w:w="1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174.4 </w:t>
            </w:r>
          </w:p>
        </w:tc>
        <w:tc>
          <w:tcPr>
            <w:tcW w:w="624"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43,996 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pPr>
      <w:r/>
    </w:p>
    <w:p>
      <w:pPr>
        <w:pStyle w:val="TextBody"/>
        <w:bidi w:val="0"/>
        <w:spacing w:before="0" w:after="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jc w:val="left"/>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detailed description of how cash is transferred through our organization is set forth under “note 2 – Summary of Significant Accounting Policies – Cash and Cash Equivalents” to the Consolidated Financial Statements of this report.</w:t>
      </w:r>
    </w:p>
    <w:p>
      <w:pPr>
        <w:pStyle w:val="TextBody"/>
        <w:bidi w:val="0"/>
        <w:spacing w:before="0" w:after="0"/>
        <w:jc w:val="both"/>
      </w:pPr>
      <w:r/>
    </w:p>
    <w:p>
      <w:pPr>
        <w:pStyle w:val="TextBody"/>
        <w:bidi w:val="0"/>
        <w:spacing w:lineRule="auto" w:line="288" w:before="0" w:after="0"/>
        <w:jc w:val="both"/>
      </w:pPr>
      <w:r>
        <w:rPr>
          <w:rFonts w:ascii="Times New Roman;serif" w:hAnsi="Times New Roman;serif"/>
          <w:b w:val="false"/>
          <w:color w:val="000000"/>
          <w:sz w:val="20"/>
          <w:shd w:fill="FFFFFF" w:val="clear"/>
        </w:rPr>
        <w:t xml:space="preserve">During the first </w:t>
      </w:r>
      <w:r>
        <w:rPr>
          <w:rFonts w:ascii="Times New Roman;serif" w:hAnsi="Times New Roman;serif"/>
          <w:b w:val="false"/>
          <w:color w:val="000000"/>
          <w:sz w:val="20"/>
        </w:rPr>
        <w:t>nine</w:t>
      </w:r>
      <w:r>
        <w:rPr>
          <w:color w:val="000000"/>
          <w:shd w:fill="FFFFFF" w:val="clear"/>
        </w:rPr>
        <w:t xml:space="preserve"> </w:t>
      </w:r>
      <w:r>
        <w:rPr>
          <w:rFonts w:ascii="Times New Roman;serif" w:hAnsi="Times New Roman;serif"/>
          <w:b w:val="false"/>
          <w:color w:val="000000"/>
          <w:sz w:val="20"/>
          <w:shd w:fill="FFFFFF" w:val="clear"/>
        </w:rPr>
        <w:t xml:space="preserve">months of </w:t>
      </w:r>
      <w:r>
        <w:rPr>
          <w:rFonts w:ascii="Times New Roman;serif" w:hAnsi="Times New Roman;serif"/>
          <w:b w:val="false"/>
          <w:color w:val="000000"/>
          <w:sz w:val="20"/>
        </w:rPr>
        <w:t>2026</w:t>
      </w:r>
      <w:r>
        <w:rPr>
          <w:rFonts w:ascii="Times New Roman;serif" w:hAnsi="Times New Roman;serif"/>
          <w:b w:val="false"/>
          <w:color w:val="000000"/>
          <w:sz w:val="20"/>
          <w:shd w:fill="FFFFFF" w:val="clear"/>
        </w:rPr>
        <w:t>, we funded our technology development and operations principally through our beginning global cash balances, including the cash balances at ACM Shanghai, borrowings by ACM Shanghai from local financial insti</w:t>
      </w:r>
      <w:r>
        <w:rPr>
          <w:rFonts w:ascii="Times New Roman;serif" w:hAnsi="Times New Roman;serif"/>
          <w:b w:val="false"/>
          <w:color w:val="000000"/>
          <w:sz w:val="20"/>
        </w:rPr>
        <w:t>tutions, proceeds from issuance of ACMR shares, and proceeds from the sale of shares of our subsidiary.</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$144.2 million increase in cash and time deposits was primarily driven by $339.9 million in net cash provided by financing activities, and a $29.3 million increase from the effect of exchange rate on cash, cash equivalents, restricted cash and non-cash items, offset by $106.3 million of cash used in operations, and $118.6 million of net cash used in investing activities, excluding the change in net cash related to time deposits.</w:t>
      </w:r>
    </w:p>
    <w:p>
      <w:pPr>
        <w:pStyle w:val="TextBody"/>
        <w:bidi w:val="0"/>
        <w:spacing w:before="0" w:after="0"/>
        <w:jc w:val="both"/>
      </w:pPr>
      <w:r/>
    </w:p>
    <w:tbl>
      <w:tblPr>
        <w:tblW w:w="8168" w:type="dxa"/>
        <w:jc w:val="left"/>
        <w:tblInd w:w="0" w:type="dxa"/>
        <w:tblLayout w:type="fixed"/>
        <w:tblCellMar>
          <w:top w:w="28" w:type="dxa"/>
          <w:left w:w="28" w:type="dxa"/>
          <w:bottom w:w="28" w:type="dxa"/>
          <w:right w:w="28" w:type="dxa"/>
        </w:tblCellMar>
      </w:tblPr>
      <w:tblGrid>
        <w:gridCol w:w="1872"/>
        <w:gridCol w:w="1649"/>
        <w:gridCol w:w="1653"/>
        <w:gridCol w:w="211"/>
        <w:gridCol w:w="991"/>
        <w:gridCol w:w="109"/>
        <w:gridCol w:w="109"/>
        <w:gridCol w:w="109"/>
        <w:gridCol w:w="109"/>
        <w:gridCol w:w="211"/>
        <w:gridCol w:w="991"/>
        <w:gridCol w:w="154"/>
      </w:tblGrid>
      <w:tr>
        <w:tc>
          <w:tcPr>
            <w:tcW w:w="1872"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c>
          <w:tcPr>
            <w:tcW w:w="5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r>
      <w:tr>
        <w:tc>
          <w:tcPr>
            <w:tcW w:w="51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Cash and cash equivalents, restricted cash, and time deposits:</w:t>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1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Cash and cash equivalents and restricted cash</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906,446 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765,962 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1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Short-term time deposits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366,591 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1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1,276,742</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1,132,553</w:t>
            </w:r>
            <w:r>
              <w:rPr>
                <w:color w:val="000000"/>
              </w:rPr>
              <w:t>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future working capital needs beyond the next twelve months will depend on many factors, including the rate of our business and revenue growth, the payment schedules of our customers, the timing and magnitude of our capital expenditures, and the timing of investment in our research and development as well as sales and marketing. We believe our existing cash and cash equivalents, and short-term time deposits, our cash flow from operating activities, and bank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both"/>
      </w:pPr>
      <w:hyperlink w:anchor="ia22e01e7fdae4b968e9b46967ef89c75_7">
        <w:r>
          <w:rPr>
            <w:rStyle w:val="InternetLink"/>
            <w:rFonts w:ascii="Times New Roman;serif" w:hAnsi="Times New Roman;serif"/>
            <w:b w:val="false"/>
            <w:i/>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borrowings by ACM Shanghai will be sufficient to meet our anticipated cash needs within our longer term planning horizon.</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ACM Shanghai has historically participated in certain mainland China government-sponsored grant and subsidy programs, as described under “—Mainland China Government Research and Development Funding” and “—Contractual Obligations” and we expect that ACM Shanghai will continue to take advantage of these programs when they are available and fit with our business strategy. ACM Shanghai generally applies for these grants and subsidies through the applicable mainland China government agency’s defined processes. Periodically, the public relations department researches the availability of these grants and subsidies through mainland China government agencies with whom ACM Shanghai files business surveys and taxes. Management of ACM Shanghai then assesses which grants and subsidies for which ACM Shanghai may be eligible and submits the relevant application. The decision to award the grant to ACM Shanghai is made by the relevant mainland China government agencies based on suitability and the merits of the application. Neither ACM Research, nor ACM Shanghai or any of our other subsidiaries, has any direct relationship with any mainland China government agency, and our cash needs for the next twelve months neither anticipate, nor require, receipt of any mainland China government grants or subsidies.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 the extent our cash and cash equivalents, cash flow from operating activities and short-term and long-term bank borrowings are insufficient to fund our future activities in accordance with our strategic plan, we may determine to raise additional funds through public or private debt or equity financings or additional bank credit arrangements. We also may need to raise additional funds in the event we determine in the future to effect one or more acquisitions of businesses, technologies and products. If additional funding is necessary or desirable, we may not be able to obtain bank credit arrangements or to obtain an equity or debt financing on terms acceptable to us or at all.</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Restrictions under mainland China laws and regulations as well as restrictions under ACM Shanghai’s bank loan agreements, may significantly restrict ACM Shanghai’s ability to transfer a portion of ACM Shanghai’s net assets to ACM Research, other subsidiaries of ACM Research and to holders of ACM Research Class A common stock. See “Item 1A. Risk Factors – Regulatory Risks – Mainland China's currency exchange control and government restrictions on investment repatriation may impact our ability to transfer funds outside of mainland China, which could materially and adversely affect our ability to grow, make investments or acquisitions that could benefit our business, otherwise fund and conduct our business, or pay dividends on our common stock” in our 2025 Annual Report.</w:t>
      </w:r>
    </w:p>
    <w:p>
      <w:pPr>
        <w:pStyle w:val="TextBody"/>
        <w:bidi w:val="0"/>
        <w:spacing w:before="0" w:after="0"/>
        <w:jc w:val="left"/>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nine months ended September 30, 2026 and 2025, with the exception of sales and services-related transfer-pricing payments in the ordinary course of business, and dividends paid by ACM Shanghai to the stockholders of ACM Shanghai (including ACM Research), no transfers or distributions have been made between ACM Research, and its subsidiaries, including ACM Shanghai, or to holders of ACM Research Class A common stock.</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Our cash and cash equivalents at September 30, 2026 were held for working capital purposes and other potential investments. ACM Shanghai, our only direct mainland China subsidiary, is, however, subject to mainland China restrictions on distributions to equity holders. </w:t>
      </w:r>
    </w:p>
    <w:p>
      <w:pPr>
        <w:pStyle w:val="TextBody"/>
        <w:bidi w:val="0"/>
        <w:spacing w:before="0" w:after="0"/>
        <w:jc w:val="both"/>
      </w:pPr>
      <w:r/>
    </w:p>
    <w:p>
      <w:pPr>
        <w:pStyle w:val="TextBody"/>
        <w:bidi w:val="0"/>
        <w:spacing w:lineRule="auto" w:line="288" w:before="0" w:after="0"/>
        <w:jc w:val="both"/>
      </w:pPr>
      <w:r>
        <w:rPr>
          <w:rFonts w:ascii="Times New Roman;serif" w:hAnsi="Times New Roman;serif"/>
          <w:b w:val="false"/>
          <w:color w:val="000000"/>
          <w:sz w:val="20"/>
          <w:shd w:fill="FFFFFF" w:val="clear"/>
        </w:rPr>
        <w:t xml:space="preserve">The use of proceeds raised </w:t>
      </w:r>
      <w:r>
        <w:rPr>
          <w:rFonts w:ascii="Times New Roman;serif" w:hAnsi="Times New Roman;serif"/>
          <w:b w:val="false"/>
          <w:color w:val="000000"/>
          <w:sz w:val="20"/>
        </w:rPr>
        <w:t>by the sales of shares by ACM Shanghai, and the S</w:t>
      </w:r>
      <w:r>
        <w:rPr>
          <w:rFonts w:ascii="Times New Roman;serif" w:hAnsi="Times New Roman;serif"/>
          <w:b w:val="false"/>
          <w:color w:val="000000"/>
          <w:sz w:val="20"/>
          <w:shd w:fill="FFFFFF" w:val="clear"/>
        </w:rPr>
        <w:t>TAR Market IPO</w:t>
      </w:r>
      <w:r>
        <w:rPr>
          <w:rFonts w:ascii="Times New Roman;serif" w:hAnsi="Times New Roman;serif"/>
          <w:b w:val="false"/>
          <w:color w:val="000000"/>
          <w:sz w:val="20"/>
        </w:rPr>
        <w:t>,</w:t>
      </w:r>
      <w:r>
        <w:rPr>
          <w:color w:val="000000"/>
          <w:shd w:fill="FFFFFF" w:val="clear"/>
        </w:rPr>
        <w:t xml:space="preserve"> </w:t>
      </w:r>
      <w:r>
        <w:rPr>
          <w:rFonts w:ascii="Times New Roman;serif" w:hAnsi="Times New Roman;serif"/>
          <w:b w:val="false"/>
          <w:color w:val="000000"/>
          <w:sz w:val="20"/>
          <w:shd w:fill="FFFFFF" w:val="clear"/>
        </w:rPr>
        <w:t>without further approvals, are limited to specific usage.</w:t>
      </w:r>
      <w:r>
        <w:rPr>
          <w:color w:val="000000"/>
        </w:rPr>
        <w:t xml:space="preserve"> </w:t>
      </w:r>
      <w:r>
        <w:rPr>
          <w:rFonts w:ascii="Times New Roman;serif" w:hAnsi="Times New Roman;serif"/>
          <w:b w:val="false"/>
          <w:color w:val="000000"/>
          <w:sz w:val="20"/>
        </w:rPr>
        <w:t>We currently intend for ACM Shanghai, with the exception of dividends paid to shareholders of ACM Shanghai, to retain all available funds from any future earnings for use in the operation of its business. Our accounts receivable balance fluctuates from period to period, which affects our cash flow from operating activities. Fluctuations vary depending on cash collections, client mix, and the timing of shipment and acceptance of our tools.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ACM Research has never declared or paid cash dividends on our capital stock. ACM Research intends to retain all available funds and any future earnings to support the operation of and to finance the growth and development of our business and does not anticipate paying any cash dividends in the foreseeable future.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both"/>
      </w:pPr>
      <w:hyperlink w:anchor="ia22e01e7fdae4b968e9b46967ef89c75_7">
        <w:r>
          <w:rPr>
            <w:rStyle w:val="InternetLink"/>
            <w:rFonts w:ascii="Times New Roman;serif" w:hAnsi="Times New Roman;serif"/>
            <w:b w:val="false"/>
            <w:i/>
            <w:color w:val="0000FF"/>
            <w:sz w:val="16"/>
            <w:u w:val="single"/>
          </w:rPr>
          <w:t>Table of Contents</w:t>
        </w:r>
      </w:hyperlink>
    </w:p>
    <w:p>
      <w:pPr>
        <w:pStyle w:val="TextBody"/>
        <w:bidi w:val="0"/>
        <w:spacing w:lineRule="auto" w:line="288" w:before="240" w:after="283"/>
        <w:jc w:val="both"/>
      </w:pPr>
      <w:r>
        <w:rPr>
          <w:rFonts w:ascii="Times New Roman;serif" w:hAnsi="Times New Roman;serif"/>
          <w:b/>
          <w:i/>
          <w:color w:val="000000"/>
          <w:sz w:val="20"/>
        </w:rPr>
        <w:t xml:space="preserve">Cash Flow Used in Operating Activities. </w:t>
      </w:r>
      <w:r>
        <w:rPr>
          <w:rFonts w:ascii="Times New Roman;serif" w:hAnsi="Times New Roman;serif"/>
          <w:b w:val="false"/>
          <w:color w:val="000000"/>
          <w:sz w:val="20"/>
        </w:rPr>
        <w:t>Net cash used in operating activities during the nine months ended September 30, 2026 and 2025 consisted of:</w:t>
      </w:r>
    </w:p>
    <w:tbl>
      <w:tblPr>
        <w:tblW w:w="6867" w:type="dxa"/>
        <w:jc w:val="left"/>
        <w:tblInd w:w="0" w:type="dxa"/>
        <w:tblLayout w:type="fixed"/>
        <w:tblCellMar>
          <w:top w:w="28" w:type="dxa"/>
          <w:left w:w="28" w:type="dxa"/>
          <w:bottom w:w="28" w:type="dxa"/>
          <w:right w:w="28" w:type="dxa"/>
        </w:tblCellMar>
      </w:tblPr>
      <w:tblGrid>
        <w:gridCol w:w="1386"/>
        <w:gridCol w:w="1215"/>
        <w:gridCol w:w="1224"/>
        <w:gridCol w:w="234"/>
        <w:gridCol w:w="1001"/>
        <w:gridCol w:w="121"/>
        <w:gridCol w:w="121"/>
        <w:gridCol w:w="121"/>
        <w:gridCol w:w="121"/>
        <w:gridCol w:w="234"/>
        <w:gridCol w:w="918"/>
        <w:gridCol w:w="171"/>
      </w:tblGrid>
      <w:tr>
        <w:tc>
          <w:tcPr>
            <w:tcW w:w="1386"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r>
      <w:tr>
        <w:tc>
          <w:tcPr>
            <w:tcW w:w="3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154,808 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107,681 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operating lease cost</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Provision for inventory </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18,927 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9,853 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9,134 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9,481 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18,736 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10,460 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equity method investments</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(15,706)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(6,395)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on short-term investments</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(29,053)</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(20,304)</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(11,713)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22,906 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27,149 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Dividends from unconsolidated affiliates </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4,353 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Others</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changes in operating assets and liabilities</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(293,683)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(174,950)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2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(106,339)</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(44,244)</w:t>
            </w:r>
          </w:p>
        </w:tc>
        <w:tc>
          <w:tcPr>
            <w:tcW w:w="1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pPr>
      <w:r/>
    </w:p>
    <w:p>
      <w:pPr>
        <w:pStyle w:val="TextBody"/>
        <w:bidi w:val="0"/>
        <w:spacing w:lineRule="auto" w:line="288" w:before="0" w:after="0"/>
        <w:jc w:val="both"/>
      </w:pPr>
      <w:r>
        <w:rPr>
          <w:rFonts w:ascii="Times New Roman;serif" w:hAnsi="Times New Roman;serif"/>
          <w:b w:val="false"/>
          <w:color w:val="000000"/>
          <w:sz w:val="20"/>
          <w:shd w:fill="FFFFFF" w:val="clear"/>
        </w:rPr>
        <w:t xml:space="preserve">Significant changes in operating asset and </w:t>
      </w:r>
      <w:r>
        <w:rPr>
          <w:rFonts w:ascii="Times New Roman;serif" w:hAnsi="Times New Roman;serif"/>
          <w:b w:val="false"/>
          <w:color w:val="000000"/>
          <w:sz w:val="20"/>
        </w:rPr>
        <w:t>liability accounts during the nine</w:t>
      </w:r>
      <w:r>
        <w:rPr>
          <w:color w:val="000000"/>
          <w:shd w:fill="FFFFFF" w:val="clear"/>
        </w:rPr>
        <w:t xml:space="preserve"> </w:t>
      </w:r>
      <w:r>
        <w:rPr>
          <w:rFonts w:ascii="Times New Roman;serif" w:hAnsi="Times New Roman;serif"/>
          <w:b w:val="false"/>
          <w:color w:val="000000"/>
          <w:sz w:val="20"/>
          <w:shd w:fill="FFFFFF" w:val="clear"/>
        </w:rPr>
        <w:t>months ended September 30, 2026 included the following u</w:t>
      </w:r>
      <w:r>
        <w:rPr>
          <w:rFonts w:ascii="Times New Roman;serif" w:hAnsi="Times New Roman;serif"/>
          <w:b w:val="false"/>
          <w:color w:val="000000"/>
          <w:sz w:val="20"/>
        </w:rPr>
        <w:t>ses of cash: an increase in inventories of $135.2 million (note 5), an increase in prepaid expenses and other current assets of $14.4 million, an increase in accounts receivable of $161.6 million (note 4), a decrease in customer advances of $31.1 million (note 3), a decrease in income tax payable of $16.4 million. The uses of cash were partially offset by an increase in other payables and accrued expenses of $56.2 million, a $51.1 million increase in bill and accounts payable, and an increase in deferred revenue of $7.5 million.</w:t>
      </w:r>
    </w:p>
    <w:p>
      <w:pPr>
        <w:pStyle w:val="TextBody"/>
        <w:bidi w:val="0"/>
        <w:spacing w:lineRule="auto" w:line="288" w:before="240" w:after="283"/>
        <w:jc w:val="both"/>
      </w:pPr>
      <w:r>
        <w:rPr>
          <w:rFonts w:ascii="Times New Roman;serif" w:hAnsi="Times New Roman;serif"/>
          <w:b/>
          <w:i/>
          <w:color w:val="000000"/>
          <w:sz w:val="20"/>
          <w:shd w:fill="FFFFFF" w:val="clear"/>
        </w:rPr>
        <w:t>Cash Flow Used in Investing A</w:t>
      </w:r>
      <w:r>
        <w:rPr>
          <w:rFonts w:ascii="Times New Roman;serif" w:hAnsi="Times New Roman;serif"/>
          <w:b/>
          <w:i/>
          <w:color w:val="000000"/>
          <w:sz w:val="20"/>
        </w:rPr>
        <w:t xml:space="preserve">ctivities. </w:t>
      </w:r>
      <w:r>
        <w:rPr>
          <w:rFonts w:ascii="Times New Roman;serif" w:hAnsi="Times New Roman;serif"/>
          <w:b w:val="false"/>
          <w:color w:val="000000"/>
          <w:sz w:val="20"/>
        </w:rPr>
        <w:t>Net cash used in investing activities, excluding the change in net cash related to time deposits, for the nine months ended September 30, 2026 was $92.5 million, primarily consisting of purchases of property, plant and equipment of $112.5 million and purchase of long-term investments of $4.7 million.</w:t>
      </w:r>
    </w:p>
    <w:p>
      <w:pPr>
        <w:pStyle w:val="TextBody"/>
        <w:bidi w:val="0"/>
        <w:spacing w:before="0" w:after="0"/>
        <w:jc w:val="both"/>
      </w:pPr>
      <w:r/>
    </w:p>
    <w:p>
      <w:pPr>
        <w:pStyle w:val="TextBody"/>
        <w:bidi w:val="0"/>
        <w:spacing w:lineRule="auto" w:line="288" w:before="0" w:after="0"/>
        <w:jc w:val="both"/>
      </w:pPr>
      <w:r>
        <w:rPr>
          <w:rFonts w:ascii="Times New Roman;serif" w:hAnsi="Times New Roman;serif"/>
          <w:b/>
          <w:i/>
          <w:color w:val="000000"/>
          <w:sz w:val="20"/>
          <w:shd w:fill="FFFFFF" w:val="clear"/>
        </w:rPr>
        <w:t xml:space="preserve">Cash Flow Provided by Financing Activities. </w:t>
      </w:r>
      <w:r>
        <w:rPr>
          <w:rFonts w:ascii="Times New Roman;serif" w:hAnsi="Times New Roman;serif"/>
          <w:b w:val="false"/>
          <w:color w:val="000000"/>
          <w:sz w:val="20"/>
          <w:shd w:fill="FFFFFF" w:val="clear"/>
        </w:rPr>
        <w:t>Net cash provided by financing activities</w:t>
      </w:r>
      <w:r>
        <w:rPr>
          <w:color w:val="000000"/>
          <w:shd w:fill="FFFFFF" w:val="clear"/>
        </w:rPr>
        <w:t xml:space="preserve"> </w:t>
      </w:r>
      <w:r>
        <w:rPr>
          <w:rFonts w:ascii="Times New Roman;serif" w:hAnsi="Times New Roman;serif"/>
          <w:b w:val="false"/>
          <w:color w:val="000000"/>
          <w:sz w:val="20"/>
          <w:shd w:fill="FFFFFF" w:val="clear"/>
        </w:rPr>
        <w:t>for the nine months ended September 30, 2026</w:t>
      </w:r>
      <w:r>
        <w:rPr>
          <w:color w:val="000000"/>
        </w:rPr>
        <w:t xml:space="preserve"> </w:t>
      </w:r>
      <w:r>
        <w:rPr>
          <w:rFonts w:ascii="Times New Roman;serif" w:hAnsi="Times New Roman;serif"/>
          <w:b w:val="false"/>
          <w:color w:val="000000"/>
          <w:sz w:val="20"/>
        </w:rPr>
        <w:t>was $339.9 million, primarily consisting of $41.5 million in net proceeds and repayments of short-term and long-term borrowing (note 11), $148.4 million of proceeds from issuance of ACMR shares, $110.2 million of gross proceeds from sales of ACM Shanghai's shares, and $51.4 million of proceeds from the exercise of stock options.</w:t>
      </w:r>
    </w:p>
    <w:p>
      <w:pPr>
        <w:pStyle w:val="TextBody"/>
        <w:bidi w:val="0"/>
        <w:spacing w:before="0" w:after="0"/>
        <w:jc w:val="left"/>
      </w:pPr>
      <w:r/>
    </w:p>
    <w:p>
      <w:pPr>
        <w:pStyle w:val="TextBody"/>
        <w:bidi w:val="0"/>
        <w:spacing w:lineRule="auto" w:line="288" w:before="0" w:after="0"/>
        <w:jc w:val="both"/>
      </w:pPr>
      <w:r>
        <w:rPr>
          <w:rFonts w:ascii="Times New Roman;serif" w:hAnsi="Times New Roman;serif"/>
          <w:b w:val="false"/>
          <w:color w:val="000000"/>
          <w:sz w:val="20"/>
          <w:shd w:fill="FFFFFF" w:val="clear"/>
        </w:rPr>
        <w:t xml:space="preserve">We and ACM Shanghai, together with the subsidiaries of ACM Shanghai, have short-term and long-term borrowings with </w:t>
      </w:r>
      <w:r>
        <w:rPr>
          <w:rFonts w:ascii="Times New Roman;serif" w:hAnsi="Times New Roman;serif"/>
          <w:b w:val="false"/>
          <w:color w:val="000000"/>
          <w:sz w:val="20"/>
        </w:rPr>
        <w:t>the following banks: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both"/>
      </w:pPr>
      <w:hyperlink w:anchor="ia22e01e7fdae4b968e9b46967ef89c75_7">
        <w:r>
          <w:rPr>
            <w:rStyle w:val="InternetLink"/>
            <w:rFonts w:ascii="Times New Roman;serif" w:hAnsi="Times New Roman;serif"/>
            <w:b w:val="false"/>
            <w:i/>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880"/>
        <w:gridCol w:w="440"/>
        <w:gridCol w:w="444"/>
        <w:gridCol w:w="109"/>
        <w:gridCol w:w="109"/>
        <w:gridCol w:w="109"/>
        <w:gridCol w:w="367"/>
        <w:gridCol w:w="367"/>
        <w:gridCol w:w="368"/>
        <w:gridCol w:w="109"/>
        <w:gridCol w:w="109"/>
        <w:gridCol w:w="109"/>
        <w:gridCol w:w="753"/>
        <w:gridCol w:w="633"/>
        <w:gridCol w:w="601"/>
        <w:gridCol w:w="109"/>
        <w:gridCol w:w="109"/>
        <w:gridCol w:w="109"/>
        <w:gridCol w:w="289"/>
        <w:gridCol w:w="289"/>
        <w:gridCol w:w="291"/>
        <w:gridCol w:w="109"/>
        <w:gridCol w:w="109"/>
        <w:gridCol w:w="109"/>
        <w:gridCol w:w="356"/>
        <w:gridCol w:w="918"/>
        <w:gridCol w:w="121"/>
        <w:gridCol w:w="109"/>
        <w:gridCol w:w="109"/>
        <w:gridCol w:w="109"/>
        <w:gridCol w:w="356"/>
        <w:gridCol w:w="916"/>
        <w:gridCol w:w="181"/>
      </w:tblGrid>
      <w:tr>
        <w:tc>
          <w:tcPr>
            <w:tcW w:w="88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c>
          <w:tcPr>
            <w:tcW w:w="17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Lender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Agreement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Annual </w:t>
              <w:b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Maximum Borrowing</w:t>
              <w:br/>
              <w:t>Amount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242424"/>
                <w:sz w:val="20"/>
              </w:rPr>
            </w:pPr>
            <w:r>
              <w:rPr>
                <w:rFonts w:ascii="Times New Roman;serif" w:hAnsi="Times New Roman;serif"/>
                <w:b/>
                <w:color w:val="242424"/>
                <w:sz w:val="20"/>
              </w:rPr>
              <w:t>Amount Outstanding</w:t>
              <w:br/>
              <w:t>at September 30, 2026</w:t>
            </w:r>
          </w:p>
        </w:tc>
      </w:tr>
      <w:tr>
        <w:tc>
          <w:tcPr>
            <w:tcW w:w="17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r>
      <w:tr>
        <w:tc>
          <w:tcPr>
            <w:tcW w:w="1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China Everbright Bank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2.11%-2.6%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RMB600,000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Times New Roman;serif" w:hAnsi="Times New Roman;serif"/>
                <w:b w:val="false"/>
                <w:color w:val="000000"/>
                <w:sz w:val="20"/>
              </w:rPr>
              <w:t xml:space="preserve">RMB431,689 </w:t>
            </w:r>
          </w:p>
        </w:tc>
      </w:tr>
      <w:tr>
        <w:tc>
          <w:tcPr>
            <w:tcW w:w="1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89,100 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64,106 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China Merchants Bank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2.11%-2.95%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RMB500,000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Times New Roman;serif" w:hAnsi="Times New Roman;serif"/>
                <w:b w:val="false"/>
                <w:color w:val="000000"/>
                <w:sz w:val="20"/>
              </w:rPr>
              <w:t xml:space="preserve">RMB494,248 </w:t>
            </w:r>
          </w:p>
        </w:tc>
      </w:tr>
      <w:tr>
        <w:tc>
          <w:tcPr>
            <w:tcW w:w="1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74,250 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73,395 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Bank of China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May 2036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2.11%-2.65%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Times New Roman;serif" w:hAnsi="Times New Roman;serif"/>
                <w:b w:val="false"/>
                <w:color w:val="000000"/>
                <w:sz w:val="20"/>
              </w:rPr>
              <w:t xml:space="preserve">RMB831,518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Times New Roman;serif" w:hAnsi="Times New Roman;serif"/>
                <w:b w:val="false"/>
                <w:color w:val="000000"/>
                <w:sz w:val="20"/>
              </w:rPr>
              <w:t xml:space="preserve">RMB618,401 </w:t>
            </w:r>
          </w:p>
        </w:tc>
      </w:tr>
      <w:tr>
        <w:tc>
          <w:tcPr>
            <w:tcW w:w="1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123,480 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91,833 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 xml:space="preserve">Ping An Bank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June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June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Times New Roman;serif" w:hAnsi="Times New Roman;serif"/>
                <w:b w:val="false"/>
                <w:color w:val="000000"/>
                <w:sz w:val="20"/>
              </w:rPr>
              <w:t xml:space="preserve">RMB200,000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RMB0</w:t>
            </w:r>
          </w:p>
        </w:tc>
      </w:tr>
      <w:tr>
        <w:tc>
          <w:tcPr>
            <w:tcW w:w="1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29,700 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 and Commercial Bank of China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March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2.25%-2.29%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Times New Roman;serif" w:hAnsi="Times New Roman;serif"/>
                <w:b w:val="false"/>
                <w:color w:val="000000"/>
                <w:sz w:val="20"/>
              </w:rPr>
              <w:t xml:space="preserve">RMB500,000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RMB316,470</w:t>
            </w:r>
          </w:p>
        </w:tc>
      </w:tr>
      <w:tr>
        <w:tc>
          <w:tcPr>
            <w:tcW w:w="1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74,250 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46,996 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Shanghai Pudong Development Bank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January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January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RMB100,000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RMB100,053</w:t>
            </w:r>
          </w:p>
        </w:tc>
      </w:tr>
      <w:tr>
        <w:tc>
          <w:tcPr>
            <w:tcW w:w="1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14,850 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14,858 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Bank of Beijing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June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June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RMB200,000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RMB0</w:t>
            </w:r>
          </w:p>
        </w:tc>
      </w:tr>
      <w:tr>
        <w:tc>
          <w:tcPr>
            <w:tcW w:w="1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29,700 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China Merchants Bank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Repayable by installments and the last installment is repayable in November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RMB128,500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RMB59,691</w:t>
            </w:r>
          </w:p>
        </w:tc>
      </w:tr>
      <w:tr>
        <w:tc>
          <w:tcPr>
            <w:tcW w:w="1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19,082 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8,864 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Agricultural Bank of China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April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Repayable by installments and the last installment is repayable in April 2034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Times New Roman;serif" w:hAnsi="Times New Roman;serif"/>
                <w:b w:val="false"/>
                <w:color w:val="000000"/>
                <w:sz w:val="20"/>
              </w:rPr>
              <w:t xml:space="preserve">RMB300,000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Times New Roman;serif" w:hAnsi="Times New Roman;serif"/>
                <w:b w:val="false"/>
                <w:color w:val="000000"/>
                <w:sz w:val="20"/>
              </w:rPr>
              <w:t xml:space="preserve">RMB290,177 </w:t>
            </w:r>
          </w:p>
        </w:tc>
      </w:tr>
      <w:tr>
        <w:tc>
          <w:tcPr>
            <w:tcW w:w="1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44,550 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43,091 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Bank of Communication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Times New Roman;serif" w:hAnsi="Times New Roman;serif"/>
                <w:b w:val="false"/>
                <w:color w:val="000000"/>
                <w:sz w:val="20"/>
              </w:rPr>
              <w:t xml:space="preserve">RMB300,000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RMB0</w:t>
            </w:r>
          </w:p>
        </w:tc>
      </w:tr>
      <w:tr>
        <w:tc>
          <w:tcPr>
            <w:tcW w:w="1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44,550 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8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Total US Dollars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543,512 </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343,143 </w:t>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540"/>
        <w:jc w:val="both"/>
      </w:pPr>
      <w:r>
        <w:rPr>
          <w:rFonts w:ascii="Times New Roman;serif" w:hAnsi="Times New Roman;serif"/>
          <w:b w:val="false"/>
          <w:color w:val="000000"/>
          <w:sz w:val="20"/>
          <w:shd w:fill="FFFFFF" w:val="clear"/>
        </w:rPr>
        <w:t>(1)</w:t>
      </w:r>
      <w:r>
        <w:rPr>
          <w:rFonts w:ascii="Times New Roman;serif" w:hAnsi="Times New Roman;serif"/>
          <w:b w:val="false"/>
          <w:color w:val="000000"/>
          <w:sz w:val="20"/>
        </w:rPr>
        <w:t xml:space="preserve">Converted from RMB to dollars as of </w:t>
      </w:r>
      <w:r>
        <w:rPr>
          <w:rFonts w:ascii="Times New Roman;serif" w:hAnsi="Times New Roman;serif"/>
          <w:b w:val="false"/>
          <w:color w:val="000000"/>
          <w:sz w:val="20"/>
          <w:shd w:fill="FFFFFF" w:val="clear"/>
        </w:rPr>
        <w:t>September 30, 2026</w:t>
      </w:r>
      <w:r>
        <w:rPr>
          <w:rFonts w:ascii="Times New Roman;serif" w:hAnsi="Times New Roman;serif"/>
          <w:b w:val="false"/>
          <w:color w:val="000000"/>
          <w:sz w:val="20"/>
        </w:rPr>
        <w:t xml:space="preserve">. </w:t>
      </w:r>
    </w:p>
    <w:p>
      <w:pPr>
        <w:pStyle w:val="TextBody"/>
        <w:bidi w:val="0"/>
        <w:spacing w:lineRule="auto" w:line="288" w:before="24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(2)In May 2026, we entered into a loan agreement of RMB231,518 ($34,380) at a 2.65% interest rate, which was subsequently secured by a pledge of the property of ACM Shanghai (note 6) in July 2026.</w:t>
      </w:r>
    </w:p>
    <w:p>
      <w:pPr>
        <w:pStyle w:val="TextBody"/>
        <w:bidi w:val="0"/>
        <w:spacing w:lineRule="auto" w:line="288" w:before="24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(3)The loan from China Merchants Bank is secured by a pledge of the property of ACM Lingang and guaranteed by ACM Shanghai, as described above under “—Contractual Obligations.”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Loan Covenants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both"/>
      </w:pPr>
      <w:hyperlink w:anchor="ia22e01e7fdae4b968e9b46967ef89c75_7">
        <w:r>
          <w:rPr>
            <w:rStyle w:val="InternetLink"/>
            <w:rFonts w:ascii="Times New Roman;serif" w:hAnsi="Times New Roman;serif"/>
            <w:b w:val="false"/>
            <w:i/>
            <w:color w:val="0000FF"/>
            <w:sz w:val="16"/>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2025, ACM Shanghai secured a long-term loan with the Bank of China (note 9) for ACM Shanghai’s project expenditures. The loan requires ACM Shanghai’s year-end outstanding interest-bearing debt not to exceed five times its annual EBITDA, and to comply with other non-financial covenants, or Bank of China has the right to suspend the loan, or request ACM Shanghai to accelerate repayment or provide credit enhancement.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Effect of exchange rate changes on cash, cash equivalents and restricted cash</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impact of fluctuations of the RMB to U.S. dollar currency exchange rate in RMB-denominated accounts (note 2) contributed to a $12.5 million increase in the value of these items during the nine months ended September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Contractual Obligations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Grant Contract for State-owned Construction Land Use Right in Shanghai City</w:t>
      </w:r>
    </w:p>
    <w:p>
      <w:pPr>
        <w:pStyle w:val="TextBody"/>
        <w:bidi w:val="0"/>
        <w:spacing w:before="0" w:after="0"/>
        <w:jc w:val="left"/>
      </w:pPr>
      <w:r/>
    </w:p>
    <w:p>
      <w:pPr>
        <w:pStyle w:val="TextBody"/>
        <w:bidi w:val="0"/>
        <w:spacing w:lineRule="auto" w:line="288" w:before="0" w:after="0"/>
        <w:jc w:val="both"/>
      </w:pPr>
      <w:r>
        <w:rPr>
          <w:rFonts w:ascii="Times New Roman;serif" w:hAnsi="Times New Roman;serif"/>
          <w:b w:val="false"/>
          <w:color w:val="000000"/>
          <w:sz w:val="20"/>
          <w:shd w:fill="FFFFFF" w:val="clear"/>
        </w:rPr>
        <w:t>In 2020, ACM Shanghai, through its wholly-owned subsidiary ACM Lingang, entered into a Grant Contract for State-owned Construction Land Use Right in Shanghai City (Category of R&amp;D Headquarters and Industrial Projects), or the Grant Agreement, with the China (Shanghai) Pilot Free Trade Zone Lin-gang Special Area Administration, or the Grantor. ACM Lingang obtained rights to use approximately 43,000 square meters (10.6 acres) of land in the East China Silicon Hub of Lin-gang Special Area of China (Shanghai) Pilot Free Trade Zone for a period of fifty years, commencing on the date of delivery of the land in July 2020. For a description of the material terms of the Grant Agreement, see “Item 7. Management’s Discussion and Analysis of Financial Condition and Results of Operations—Contractual Obligations” in our 2025 Annual Report and see</w:t>
      </w:r>
      <w:r>
        <w:rPr>
          <w:color w:val="000000"/>
        </w:rPr>
        <w:t xml:space="preserve"> </w:t>
      </w:r>
      <w:r>
        <w:rPr>
          <w:rFonts w:ascii="Times New Roman;serif" w:hAnsi="Times New Roman;serif"/>
          <w:b w:val="false"/>
          <w:color w:val="000000"/>
          <w:sz w:val="20"/>
        </w:rPr>
        <w:t>note 16 for additio</w:t>
      </w:r>
      <w:r>
        <w:rPr>
          <w:rFonts w:ascii="Times New Roman;serif" w:hAnsi="Times New Roman;serif"/>
          <w:b w:val="false"/>
          <w:color w:val="000000"/>
          <w:sz w:val="20"/>
          <w:shd w:fill="FFFFFF" w:val="clear"/>
        </w:rPr>
        <w:t>nal detail.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How We Evaluate Our Operations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present information below with respect to four measures of financial performance:</w:t>
      </w:r>
    </w:p>
    <w:p>
      <w:pPr>
        <w:pStyle w:val="TextBody"/>
        <w:bidi w:val="0"/>
        <w:spacing w:lineRule="auto" w:line="288" w:before="240" w:after="283"/>
        <w:ind w:left="0" w:right="0" w:hanging="720"/>
        <w:jc w:val="both"/>
      </w:pPr>
      <w:r>
        <w:rPr>
          <w:color w:val="000000"/>
          <w:shd w:fill="FFFFFF" w:val="clear"/>
        </w:rPr>
        <w:t>•</w:t>
      </w:r>
      <w:r>
        <w:rPr>
          <w:rFonts w:ascii="Times New Roman;serif" w:hAnsi="Times New Roman;serif"/>
          <w:b w:val="false"/>
          <w:color w:val="000000"/>
          <w:sz w:val="20"/>
          <w:shd w:fill="FFFFFF" w:val="clear"/>
        </w:rPr>
        <w:t>We define shipments of tools to include (a) a repeat shipment to a customer of a type of tool that the customer has previously accepted, for which we recognize revenue upon shipment or delivery, and (b) a first-time shipment of a first tool to a customer on an approval basis, for which we may recognize revenue in the future if contractual conditions are met, or if a purchase order is received.</w:t>
      </w:r>
    </w:p>
    <w:p>
      <w:pPr>
        <w:pStyle w:val="TextBody"/>
        <w:bidi w:val="0"/>
        <w:spacing w:lineRule="auto" w:line="288" w:before="0" w:after="0"/>
        <w:ind w:left="0" w:right="0" w:hanging="720"/>
        <w:jc w:val="both"/>
      </w:pPr>
      <w:r>
        <w:rPr>
          <w:color w:val="000000"/>
        </w:rPr>
        <w:t>•</w:t>
      </w:r>
      <w:r>
        <w:rPr>
          <w:rFonts w:ascii="Times New Roman;serif" w:hAnsi="Times New Roman;serif"/>
          <w:b w:val="false"/>
          <w:color w:val="000000"/>
          <w:sz w:val="20"/>
          <w:shd w:fill="FFFFFF" w:val="clear"/>
        </w:rPr>
        <w:t>We define “adjusted EBITDA” as net income excluding interest expense (net), income tax benefit (expense), depreciation and amortization, unrealized (gain) loss on short-term investments, and stock-based compensation. We define adjusted EBITDA to also exclude restructuring costs, although we have not incurred any such costs to date.</w:t>
      </w:r>
    </w:p>
    <w:p>
      <w:pPr>
        <w:pStyle w:val="TextBody"/>
        <w:bidi w:val="0"/>
        <w:spacing w:lineRule="auto" w:line="288" w:before="0" w:after="0"/>
        <w:ind w:left="0" w:right="0" w:hanging="720"/>
        <w:jc w:val="both"/>
      </w:pPr>
      <w:r>
        <w:rPr>
          <w:color w:val="000000"/>
        </w:rPr>
        <w:t>•</w:t>
      </w:r>
      <w:r>
        <w:rPr>
          <w:rFonts w:ascii="Times New Roman;serif" w:hAnsi="Times New Roman;serif"/>
          <w:b w:val="false"/>
          <w:color w:val="000000"/>
          <w:sz w:val="20"/>
          <w:shd w:fill="FFFFFF" w:val="clear"/>
        </w:rPr>
        <w:t>We define “free cash flow” as net cash provided by operating activities less purchases of property and equipment (net of proceeds from disposals) and purchase of short-term and long-term investments.</w:t>
      </w:r>
    </w:p>
    <w:p>
      <w:pPr>
        <w:pStyle w:val="TextBody"/>
        <w:bidi w:val="0"/>
        <w:spacing w:lineRule="auto" w:line="288" w:before="0" w:after="0"/>
        <w:ind w:left="0" w:right="0" w:hanging="720"/>
        <w:jc w:val="both"/>
      </w:pPr>
      <w:r>
        <w:rPr>
          <w:color w:val="000000"/>
        </w:rPr>
        <w:t>•</w:t>
      </w:r>
      <w:r>
        <w:rPr>
          <w:rFonts w:ascii="Times New Roman;serif" w:hAnsi="Times New Roman;serif"/>
          <w:b w:val="false"/>
          <w:color w:val="000000"/>
          <w:sz w:val="20"/>
          <w:shd w:fill="FFFFFF" w:val="clear"/>
        </w:rPr>
        <w:t>We define “adjusted operating income (loss)” as our income (loss) from operations excluding stock-based compensation.</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These financial measures are not based on any standardized methodologies prescribed by accounting principles generally accepted in the United States, or GAAP, and are not necessarily comparable to similarly titled measures presented by other companies.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have presented shipments, adjusted EBITDA, free cash flow and adjusted operating income (loss) because they are key measures used by our management and board of directors to understand and evaluate our operating performance, to establish budgets and to develop operational goals for managing our business. We believe that these financial measures help identify underlying trends in our business that could otherwise be masked by the effect of the expenses that we exclude. In particular, we believe that the exclusion of the expenses eliminated in calculating adjusted EBITDA and adjusted operating income (loss) can provide useful measures for period-to-period comparisons of our core operating performance and that the exclusion of property and equipment purchases from operating cash flow can provide a usual means to gauge our capability to generate cash. Accordingly, we believe that these financial measures provide useful information to investors and others in understanding and evaluating our operating results, enhancing the overall understanding of our past performance and future prospects, and allowing for greater transparency with respect to key financial metrics used by our management in its financial and operational decision-making.</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Shipments, adjusted EBITDA, free cash flow and adjusted operating income (loss) are not prepared in accordance with GAAP, and should not be considered in isolation of, or as an alternative to, measures prepared in accordance with GAAP.</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both"/>
      </w:pPr>
      <w:hyperlink w:anchor="ia22e01e7fdae4b968e9b46967ef89c75_7">
        <w:r>
          <w:rPr>
            <w:rStyle w:val="InternetLink"/>
            <w:rFonts w:ascii="Times New Roman;serif" w:hAnsi="Times New Roman;serif"/>
            <w:b w:val="false"/>
            <w:i/>
            <w:color w:val="0000FF"/>
            <w:sz w:val="16"/>
            <w:u w:val="single"/>
          </w:rPr>
          <w:t>Table of Contents</w:t>
        </w:r>
      </w:hyperlink>
    </w:p>
    <w:p>
      <w:pPr>
        <w:pStyle w:val="TextBody"/>
        <w:bidi w:val="0"/>
        <w:spacing w:lineRule="auto" w:line="288" w:before="240" w:after="283"/>
        <w:ind w:left="0" w:right="0" w:firstLine="72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Shipments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consider shipments a key operating metric as it reflects the total value of products delivered to customers and prospective customers by our productive assets.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Shipments consist of two components: </w:t>
      </w:r>
    </w:p>
    <w:p>
      <w:pPr>
        <w:pStyle w:val="TextBody"/>
        <w:bidi w:val="0"/>
        <w:spacing w:lineRule="auto" w:line="288" w:before="240" w:after="283"/>
        <w:ind w:left="0" w:right="0" w:hanging="720"/>
        <w:jc w:val="both"/>
      </w:pPr>
      <w:r>
        <w:rPr>
          <w:color w:val="000000"/>
          <w:shd w:fill="FFFFFF" w:val="clear"/>
        </w:rPr>
        <w:t>•</w:t>
      </w:r>
      <w:r>
        <w:rPr>
          <w:rFonts w:ascii="Times New Roman;serif" w:hAnsi="Times New Roman;serif"/>
          <w:b w:val="false"/>
          <w:color w:val="000000"/>
          <w:sz w:val="20"/>
          <w:shd w:fill="FFFFFF" w:val="clear"/>
        </w:rPr>
        <w:t>a shipment to a customer of a type of tool that the customer has previously accepted, for which we recognize revenue when the tool is delivered; and</w:t>
      </w:r>
    </w:p>
    <w:p>
      <w:pPr>
        <w:pStyle w:val="TextBody"/>
        <w:bidi w:val="0"/>
        <w:spacing w:lineRule="auto" w:line="288" w:before="0" w:after="0"/>
        <w:ind w:left="0" w:right="0" w:hanging="720"/>
        <w:jc w:val="both"/>
      </w:pPr>
      <w:r>
        <w:rPr>
          <w:color w:val="000000"/>
        </w:rPr>
        <w:t>•</w:t>
      </w:r>
      <w:r>
        <w:rPr>
          <w:rFonts w:ascii="Times New Roman;serif" w:hAnsi="Times New Roman;serif"/>
          <w:b w:val="false"/>
          <w:color w:val="000000"/>
          <w:sz w:val="20"/>
          <w:shd w:fill="FFFFFF" w:val="clear"/>
        </w:rPr>
        <w:t>a shipment to a customer of a type of tool that the customer is receiving and evaluating for the first time, in each case a first tool, for which we may recognize revenue at a later date, subject to the customer’s acceptance of the tool upon the tool’s satisfaction of applicable contractual requirements or subject to the customer’s subsequent discretionary commitment to purchase the tool.</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First tool shipments can be made to either an existing customer that has not previously accepted that specific type of tool in the past ─ for example, a delivery of a SAPS V tool to a customer that previously had received only SAPS II tools ─ or to a new customer that has never purchased any tool from us.</w:t>
      </w:r>
    </w:p>
    <w:p>
      <w:pPr>
        <w:pStyle w:val="TextBody"/>
        <w:bidi w:val="0"/>
        <w:spacing w:lineRule="auto" w:line="288" w:before="240" w:after="283"/>
        <w:jc w:val="both"/>
      </w:pPr>
      <w:r>
        <w:rPr>
          <w:rFonts w:ascii="Times New Roman;serif" w:hAnsi="Times New Roman;serif"/>
          <w:b w:val="false"/>
          <w:color w:val="000000"/>
          <w:sz w:val="20"/>
        </w:rPr>
        <w:t>S</w:t>
      </w:r>
      <w:r>
        <w:rPr>
          <w:rFonts w:ascii="Times New Roman;serif" w:hAnsi="Times New Roman;serif"/>
          <w:b w:val="false"/>
          <w:color w:val="000000"/>
          <w:sz w:val="20"/>
          <w:shd w:fill="FFFFFF" w:val="clear"/>
        </w:rPr>
        <w:t>hipments in the nine months ended September 30, 2026 tota</w:t>
      </w:r>
      <w:r>
        <w:rPr>
          <w:rFonts w:ascii="Times New Roman;serif" w:hAnsi="Times New Roman;serif"/>
          <w:b w:val="false"/>
          <w:color w:val="000000"/>
          <w:sz w:val="20"/>
        </w:rPr>
        <w:t>led $865.7 mi</w:t>
      </w:r>
      <w:r>
        <w:rPr>
          <w:rFonts w:ascii="Times New Roman;serif" w:hAnsi="Times New Roman;serif"/>
          <w:b w:val="false"/>
          <w:color w:val="000000"/>
          <w:sz w:val="20"/>
          <w:shd w:fill="FFFFFF" w:val="clear"/>
        </w:rPr>
        <w:t>llion, as compared to $626.2 million for the same period in 2025. Repeat tool shipments in the nine months ended September 30, 2026 total</w:t>
      </w:r>
      <w:r>
        <w:rPr>
          <w:rFonts w:ascii="Times New Roman;serif" w:hAnsi="Times New Roman;serif"/>
          <w:b w:val="false"/>
          <w:color w:val="000000"/>
          <w:sz w:val="20"/>
        </w:rPr>
        <w:t>ed $538.1 million, as compared to $336.4 million for same period in 2025. First tool shipments in the nine months ended September</w:t>
      </w:r>
      <w:r>
        <w:rPr>
          <w:color w:val="000000"/>
          <w:shd w:fill="FFFFFF" w:val="clear"/>
        </w:rPr>
        <w:t xml:space="preserve"> </w:t>
      </w:r>
      <w:r>
        <w:rPr>
          <w:rFonts w:ascii="Times New Roman;serif" w:hAnsi="Times New Roman;serif"/>
          <w:b w:val="false"/>
          <w:color w:val="000000"/>
          <w:sz w:val="20"/>
          <w:shd w:fill="FFFFFF" w:val="clear"/>
        </w:rPr>
        <w:t>30, 2026 tota</w:t>
      </w:r>
      <w:r>
        <w:rPr>
          <w:rFonts w:ascii="Times New Roman;serif" w:hAnsi="Times New Roman;serif"/>
          <w:b w:val="false"/>
          <w:color w:val="000000"/>
          <w:sz w:val="20"/>
        </w:rPr>
        <w:t>led $327.6 million</w:t>
      </w:r>
      <w:r>
        <w:rPr>
          <w:rFonts w:ascii="Times New Roman;serif" w:hAnsi="Times New Roman;serif"/>
          <w:b w:val="false"/>
          <w:color w:val="000000"/>
          <w:sz w:val="20"/>
          <w:shd w:fill="FFFFFF" w:val="clear"/>
        </w:rPr>
        <w:t>, as compared to $289.8 million for the same period in 2025.</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dollar amount attributed to a first tool shipment is equal to the consideration we expect to receive if any and all contractual requirements are satisfied and the customer accepts the tool, or if the customer subsequently determines in its discretion to purchase the tool. There are a number of limitations related to the use of shipments in evaluating our business, including that customers have significant, or in some cases total, discretion in determining whether to accept or purchase our tools after evaluation and their decision not to accept or purchase delivered tools is likely to result in our inability to recognize revenue from the delivered tools. “First tool” shipments reflect the value of incremental new products under evaluation delivered to our customers or prospective customers for a given period and is used as an internal key metric to reflect future potential revenue opportunity. The cumulative cost of “first tool” shipments under evaluation at customers which have not been accepted or returned by the customer is carried at cost and reflected in finished goods inventory (see Note 5 to the condensed consolidated financial statements included in this report). “First tool” shipments exclude deliveries to customers for which ACM Research does not have a basis to expect future revenue.</w:t>
      </w:r>
    </w:p>
    <w:p>
      <w:pPr>
        <w:pStyle w:val="TextBody"/>
        <w:bidi w:val="0"/>
        <w:spacing w:lineRule="auto" w:line="288" w:before="240" w:after="283"/>
        <w:ind w:left="0" w:right="0" w:firstLine="7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Adjusted </w:t>
      </w:r>
      <w:bookmarkStart w:id="2" w:name="i4f58d437ae3a44869c70ee97cbe45123_10612"/>
      <w:bookmarkEnd w:id="2"/>
      <w:r>
        <w:rPr>
          <w:rFonts w:ascii="Times New Roman;serif" w:hAnsi="Times New Roman;serif"/>
          <w:b/>
          <w:i/>
          <w:color w:val="000000"/>
          <w:sz w:val="20"/>
          <w:shd w:fill="FFFFFF" w:val="clear"/>
        </w:rPr>
        <w:t xml:space="preserve">EBITDA </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There are a number of limitations related to the use of adjusted EBITDA rather than net income (loss), which is the nearest GAAP equivalent. Some of these limitations are:</w:t>
      </w:r>
    </w:p>
    <w:p>
      <w:pPr>
        <w:pStyle w:val="TextBody"/>
        <w:bidi w:val="0"/>
        <w:spacing w:lineRule="auto" w:line="288" w:before="240" w:after="283"/>
        <w:ind w:left="0" w:right="0" w:hanging="720"/>
        <w:jc w:val="both"/>
      </w:pPr>
      <w:r>
        <w:rPr>
          <w:color w:val="000000"/>
          <w:shd w:fill="FFFFFF" w:val="clear"/>
        </w:rPr>
        <w:t>•</w:t>
      </w:r>
      <w:r>
        <w:rPr>
          <w:rFonts w:ascii="Times New Roman;serif" w:hAnsi="Times New Roman;serif"/>
          <w:b w:val="false"/>
          <w:color w:val="000000"/>
          <w:sz w:val="20"/>
          <w:shd w:fill="FFFFFF" w:val="clear"/>
        </w:rPr>
        <w:t>adjusted EBITDA excludes depreciation and amortization and, although these are non-cash expenses, the assets being depreciated or amortized may have to be replaced in the future;</w:t>
      </w:r>
    </w:p>
    <w:p>
      <w:pPr>
        <w:pStyle w:val="TextBody"/>
        <w:bidi w:val="0"/>
        <w:spacing w:lineRule="auto" w:line="288" w:before="0" w:after="0"/>
        <w:ind w:left="0" w:right="0" w:hanging="720"/>
        <w:jc w:val="both"/>
      </w:pPr>
      <w:r>
        <w:rPr>
          <w:color w:val="000000"/>
          <w:shd w:fill="FFFFFF" w:val="clear"/>
        </w:rPr>
        <w:t>•</w:t>
      </w:r>
      <w:r>
        <w:rPr>
          <w:rFonts w:ascii="Times New Roman;serif" w:hAnsi="Times New Roman;serif"/>
          <w:b w:val="false"/>
          <w:color w:val="000000"/>
          <w:sz w:val="20"/>
          <w:shd w:fill="FFFFFF" w:val="clear"/>
        </w:rPr>
        <w:t>we exclude stock-based compensation expense from adjusted EBITDA and adjusted operating income (loss), although (a) it has been, and will continue to be for the foreseeable future, a significant recurring expense for our business and an important part of our compensation strategy and (b) if we did not pay out a portion of our compensation in the form of stock-based compensation, the cash salary expense included in operating expenses would be higher, which would affect our cash position;</w:t>
      </w:r>
    </w:p>
    <w:p>
      <w:pPr>
        <w:pStyle w:val="TextBody"/>
        <w:bidi w:val="0"/>
        <w:spacing w:lineRule="auto" w:line="288" w:before="0" w:after="0"/>
        <w:ind w:left="0" w:right="0" w:hanging="720"/>
        <w:jc w:val="both"/>
      </w:pPr>
      <w:r>
        <w:rPr>
          <w:color w:val="000000"/>
        </w:rPr>
        <w:t>•</w:t>
      </w:r>
      <w:r>
        <w:rPr>
          <w:rFonts w:ascii="Times New Roman;serif" w:hAnsi="Times New Roman;serif"/>
          <w:b w:val="false"/>
          <w:color w:val="000000"/>
          <w:sz w:val="20"/>
          <w:shd w:fill="FFFFFF" w:val="clear"/>
        </w:rPr>
        <w:t>the expenses and other items that we exclude in our calculation of adjusted EBITDA may differ from the expenses and other items, if any, that other companies may exclude from adjusted EBITDA when they report their operating results;</w:t>
      </w:r>
    </w:p>
    <w:p>
      <w:pPr>
        <w:pStyle w:val="TextBody"/>
        <w:bidi w:val="0"/>
        <w:spacing w:lineRule="auto" w:line="288" w:before="0" w:after="0"/>
        <w:ind w:left="0" w:right="0" w:hanging="720"/>
        <w:jc w:val="both"/>
      </w:pPr>
      <w:r>
        <w:rPr>
          <w:color w:val="000000"/>
        </w:rPr>
        <w:t>•</w:t>
      </w:r>
      <w:r>
        <w:rPr>
          <w:rFonts w:ascii="Times New Roman;serif" w:hAnsi="Times New Roman;serif"/>
          <w:b w:val="false"/>
          <w:color w:val="000000"/>
          <w:sz w:val="20"/>
          <w:shd w:fill="FFFFFF" w:val="clear"/>
        </w:rPr>
        <w:t>adjusted EBITDA does not reflect changes in, or cash requirements for, working capital needs;</w:t>
      </w:r>
    </w:p>
    <w:p>
      <w:pPr>
        <w:pStyle w:val="TextBody"/>
        <w:bidi w:val="0"/>
        <w:spacing w:lineRule="auto" w:line="288" w:before="0" w:after="0"/>
        <w:ind w:left="0" w:right="0" w:hanging="720"/>
        <w:jc w:val="both"/>
      </w:pPr>
      <w:r>
        <w:rPr>
          <w:color w:val="000000"/>
        </w:rPr>
        <w:t>•</w:t>
      </w:r>
      <w:r>
        <w:rPr>
          <w:rFonts w:ascii="Times New Roman;serif" w:hAnsi="Times New Roman;serif"/>
          <w:b w:val="false"/>
          <w:color w:val="000000"/>
          <w:sz w:val="20"/>
          <w:shd w:fill="FFFFFF" w:val="clear"/>
        </w:rPr>
        <w:t>adjusted EBITDA does not reflect interest expense, or the requirements necessary to service interest or principal payments on debt;</w:t>
      </w:r>
    </w:p>
    <w:p>
      <w:pPr>
        <w:pStyle w:val="TextBody"/>
        <w:bidi w:val="0"/>
        <w:spacing w:lineRule="auto" w:line="288" w:before="0" w:after="0"/>
        <w:ind w:left="0" w:right="0" w:hanging="720"/>
        <w:jc w:val="both"/>
      </w:pPr>
      <w:r>
        <w:rPr>
          <w:color w:val="000000"/>
        </w:rPr>
        <w:t>•</w:t>
      </w:r>
      <w:r>
        <w:rPr>
          <w:rFonts w:ascii="Times New Roman;serif" w:hAnsi="Times New Roman;serif"/>
          <w:b w:val="false"/>
          <w:color w:val="000000"/>
          <w:sz w:val="20"/>
          <w:shd w:fill="FFFFFF" w:val="clear"/>
        </w:rPr>
        <w:t>adjusted EBITDA does not reflect income tax expense (benefit) or the cash requirements to pay taxes;</w:t>
      </w:r>
    </w:p>
    <w:p>
      <w:pPr>
        <w:pStyle w:val="TextBody"/>
        <w:bidi w:val="0"/>
        <w:spacing w:lineRule="auto" w:line="288" w:before="0" w:after="0"/>
        <w:ind w:left="0" w:right="0" w:hanging="720"/>
        <w:jc w:val="both"/>
      </w:pPr>
      <w:r>
        <w:rPr>
          <w:color w:val="000000"/>
        </w:rPr>
        <w:t>•</w:t>
      </w:r>
      <w:r>
        <w:rPr>
          <w:rFonts w:ascii="Times New Roman;serif" w:hAnsi="Times New Roman;serif"/>
          <w:b w:val="false"/>
          <w:color w:val="000000"/>
          <w:sz w:val="20"/>
          <w:shd w:fill="FFFFFF" w:val="clear"/>
        </w:rPr>
        <w:t>adjusted EBITDA does not reflect historical cash expenditures or future requirements for capital expenditures or contractual commitments; and</w:t>
      </w:r>
    </w:p>
    <w:p>
      <w:pPr>
        <w:pStyle w:val="TextBody"/>
        <w:bidi w:val="0"/>
        <w:spacing w:lineRule="auto" w:line="288" w:before="0" w:after="0"/>
        <w:ind w:left="0" w:right="0" w:hanging="720"/>
        <w:jc w:val="both"/>
      </w:pPr>
      <w:r>
        <w:rPr>
          <w:color w:val="000000"/>
        </w:rPr>
        <w:t>•</w:t>
      </w:r>
      <w:r>
        <w:rPr>
          <w:rFonts w:ascii="Times New Roman;serif" w:hAnsi="Times New Roman;serif"/>
          <w:b w:val="false"/>
          <w:color w:val="000000"/>
          <w:sz w:val="20"/>
          <w:shd w:fill="FFFFFF" w:val="clear"/>
        </w:rPr>
        <w:t xml:space="preserve">adjusted EBITDA includes expense reductions and non-operating other income attributable to mainland China governmental grants, which may mask the effect of underlying developments in net income, including trends in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both"/>
      </w:pPr>
      <w:hyperlink w:anchor="ia22e01e7fdae4b968e9b46967ef89c75_7">
        <w:r>
          <w:rPr>
            <w:rStyle w:val="InternetLink"/>
            <w:rFonts w:ascii="Times New Roman;serif" w:hAnsi="Times New Roman;serif"/>
            <w:b w:val="false"/>
            <w:i/>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current expenses and interest expense, and free cash flow includes mainland China governmental grants, the amount and timing of which can be difficult to predict and are outside our control.</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reconciles net income, the most directly comparable GAAP financial measure, to adjusted EBITDA:</w:t>
      </w:r>
    </w:p>
    <w:tbl>
      <w:tblPr>
        <w:tblW w:w="9916" w:type="dxa"/>
        <w:jc w:val="left"/>
        <w:tblInd w:w="0" w:type="dxa"/>
        <w:tblLayout w:type="fixed"/>
        <w:tblCellMar>
          <w:top w:w="28" w:type="dxa"/>
          <w:left w:w="28" w:type="dxa"/>
          <w:bottom w:w="28" w:type="dxa"/>
          <w:right w:w="28" w:type="dxa"/>
        </w:tblCellMar>
      </w:tblPr>
      <w:tblGrid>
        <w:gridCol w:w="1374"/>
        <w:gridCol w:w="1208"/>
        <w:gridCol w:w="1212"/>
        <w:gridCol w:w="211"/>
        <w:gridCol w:w="826"/>
        <w:gridCol w:w="109"/>
        <w:gridCol w:w="109"/>
        <w:gridCol w:w="109"/>
        <w:gridCol w:w="109"/>
        <w:gridCol w:w="211"/>
        <w:gridCol w:w="826"/>
        <w:gridCol w:w="109"/>
        <w:gridCol w:w="109"/>
        <w:gridCol w:w="109"/>
        <w:gridCol w:w="109"/>
        <w:gridCol w:w="301"/>
        <w:gridCol w:w="270"/>
        <w:gridCol w:w="659"/>
        <w:gridCol w:w="109"/>
        <w:gridCol w:w="109"/>
        <w:gridCol w:w="109"/>
        <w:gridCol w:w="314"/>
        <w:gridCol w:w="1076"/>
        <w:gridCol w:w="229"/>
      </w:tblGrid>
      <w:tr>
        <w:tc>
          <w:tcPr>
            <w:tcW w:w="1374"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2" w:type="dxa"/>
            <w:gridSpan w:val="21"/>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br/>
              <w:t> 2026 v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Absolute Change </w:t>
              <w:br/>
              <w:t>2026 v 2025</w:t>
            </w:r>
          </w:p>
        </w:tc>
      </w:tr>
      <w:t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2"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r>
      <w:tr>
        <w:tc>
          <w:tcPr>
            <w:tcW w:w="3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Adjusted EBITDA Data:</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w:t>
            </w:r>
          </w:p>
        </w:tc>
        <w:tc>
          <w:tcPr>
            <w:tcW w:w="65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47,127 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Interest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159.5</w:t>
            </w:r>
          </w:p>
        </w:tc>
        <w:tc>
          <w:tcPr>
            <w:tcW w:w="65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(8,433)</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Income tax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184.1</w:t>
            </w:r>
          </w:p>
        </w:tc>
        <w:tc>
          <w:tcPr>
            <w:tcW w:w="65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12,396 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79.1</w:t>
            </w:r>
          </w:p>
        </w:tc>
        <w:tc>
          <w:tcPr>
            <w:tcW w:w="65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8,276 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Stock 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w:t>
            </w:r>
          </w:p>
        </w:tc>
        <w:tc>
          <w:tcPr>
            <w:tcW w:w="65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(4,243)</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Unrealized gain on short-term investments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43.1</w:t>
            </w:r>
          </w:p>
        </w:tc>
        <w:tc>
          <w:tcPr>
            <w:tcW w:w="65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(8,749)</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172,807 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126,433 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w:t>
            </w:r>
          </w:p>
        </w:tc>
        <w:tc>
          <w:tcPr>
            <w:tcW w:w="65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46,374 </w:t>
            </w:r>
          </w:p>
        </w:tc>
        <w:tc>
          <w:tcPr>
            <w:tcW w:w="2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lineRule="auto" w:line="288" w:before="0" w:after="0"/>
        <w:jc w:val="both"/>
      </w:pPr>
      <w:r>
        <w:rPr>
          <w:rFonts w:ascii="Times New Roman;serif" w:hAnsi="Times New Roman;serif"/>
          <w:b w:val="false"/>
          <w:color w:val="000000"/>
          <w:sz w:val="20"/>
          <w:shd w:fill="FFFFFF" w:val="clear"/>
        </w:rPr>
        <w:t>We do not exclude from adjusted EBITDA expense reductions and non-operating other income attributable to mainland China governmental grants because we consider and incorporate the expected amounts and timing of those grants in incurring expenses and capital expenditures. If we did not receive the grants, our cash expenses therefore would be lower, and our cash position would not be affected, to the extent we have accurately anticipated the amounts of the grants. For additional information regarding our mainland China grants, please see “</w:t>
      </w:r>
      <w:r>
        <w:rPr>
          <w:color w:val="000000"/>
        </w:rPr>
        <w:t>—</w:t>
      </w:r>
      <w:r>
        <w:rPr>
          <w:rFonts w:ascii="Times New Roman;serif" w:hAnsi="Times New Roman;serif"/>
          <w:b w:val="false"/>
          <w:color w:val="000000"/>
          <w:sz w:val="20"/>
        </w:rPr>
        <w:t>M</w:t>
      </w:r>
      <w:r>
        <w:rPr>
          <w:rFonts w:ascii="Times New Roman;serif" w:hAnsi="Times New Roman;serif"/>
          <w:b w:val="false"/>
          <w:color w:val="000000"/>
          <w:sz w:val="20"/>
          <w:shd w:fill="FFFFFF" w:val="clear"/>
        </w:rPr>
        <w:t>ainland China Government Research and Development Funding.”</w:t>
      </w:r>
    </w:p>
    <w:p>
      <w:pPr>
        <w:pStyle w:val="TextBody"/>
        <w:bidi w:val="0"/>
        <w:spacing w:lineRule="auto" w:line="288" w:before="240" w:after="283"/>
        <w:ind w:left="0" w:right="0" w:firstLine="7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Free Cash Flow</w:t>
      </w:r>
    </w:p>
    <w:p>
      <w:pPr>
        <w:pStyle w:val="TextBody"/>
        <w:bidi w:val="0"/>
        <w:spacing w:before="0" w:after="0"/>
        <w:jc w:val="both"/>
      </w:pPr>
      <w:r/>
    </w:p>
    <w:p>
      <w:pPr>
        <w:pStyle w:val="TextBody"/>
        <w:bidi w:val="0"/>
        <w:spacing w:lineRule="auto" w:line="288" w:before="0" w:after="0"/>
        <w:jc w:val="both"/>
      </w:pPr>
      <w:r>
        <w:rPr>
          <w:rFonts w:ascii="Times New Roman;serif" w:hAnsi="Times New Roman;serif"/>
          <w:b w:val="false"/>
          <w:color w:val="000000"/>
          <w:sz w:val="20"/>
          <w:shd w:fill="FFFFFF" w:val="clear"/>
        </w:rPr>
        <w:t xml:space="preserve">The following table reconciles net cash </w:t>
      </w:r>
      <w:r>
        <w:rPr>
          <w:rFonts w:ascii="Times New Roman;serif" w:hAnsi="Times New Roman;serif"/>
          <w:b w:val="false"/>
          <w:color w:val="000000"/>
          <w:sz w:val="20"/>
        </w:rPr>
        <w:t xml:space="preserve">(used in) </w:t>
      </w:r>
      <w:r>
        <w:rPr>
          <w:rFonts w:ascii="Times New Roman;serif" w:hAnsi="Times New Roman;serif"/>
          <w:b w:val="false"/>
          <w:color w:val="000000"/>
          <w:sz w:val="20"/>
          <w:shd w:fill="FFFFFF" w:val="clear"/>
        </w:rPr>
        <w:t>provided by</w:t>
      </w:r>
      <w:r>
        <w:rPr>
          <w:color w:val="000000"/>
        </w:rPr>
        <w:t xml:space="preserve"> </w:t>
      </w:r>
      <w:r>
        <w:rPr>
          <w:rFonts w:ascii="Times New Roman;serif" w:hAnsi="Times New Roman;serif"/>
          <w:b w:val="false"/>
          <w:color w:val="000000"/>
          <w:sz w:val="20"/>
          <w:shd w:fill="FFFFFF" w:val="clear"/>
        </w:rPr>
        <w:t>operating activities, the most directly comparable GAAP financial measure, to free cash flow:</w:t>
      </w:r>
    </w:p>
    <w:tbl>
      <w:tblPr>
        <w:tblW w:w="10205" w:type="dxa"/>
        <w:jc w:val="left"/>
        <w:tblInd w:w="0" w:type="dxa"/>
        <w:tblLayout w:type="fixed"/>
        <w:tblCellMar>
          <w:top w:w="28" w:type="dxa"/>
          <w:left w:w="28" w:type="dxa"/>
          <w:bottom w:w="28" w:type="dxa"/>
          <w:right w:w="28" w:type="dxa"/>
        </w:tblCellMar>
      </w:tblPr>
      <w:tblGrid>
        <w:gridCol w:w="1473"/>
        <w:gridCol w:w="1290"/>
        <w:gridCol w:w="1293"/>
        <w:gridCol w:w="211"/>
        <w:gridCol w:w="899"/>
        <w:gridCol w:w="109"/>
        <w:gridCol w:w="109"/>
        <w:gridCol w:w="109"/>
        <w:gridCol w:w="109"/>
        <w:gridCol w:w="211"/>
        <w:gridCol w:w="794"/>
        <w:gridCol w:w="109"/>
        <w:gridCol w:w="109"/>
        <w:gridCol w:w="109"/>
        <w:gridCol w:w="109"/>
        <w:gridCol w:w="285"/>
        <w:gridCol w:w="286"/>
        <w:gridCol w:w="655"/>
        <w:gridCol w:w="109"/>
        <w:gridCol w:w="109"/>
        <w:gridCol w:w="109"/>
        <w:gridCol w:w="268"/>
        <w:gridCol w:w="1142"/>
        <w:gridCol w:w="199"/>
      </w:tblGrid>
      <w:tr>
        <w:tc>
          <w:tcPr>
            <w:tcW w:w="1473"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c>
          <w:tcPr>
            <w:tcW w:w="4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9" w:type="dxa"/>
            <w:gridSpan w:val="21"/>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c>
          <w:tcPr>
            <w:tcW w:w="4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br/>
              <w:t> 2026 v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Absolute Change </w:t>
              <w:br/>
              <w:t>2026 v 2025</w:t>
            </w:r>
          </w:p>
        </w:tc>
      </w:tr>
      <w:tr>
        <w:tc>
          <w:tcPr>
            <w:tcW w:w="4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9"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(Dollars in thousands)</w:t>
            </w:r>
          </w:p>
        </w:tc>
      </w:tr>
      <w:tr>
        <w:tc>
          <w:tcPr>
            <w:tcW w:w="40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Free Cash Flow Data:</w:t>
            </w:r>
          </w:p>
        </w:tc>
        <w:tc>
          <w:tcPr>
            <w:tcW w:w="1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(106,339)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140.3</w:t>
            </w:r>
          </w:p>
        </w:tc>
        <w:tc>
          <w:tcPr>
            <w:tcW w:w="65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(62,095)</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property and equipment</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(112,485)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(42,473)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164.8</w:t>
            </w:r>
          </w:p>
        </w:tc>
        <w:tc>
          <w:tcPr>
            <w:tcW w:w="6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(70,012)</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short-term and long-term investments</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(4,220)</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(223,522)</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(87,195)</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156.3</w:t>
            </w:r>
          </w:p>
        </w:tc>
        <w:tc>
          <w:tcPr>
            <w:tcW w:w="6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(136,327)</w:t>
            </w:r>
          </w:p>
        </w:tc>
        <w:tc>
          <w:tcPr>
            <w:tcW w:w="1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pPr>
      <w:r/>
    </w:p>
    <w:p>
      <w:pPr>
        <w:pStyle w:val="TextBody"/>
        <w:bidi w:val="0"/>
        <w:spacing w:lineRule="auto" w:line="288" w:before="0" w:after="0"/>
        <w:jc w:val="both"/>
      </w:pPr>
      <w:r>
        <w:rPr>
          <w:rFonts w:ascii="Times New Roman;serif" w:hAnsi="Times New Roman;serif"/>
          <w:b w:val="false"/>
          <w:color w:val="000000"/>
          <w:sz w:val="20"/>
          <w:shd w:fill="FFFFFF" w:val="clear"/>
        </w:rPr>
        <w:t xml:space="preserve">The reduction in free cash flow for the nine months ended September 30, 2026 as compared to the same period in 2025 reflected the factors driving net cash used in operating activities, </w:t>
      </w:r>
      <w:r>
        <w:rPr>
          <w:rFonts w:ascii="Times New Roman;serif" w:hAnsi="Times New Roman;serif"/>
          <w:b w:val="false"/>
          <w:color w:val="000000"/>
          <w:sz w:val="20"/>
        </w:rPr>
        <w:t>an increase</w:t>
      </w:r>
      <w:r>
        <w:rPr>
          <w:color w:val="000000"/>
          <w:shd w:fill="FFFFFF" w:val="clear"/>
        </w:rPr>
        <w:t xml:space="preserve"> </w:t>
      </w:r>
      <w:r>
        <w:rPr>
          <w:rFonts w:ascii="Times New Roman;serif" w:hAnsi="Times New Roman;serif"/>
          <w:b w:val="false"/>
          <w:color w:val="000000"/>
          <w:sz w:val="20"/>
          <w:shd w:fill="FFFFFF" w:val="clear"/>
        </w:rPr>
        <w:t>of purchases of property and equipment, and long-term investments. Consistent with our methodology for calculating adjusted EBITDA, we do not adjust free cash flow for the effects of mainland China government subsidies, because we take those subsidies into account in incurring expenses and capital expenditures. We do not adjust free cash flow for the effects of time-deposits, which for our internal purposes are considered as largely similar to cash.</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both"/>
      </w:pPr>
      <w:hyperlink w:anchor="ia22e01e7fdae4b968e9b46967ef89c75_7">
        <w:r>
          <w:rPr>
            <w:rStyle w:val="InternetLink"/>
            <w:rFonts w:ascii="Times New Roman;serif" w:hAnsi="Times New Roman;serif"/>
            <w:b w:val="false"/>
            <w:i/>
            <w:color w:val="0000FF"/>
            <w:sz w:val="16"/>
            <w:u w:val="single"/>
          </w:rPr>
          <w:t>Table of Contents</w:t>
        </w:r>
      </w:hyperlink>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Adjusted Operating Income</w:t>
      </w:r>
    </w:p>
    <w:p>
      <w:pPr>
        <w:pStyle w:val="TextBody"/>
        <w:bidi w:val="0"/>
        <w:spacing w:before="0" w:after="0"/>
        <w:jc w:val="both"/>
      </w:pPr>
      <w:r/>
    </w:p>
    <w:p>
      <w:pPr>
        <w:pStyle w:val="TextBody"/>
        <w:bidi w:val="0"/>
        <w:spacing w:lineRule="auto" w:line="288" w:before="0" w:after="0"/>
        <w:jc w:val="both"/>
      </w:pPr>
      <w:r>
        <w:rPr>
          <w:rFonts w:ascii="Times New Roman;serif" w:hAnsi="Times New Roman;serif"/>
          <w:b w:val="false"/>
          <w:color w:val="000000"/>
          <w:sz w:val="20"/>
          <w:shd w:fill="FFFFFF" w:val="clear"/>
        </w:rPr>
        <w:t xml:space="preserve">Adjusted operating income excludes stock-based compensation from income from operations. Although stock-based compensation is an important aspect of the compensation of our employees and executives, determining the fair value of certain of the stock-based instruments we utilize involves </w:t>
      </w:r>
      <w:r>
        <w:rPr>
          <w:rFonts w:ascii="Times New Roman;serif" w:hAnsi="Times New Roman;serif"/>
          <w:b w:val="false"/>
          <w:color w:val="000000"/>
          <w:sz w:val="20"/>
        </w:rPr>
        <w:t xml:space="preserve">a high degree of </w:t>
      </w:r>
      <w:r>
        <w:rPr>
          <w:rFonts w:ascii="Times New Roman;serif" w:hAnsi="Times New Roman;serif"/>
          <w:b w:val="false"/>
          <w:color w:val="000000"/>
          <w:sz w:val="20"/>
          <w:shd w:fill="FFFFFF" w:val="clear"/>
        </w:rPr>
        <w:t>judgment and estimation and the expense recorded may bear little resemblance to the actual value realized upon the vesting or future exercise of the related stock-based awards. Furthermore, unlike cash compensation, the value of stock options, which is an element of our ongoing stock-based compensation expense, is determined using a complex formula that incorporates factors,</w:t>
      </w:r>
      <w:r>
        <w:rPr>
          <w:color w:val="000000"/>
        </w:rPr>
        <w:t xml:space="preserve"> </w:t>
      </w:r>
      <w:r>
        <w:rPr>
          <w:rFonts w:ascii="Times New Roman;serif" w:hAnsi="Times New Roman;serif"/>
          <w:b w:val="false"/>
          <w:color w:val="000000"/>
          <w:sz w:val="20"/>
        </w:rPr>
        <w:t>such as market volatility, that are beyond our control.</w:t>
      </w:r>
      <w:r>
        <w:rPr>
          <w:color w:val="000000"/>
          <w:shd w:fill="FFFFFF" w:val="clear"/>
        </w:rPr>
        <w:t xml:space="preserve"> </w:t>
      </w:r>
      <w:r>
        <w:rPr>
          <w:rFonts w:ascii="Times New Roman;serif" w:hAnsi="Times New Roman;serif"/>
          <w:b w:val="false"/>
          <w:color w:val="000000"/>
          <w:sz w:val="20"/>
          <w:shd w:fill="FFFFFF" w:val="clear"/>
        </w:rPr>
        <w:t>Management believes it is useful to exclude stock-based compensation in order to better understand the long-term performance of our core business and to facilitate comparison of our results to those of peer companies. The use of non-GAAP financial measures excluding stock-based compensation has limitations. If we did not pay out a portion of our compensation in the form of stock-based compensation, the cash salary expense included in operating expenses would be higher and our cash holdings would be less. The following tables reflect the exclusion of stock-based compensation, or SBC, from line items comprising income from operations:</w:t>
      </w:r>
    </w:p>
    <w:tbl>
      <w:tblPr>
        <w:tblW w:w="10927" w:type="dxa"/>
        <w:jc w:val="left"/>
        <w:tblInd w:w="0" w:type="dxa"/>
        <w:tblLayout w:type="fixed"/>
        <w:tblCellMar>
          <w:top w:w="28" w:type="dxa"/>
          <w:left w:w="28" w:type="dxa"/>
          <w:bottom w:w="28" w:type="dxa"/>
          <w:right w:w="28" w:type="dxa"/>
        </w:tblCellMar>
      </w:tblPr>
      <w:tblGrid>
        <w:gridCol w:w="918"/>
        <w:gridCol w:w="810"/>
        <w:gridCol w:w="823"/>
        <w:gridCol w:w="211"/>
        <w:gridCol w:w="826"/>
        <w:gridCol w:w="109"/>
        <w:gridCol w:w="109"/>
        <w:gridCol w:w="109"/>
        <w:gridCol w:w="109"/>
        <w:gridCol w:w="211"/>
        <w:gridCol w:w="736"/>
        <w:gridCol w:w="109"/>
        <w:gridCol w:w="109"/>
        <w:gridCol w:w="109"/>
        <w:gridCol w:w="109"/>
        <w:gridCol w:w="211"/>
        <w:gridCol w:w="826"/>
        <w:gridCol w:w="109"/>
        <w:gridCol w:w="109"/>
        <w:gridCol w:w="109"/>
        <w:gridCol w:w="109"/>
        <w:gridCol w:w="211"/>
        <w:gridCol w:w="826"/>
        <w:gridCol w:w="109"/>
        <w:gridCol w:w="109"/>
        <w:gridCol w:w="109"/>
        <w:gridCol w:w="109"/>
        <w:gridCol w:w="211"/>
        <w:gridCol w:w="736"/>
        <w:gridCol w:w="109"/>
        <w:gridCol w:w="109"/>
        <w:gridCol w:w="109"/>
        <w:gridCol w:w="109"/>
        <w:gridCol w:w="211"/>
        <w:gridCol w:w="826"/>
        <w:gridCol w:w="154"/>
      </w:tblGrid>
      <w:tr>
        <w:tc>
          <w:tcPr>
            <w:tcW w:w="918"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c>
          <w:tcPr>
            <w:tcW w:w="2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2"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25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Actual</w:t>
              <w:br/>
              <w:t>(GAAP)</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SBC</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Adjusted</w:t>
              <w:br/>
              <w:t>(Non-</w:t>
              <w:br/>
              <w:t>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Actual</w:t>
              <w:br/>
              <w:t>(GAAP)</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SBC</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Adjusted</w:t>
              <w:br/>
              <w:t>(Non-GAAP)</w:t>
            </w:r>
          </w:p>
        </w:tc>
      </w:tr>
      <w:tr>
        <w:tc>
          <w:tcPr>
            <w:tcW w:w="25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6" w:type="dxa"/>
            <w:gridSpan w:val="3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c>
      </w:tr>
      <w:tr>
        <w:tc>
          <w:tcPr>
            <w:tcW w:w="25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891,869 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891,869 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656,879 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656,879 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(497,601)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(496,585)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(356,719)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(355,581)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Gross profit</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394,268 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395,284 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300,160 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301,298 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Sales and marketing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(71,372)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(66,431)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(60,756)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(54,902)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(130,175)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(122,606)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(100,971)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(93,701)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(51,274)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(52,039)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(39,152)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141,447 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(22,906)</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164,353 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86,394 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(27,149)</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113,543 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3.    Quantitative and Qualitative Disclosures About Market Risks</w:t>
      </w:r>
    </w:p>
    <w:p>
      <w:pPr>
        <w:pStyle w:val="TextBody"/>
        <w:bidi w:val="0"/>
        <w:spacing w:lineRule="auto" w:line="288" w:before="240" w:after="283"/>
        <w:jc w:val="both"/>
      </w:pPr>
      <w:r>
        <w:rPr>
          <w:rFonts w:ascii="Times New Roman;serif" w:hAnsi="Times New Roman;serif"/>
          <w:b w:val="false"/>
          <w:color w:val="000000"/>
          <w:sz w:val="20"/>
          <w:shd w:fill="FFFFFF" w:val="clear"/>
        </w:rPr>
        <w:t>Our market risks and the ways we manage them are summarized in the section captioned “Part II, Item 7A. Quantitative and Qualitative Disclosures About Market Risk” in our 2025 Annual Report.</w:t>
      </w:r>
      <w:r>
        <w:rPr>
          <w:color w:val="000000"/>
        </w:rPr>
        <w:t xml:space="preserve"> </w:t>
      </w:r>
      <w:r>
        <w:rPr>
          <w:rFonts w:ascii="Times New Roman;serif" w:hAnsi="Times New Roman;serif"/>
          <w:b w:val="false"/>
          <w:color w:val="000000"/>
          <w:sz w:val="20"/>
        </w:rPr>
        <w:t>There have been no material changes in the first nine months of 2026 to our market risks or to our management of such risks.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Item 4.    Controls and Procedures </w:t>
      </w:r>
    </w:p>
    <w:p>
      <w:pPr>
        <w:pStyle w:val="TextBody"/>
        <w:bidi w:val="0"/>
        <w:spacing w:before="0" w:after="0"/>
        <w:jc w:val="both"/>
      </w:pPr>
      <w:r/>
    </w:p>
    <w:p>
      <w:pPr>
        <w:pStyle w:val="TextBody"/>
        <w:bidi w:val="0"/>
        <w:spacing w:lineRule="auto" w:line="28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Evaluation of Disclosure Controls and Procedures</w:t>
      </w:r>
    </w:p>
    <w:p>
      <w:pPr>
        <w:pStyle w:val="TextBody"/>
        <w:bidi w:val="0"/>
        <w:spacing w:before="0" w:after="0"/>
        <w:jc w:val="left"/>
      </w:pPr>
      <w:r/>
    </w:p>
    <w:p>
      <w:pPr>
        <w:pStyle w:val="TextBody"/>
        <w:bidi w:val="0"/>
        <w:spacing w:lineRule="auto" w:line="288" w:before="0" w:after="0"/>
        <w:jc w:val="both"/>
      </w:pPr>
      <w:r>
        <w:rPr>
          <w:rFonts w:ascii="Times New Roman;serif" w:hAnsi="Times New Roman;serif"/>
          <w:b w:val="false"/>
          <w:color w:val="000000"/>
          <w:sz w:val="20"/>
          <w:shd w:fill="FFFFFF" w:val="clear"/>
        </w:rPr>
        <w:t xml:space="preserve">Our management, with the participation of our Chief Executive Officer and Chief Financial Officer, evaluated the effectiveness of our disclosure controls and procedures pursuant to Rule 13a-15 under the Securities Exchange Act of 1934, or the Exchange Act, as of September 30, 2026. </w:t>
      </w:r>
      <w:r>
        <w:rPr>
          <w:rFonts w:ascii="Times New Roman;serif" w:hAnsi="Times New Roman;serif"/>
          <w:b w:val="false"/>
          <w:color w:val="000000"/>
          <w:sz w:val="20"/>
        </w:rPr>
        <w:t>In designing and evaluating the disclosure controls and procedures, our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our management is required to apply its judgment in evaluating the benefits of possible controls and procedures relative to their costs.</w:t>
      </w:r>
    </w:p>
    <w:p>
      <w:pPr>
        <w:pStyle w:val="TextBody"/>
        <w:bidi w:val="0"/>
        <w:spacing w:before="0" w:after="0"/>
        <w:jc w:val="left"/>
      </w:pPr>
      <w:r/>
    </w:p>
    <w:p>
      <w:pPr>
        <w:pStyle w:val="TextBody"/>
        <w:bidi w:val="0"/>
        <w:spacing w:lineRule="auto" w:line="288" w:before="0" w:after="0"/>
        <w:jc w:val="both"/>
      </w:pPr>
      <w:r>
        <w:rPr>
          <w:rFonts w:ascii="Times New Roman;serif" w:hAnsi="Times New Roman;serif"/>
          <w:b w:val="false"/>
          <w:color w:val="000000"/>
          <w:sz w:val="20"/>
          <w:shd w:fill="FFFFFF" w:val="clear"/>
        </w:rPr>
        <w:t xml:space="preserve">Based on such evaluation, our Chief Executive Officer and Chief Financial Officer concluded that, as of September 30, 2026, our disclosure controls and procedures were effective </w:t>
      </w:r>
      <w:r>
        <w:rPr>
          <w:rFonts w:ascii="Times New Roman;serif" w:hAnsi="Times New Roman;serif"/>
          <w:b w:val="false"/>
          <w:color w:val="000000"/>
          <w:sz w:val="20"/>
        </w:rPr>
        <w:t>to provide reasonable assurance that information we are required to disclose in reports that we file or submit under the Exchange Act is recorded, processed, summarized and reported within the time periods specified in the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both"/>
      </w:pPr>
      <w:hyperlink w:anchor="ia22e01e7fdae4b968e9b46967ef89c75_7">
        <w:r>
          <w:rPr>
            <w:rStyle w:val="InternetLink"/>
            <w:rFonts w:ascii="Times New Roman;serif" w:hAnsi="Times New Roman;serif"/>
            <w:b w:val="false"/>
            <w:i/>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before="0" w:after="0"/>
        <w:jc w:val="left"/>
      </w:p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There were no changes in our internal control over financial reporting that occurred during the quarter ended September 30,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From time to time, we may become involved in legal proceedings or may be subject to claims arising in the ordinary course of our business. Although the results of these proceedings and claims cannot be predicted with certainty, we currently believe that the final outcome of these ordinary course matters will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1A. Risk Factors</w:t>
      </w:r>
    </w:p>
    <w:p>
      <w:pPr>
        <w:pStyle w:val="TextBody"/>
        <w:bidi w:val="0"/>
        <w:spacing w:before="0" w:after="0"/>
        <w:jc w:val="left"/>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were no material changes to the risk factors discussed in Item 1A. “Risk Factors” of Part I in our 2025 Annual Report. In addition to the other information set forth in this report, you should carefully consider those risk factors, which could materially affect our business, financial condition and future operating results. Those risk factors are not the only risks facing our company. Additional risks and uncertainties not currently known to us or that we currently deem to be immaterial also may have a material adverse effect on our business, financial condition and operating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5. Other Information </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August 17, 2026, Charles Pappis, Board Member of ACM Research, Inc., adopted a Rule 10b5-1 trading arrangement (the “Pappis Plan”) that is intended to satisfy the affirmative defense of Rule 10b5-1(c) of the Exchange Act. The Pappis Plan allows for the contemporaneous exercise of options and sale of up to 20,000 shares of Class A Common Stock, at specific market prices, commencing on November 16, 2026, and continuing until (i) all such options are exercised and the underlying shares are sold, (ii) August 17, 2027, or (iii) such date that the Pappis Plan is otherwise terminated according to its terms, whichever comes first.</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September 4, 2026, Tracy Liu, Board Member of ACM Research, Inc. adopted a Rule 10b5-1 trading arrangement (the “Liu Plan”) that is intended to satisfy the affirmative defense of Rule 10b5-1(c) of the Exchange Act. The Liu Plan allows for the contemporaneous exercise of options and sale of up to 19,500 shares of Class A Common Stock, at specific market prices, commencing on January 4, 2027, and continuing until (i) all such options are exercised and the underlying shares are sold, (ii) December 31, 2027, or (iii) such date that the Liu Plan is otherwise terminated according to its terms, whichever comes first.</w:t>
      </w:r>
    </w:p>
    <w:p>
      <w:pPr>
        <w:pStyle w:val="TextBody"/>
        <w:bidi w:val="0"/>
        <w:spacing w:before="0" w:after="0"/>
        <w:jc w:val="left"/>
      </w:pPr>
      <w:r/>
    </w:p>
    <w:p>
      <w:pPr>
        <w:pStyle w:val="TextBody"/>
        <w:bidi w:val="0"/>
        <w:spacing w:before="0" w:after="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pPr>
      <w:hyperlink w:anchor="ia22e01e7fdae4b968e9b46967ef89c75_7">
        <w:r>
          <w:rPr>
            <w:rStyle w:val="InternetLink"/>
            <w:rFonts w:ascii="Times New Roman;serif" w:hAnsi="Times New Roman;serif"/>
            <w:b w:val="false"/>
            <w:i/>
            <w:color w:val="0000FF"/>
            <w:sz w:val="16"/>
            <w:u w:val="single"/>
          </w:rPr>
          <w:t>Table of Contents</w:t>
        </w:r>
      </w:hyperlink>
    </w:p>
    <w:p>
      <w:pPr>
        <w:pStyle w:val="TextBody"/>
        <w:bidi w:val="0"/>
        <w:spacing w:lineRule="auto" w:line="288" w:before="0" w:after="0"/>
        <w:jc w:val="left"/>
      </w:pPr>
      <w:r>
        <w:rPr>
          <w:rFonts w:ascii="Times New Roman;serif" w:hAnsi="Times New Roman;serif"/>
          <w:b/>
          <w:color w:val="000000"/>
          <w:sz w:val="20"/>
          <w:shd w:fill="FFFFFF" w:val="clear"/>
        </w:rPr>
        <w:t>I</w:t>
      </w:r>
      <w:r>
        <w:rPr>
          <w:rFonts w:ascii="Times New Roman;serif" w:hAnsi="Times New Roman;serif"/>
          <w:b/>
          <w:color w:val="000000"/>
          <w:sz w:val="20"/>
        </w:rPr>
        <w:t>tem 6.    Exhibits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exhibits are filed as part of this report:</w:t>
      </w:r>
    </w:p>
    <w:tbl>
      <w:tblPr>
        <w:tblW w:w="10205" w:type="dxa"/>
        <w:jc w:val="left"/>
        <w:tblInd w:w="0" w:type="dxa"/>
        <w:tblLayout w:type="fixed"/>
        <w:tblCellMar>
          <w:top w:w="28" w:type="dxa"/>
          <w:left w:w="28" w:type="dxa"/>
          <w:bottom w:w="28" w:type="dxa"/>
          <w:right w:w="28" w:type="dxa"/>
        </w:tblCellMar>
      </w:tblPr>
      <w:tblGrid>
        <w:gridCol w:w="293"/>
        <w:gridCol w:w="258"/>
        <w:gridCol w:w="259"/>
        <w:gridCol w:w="109"/>
        <w:gridCol w:w="109"/>
        <w:gridCol w:w="109"/>
        <w:gridCol w:w="2644"/>
        <w:gridCol w:w="2644"/>
        <w:gridCol w:w="3780"/>
      </w:tblGrid>
      <w:t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3780" w:type="dxa"/>
            <w:tcBorders/>
            <w:vAlign w:val="center"/>
          </w:tcPr>
          <w:p>
            <w:pPr>
              <w:pStyle w:val="TableContents"/>
              <w:bidi w:val="0"/>
              <w:spacing w:before="0" w:after="283"/>
              <w:jc w:val="left"/>
              <w:rPr>
                <w:sz w:val="4"/>
                <w:szCs w:val="4"/>
              </w:rPr>
            </w:pPr>
            <w:r>
              <w:rPr>
                <w:sz w:val="4"/>
                <w:szCs w:val="4"/>
              </w:rPr>
            </w:r>
          </w:p>
        </w:tc>
      </w:tr>
      <w:tr>
        <w:tc>
          <w:tcPr>
            <w:tcW w:w="81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Exhibit</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c>
          <w:tcPr>
            <w:tcW w:w="8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pPr>
            <w:hyperlink w:anchor="acmr-20260930xex3101.htm">
              <w:r>
                <w:rPr>
                  <w:rStyle w:val="InternetLink"/>
                  <w:rFonts w:ascii="Times New Roman;serif" w:hAnsi="Times New Roman;serif"/>
                  <w:b w:val="false"/>
                  <w:color w:val="0000FF"/>
                  <w:sz w:val="20"/>
                  <w:u w:val="single"/>
                </w:rPr>
                <w:t>31.01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Certification of Principal Executive Officer Pursuant to Rules 13a-14(a) and 15d-14(a) under the Securities Exchange Act of 1934, as Adopted Pursuant to Section 302 of the Sarbanes-Oxley Act of 2002</w:t>
            </w:r>
          </w:p>
        </w:tc>
      </w:tr>
      <w:tr>
        <w:tc>
          <w:tcPr>
            <w:tcW w:w="810"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acmr-20260930xex3102.htm">
              <w:r>
                <w:rPr>
                  <w:rStyle w:val="InternetLink"/>
                  <w:rFonts w:ascii="Times New Roman;serif" w:hAnsi="Times New Roman;serif"/>
                  <w:b w:val="false"/>
                  <w:color w:val="0000FF"/>
                  <w:sz w:val="20"/>
                  <w:u w:val="single"/>
                </w:rPr>
                <w:t>31.02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8"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Certification of Principal Financial Officer Pursuant to Rules 13a-14(a) and 15d-14(a) under the Securities Exchange Act of 1934, as Adopted Pursuant to Section 302 of the Sarbanes-Oxley Act of 2002</w:t>
            </w:r>
          </w:p>
        </w:tc>
      </w:tr>
      <w:tr>
        <w:tc>
          <w:tcPr>
            <w:tcW w:w="8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pPr>
            <w:hyperlink w:anchor="acmr-20260930xex3201.htm">
              <w:r>
                <w:rPr>
                  <w:rStyle w:val="InternetLink"/>
                  <w:rFonts w:ascii="Times New Roman;serif" w:hAnsi="Times New Roman;serif"/>
                  <w:b w:val="false"/>
                  <w:color w:val="3051F2"/>
                  <w:sz w:val="20"/>
                  <w:u w:val="single"/>
                </w:rPr>
                <w:t>32.01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Principal Executive Officer and Principal Financial Officer Pursuant to 18 U.S.C. Section 1350, as Adopted Pursuant to Section 906 of the Sarbanes-Oxley Act of 2002</w:t>
            </w:r>
          </w:p>
        </w:tc>
      </w:tr>
      <w:tr>
        <w:tc>
          <w:tcPr>
            <w:tcW w:w="8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(the instance document does not appear in the Interactive Data File because its XBRL tags are embedded within the Inline XBRL document)</w:t>
            </w:r>
          </w:p>
        </w:tc>
      </w:tr>
      <w:tr>
        <w:tc>
          <w:tcPr>
            <w:tcW w:w="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c>
          <w:tcPr>
            <w:tcW w:w="8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c>
          <w:tcPr>
            <w:tcW w:w="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c>
          <w:tcPr>
            <w:tcW w:w="8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c>
          <w:tcPr>
            <w:tcW w:w="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c>
          <w:tcPr>
            <w:tcW w:w="8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both"/>
      </w:pPr>
      <w:hyperlink w:anchor="ia22e01e7fdae4b968e9b46967ef89c75_7">
        <w:r>
          <w:rPr>
            <w:rStyle w:val="InternetLink"/>
            <w:rFonts w:ascii="Times New Roman;serif" w:hAnsi="Times New Roman;serif"/>
            <w:b w:val="false"/>
            <w:i/>
            <w:color w:val="0000FF"/>
            <w:sz w:val="16"/>
            <w:u w:val="single"/>
          </w:rPr>
          <w:t>Table of Contents</w:t>
        </w:r>
      </w:hyperlink>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SIGNATURES</w:t>
      </w:r>
    </w:p>
    <w:p>
      <w:pPr>
        <w:pStyle w:val="TextBody"/>
        <w:bidi w:val="0"/>
        <w:spacing w:lineRule="auto" w:line="288" w:before="240" w:after="283"/>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requirements of the Securities Exchange Act of 1934, the registrant has duly caused this report to be signed on its behalf by the undersigned, thereunto duly authorized.</w:t>
      </w:r>
    </w:p>
    <w:tbl>
      <w:tblPr>
        <w:tblW w:w="7577" w:type="dxa"/>
        <w:jc w:val="left"/>
        <w:tblInd w:w="0" w:type="dxa"/>
        <w:tblLayout w:type="fixed"/>
        <w:tblCellMar>
          <w:top w:w="28" w:type="dxa"/>
          <w:left w:w="28" w:type="dxa"/>
          <w:bottom w:w="28" w:type="dxa"/>
          <w:right w:w="28" w:type="dxa"/>
        </w:tblCellMar>
      </w:tblPr>
      <w:tblGrid>
        <w:gridCol w:w="759"/>
        <w:gridCol w:w="668"/>
        <w:gridCol w:w="672"/>
        <w:gridCol w:w="331"/>
        <w:gridCol w:w="331"/>
        <w:gridCol w:w="331"/>
        <w:gridCol w:w="1307"/>
        <w:gridCol w:w="1307"/>
        <w:gridCol w:w="1871"/>
      </w:tblGrid>
      <w:t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ACM RESEARCH, INC.</w:t>
            </w:r>
          </w:p>
        </w:tc>
      </w:tr>
      <w:tr>
        <w:tc>
          <w:tcPr>
            <w:tcW w:w="20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6, 2026</w:t>
            </w:r>
          </w:p>
        </w:tc>
        <w:tc>
          <w:tcPr>
            <w:tcW w:w="9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Mark McKechnie</w:t>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Mark McKechnie</w:t>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 Executive Vice President and</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Treasurer</w:t>
            </w:r>
          </w:p>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31.01</w:t>
      </w:r>
    </w:p>
    <w:p>
      <w:pPr>
        <w:pStyle w:val="TextBody"/>
        <w:bidi w:val="0"/>
        <w:spacing w:lineRule="auto" w:line="333" w:before="240" w:after="283"/>
        <w:jc w:val="center"/>
        <w:rPr>
          <w:rFonts w:ascii="Times New Roman;serif" w:hAnsi="Times New Roman;serif"/>
          <w:b/>
          <w:color w:val="000000"/>
          <w:sz w:val="20"/>
        </w:rPr>
      </w:pPr>
      <w:r>
        <w:rPr>
          <w:rFonts w:ascii="Times New Roman;serif" w:hAnsi="Times New Roman;serif"/>
          <w:b/>
          <w:color w:val="000000"/>
          <w:sz w:val="20"/>
        </w:rPr>
        <w:t>CERTIFICATION OF PRINCIPAL EXECUTIVE OFFICER</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lineRule="auto" w:line="333" w:before="240" w:after="283"/>
        <w:jc w:val="both"/>
        <w:rPr>
          <w:rFonts w:ascii="Times New Roman;serif" w:hAnsi="Times New Roman;serif"/>
          <w:b w:val="false"/>
          <w:color w:val="000000"/>
          <w:sz w:val="20"/>
        </w:rPr>
      </w:pPr>
      <w:r>
        <w:rPr>
          <w:rFonts w:ascii="Times New Roman;serif" w:hAnsi="Times New Roman;serif"/>
          <w:b w:val="false"/>
          <w:color w:val="000000"/>
          <w:sz w:val="20"/>
        </w:rPr>
        <w:t>I, David H. Wang, certify that:</w:t>
      </w:r>
    </w:p>
    <w:p>
      <w:pPr>
        <w:pStyle w:val="TextBody"/>
        <w:bidi w:val="0"/>
        <w:spacing w:lineRule="auto" w:line="333"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ACM Research, Inc.</w:t>
      </w:r>
    </w:p>
    <w:p>
      <w:pPr>
        <w:pStyle w:val="TextBody"/>
        <w:bidi w:val="0"/>
        <w:spacing w:lineRule="auto" w:line="333"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pStyle w:val="TextBody"/>
        <w:bidi w:val="0"/>
        <w:spacing w:lineRule="auto" w:line="333"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33"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33"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33"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33"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33"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lineRule="auto" w:line="333"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33"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p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333" w:before="24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309" w:type="dxa"/>
        <w:jc w:val="left"/>
        <w:tblInd w:w="0" w:type="dxa"/>
        <w:tblLayout w:type="fixed"/>
        <w:tblCellMar>
          <w:top w:w="28" w:type="dxa"/>
          <w:left w:w="28" w:type="dxa"/>
          <w:bottom w:w="28" w:type="dxa"/>
          <w:right w:w="28" w:type="dxa"/>
        </w:tblCellMar>
      </w:tblPr>
      <w:tblGrid>
        <w:gridCol w:w="759"/>
        <w:gridCol w:w="668"/>
        <w:gridCol w:w="672"/>
        <w:gridCol w:w="939"/>
        <w:gridCol w:w="939"/>
        <w:gridCol w:w="1332"/>
      </w:tblGrid>
      <w:t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r>
      <w:tr>
        <w:tc>
          <w:tcPr>
            <w:tcW w:w="2099" w:type="dxa"/>
            <w:gridSpan w:val="3"/>
            <w:tcBorders/>
            <w:tcMar>
              <w:top w:w="0" w:type="dxa"/>
              <w:left w:w="0" w:type="dxa"/>
              <w:bottom w:w="0" w:type="dxa"/>
              <w:right w:w="0" w:type="dxa"/>
            </w:tcMar>
            <w:vAlign w:val="center"/>
          </w:tcPr>
          <w:p>
            <w:pPr>
              <w:pStyle w:val="TableContents"/>
              <w:bidi w:val="0"/>
              <w:spacing w:lineRule="auto" w:line="316" w:before="65" w:after="20"/>
              <w:jc w:val="left"/>
              <w:rPr>
                <w:rFonts w:ascii="Times New Roman;serif" w:hAnsi="Times New Roman;serif"/>
                <w:b w:val="false"/>
                <w:color w:val="000000"/>
                <w:sz w:val="20"/>
              </w:rPr>
            </w:pPr>
            <w:r>
              <w:rPr>
                <w:rFonts w:ascii="Times New Roman;serif" w:hAnsi="Times New Roman;serif"/>
                <w:b w:val="false"/>
                <w:color w:val="000000"/>
                <w:sz w:val="20"/>
              </w:rPr>
              <w:t>Date: November 6, 2026</w:t>
            </w:r>
          </w:p>
        </w:tc>
        <w:tc>
          <w:tcPr>
            <w:tcW w:w="3210" w:type="dxa"/>
            <w:gridSpan w:val="3"/>
            <w:tcBorders/>
            <w:tcMar>
              <w:top w:w="0" w:type="dxa"/>
              <w:left w:w="0" w:type="dxa"/>
              <w:bottom w:w="0" w:type="dxa"/>
              <w:right w:w="0" w:type="dxa"/>
            </w:tcMar>
            <w:vAlign w:val="center"/>
          </w:tcPr>
          <w:p>
            <w:pPr>
              <w:pStyle w:val="TableContents"/>
              <w:bidi w:val="0"/>
              <w:spacing w:before="65" w:after="20"/>
              <w:jc w:val="both"/>
            </w:pPr>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316" w:before="35" w:after="20"/>
              <w:jc w:val="both"/>
              <w:rPr>
                <w:rFonts w:ascii="Times New Roman;serif" w:hAnsi="Times New Roman;serif"/>
                <w:b w:val="false"/>
                <w:color w:val="000000"/>
                <w:sz w:val="20"/>
              </w:rPr>
            </w:pPr>
            <w:r>
              <w:rPr>
                <w:rFonts w:ascii="Times New Roman;serif" w:hAnsi="Times New Roman;serif"/>
                <w:b w:val="false"/>
                <w:color w:val="000000"/>
                <w:sz w:val="20"/>
              </w:rPr>
              <w:t>David H. Wang</w:t>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316" w:before="65" w:after="20"/>
              <w:jc w:val="both"/>
              <w:rPr>
                <w:rFonts w:ascii="Times New Roman;serif" w:hAnsi="Times New Roman;serif"/>
                <w:b w:val="false"/>
                <w:color w:val="000000"/>
                <w:sz w:val="20"/>
              </w:rPr>
            </w:pPr>
            <w:r>
              <w:rPr>
                <w:rFonts w:ascii="Times New Roman;serif" w:hAnsi="Times New Roman;serif"/>
                <w:b w:val="false"/>
                <w:color w:val="000000"/>
                <w:sz w:val="20"/>
              </w:rPr>
              <w:t>Chief Executive Officer and President</w:t>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316" w:before="65" w:after="20"/>
              <w:jc w:val="both"/>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spacing w:before="0" w:after="283"/>
        <w:jc w:val="left"/>
      </w:pPr>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31.02</w:t>
      </w:r>
    </w:p>
    <w:p>
      <w:pPr>
        <w:pStyle w:val="TextBody"/>
        <w:bidi w:val="0"/>
        <w:spacing w:lineRule="auto" w:line="333" w:before="240" w:after="283"/>
        <w:jc w:val="center"/>
        <w:rPr>
          <w:rFonts w:ascii="Times New Roman;serif" w:hAnsi="Times New Roman;serif"/>
          <w:b/>
          <w:color w:val="000000"/>
          <w:sz w:val="20"/>
        </w:rPr>
      </w:pPr>
      <w:r>
        <w:rPr>
          <w:rFonts w:ascii="Times New Roman;serif" w:hAnsi="Times New Roman;serif"/>
          <w:b/>
          <w:color w:val="000000"/>
          <w:sz w:val="20"/>
        </w:rPr>
        <w:t>CERTIFICATION OF PRINCIPAL FINANCIAL OFFICER</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lineRule="auto" w:line="333" w:before="240" w:after="283"/>
        <w:jc w:val="both"/>
        <w:rPr>
          <w:rFonts w:ascii="Times New Roman;serif" w:hAnsi="Times New Roman;serif"/>
          <w:b w:val="false"/>
          <w:color w:val="000000"/>
          <w:sz w:val="20"/>
        </w:rPr>
      </w:pPr>
      <w:r>
        <w:rPr>
          <w:rFonts w:ascii="Times New Roman;serif" w:hAnsi="Times New Roman;serif"/>
          <w:b w:val="false"/>
          <w:color w:val="000000"/>
          <w:sz w:val="20"/>
        </w:rPr>
        <w:t>I, Mark McKechnie, certify that:</w:t>
      </w:r>
    </w:p>
    <w:p>
      <w:pPr>
        <w:pStyle w:val="TextBody"/>
        <w:bidi w:val="0"/>
        <w:spacing w:lineRule="auto" w:line="333"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ACM Research, Inc.</w:t>
      </w:r>
    </w:p>
    <w:p>
      <w:pPr>
        <w:pStyle w:val="TextBody"/>
        <w:bidi w:val="0"/>
        <w:spacing w:lineRule="auto" w:line="333"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pStyle w:val="TextBody"/>
        <w:bidi w:val="0"/>
        <w:spacing w:lineRule="auto" w:line="333"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33"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33"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33"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33"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33"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lineRule="auto" w:line="333"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5.The registrant’s other certifying officer and I have disclosed, based on our most recent evaluation of internal control over financial reporting, to the registrant’s auditors and the audit committee of registrant’s board of directors (or persons performing the equivalent functions): </w:t>
      </w:r>
    </w:p>
    <w:p>
      <w:pPr>
        <w:pStyle w:val="TextBody"/>
        <w:bidi w:val="0"/>
        <w:spacing w:lineRule="auto" w:line="333"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p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333" w:before="24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7378" w:type="dxa"/>
        <w:jc w:val="left"/>
        <w:tblInd w:w="0" w:type="dxa"/>
        <w:tblLayout w:type="fixed"/>
        <w:tblCellMar>
          <w:top w:w="28" w:type="dxa"/>
          <w:left w:w="28" w:type="dxa"/>
          <w:bottom w:w="28" w:type="dxa"/>
          <w:right w:w="28" w:type="dxa"/>
        </w:tblCellMar>
      </w:tblPr>
      <w:tblGrid>
        <w:gridCol w:w="759"/>
        <w:gridCol w:w="668"/>
        <w:gridCol w:w="672"/>
        <w:gridCol w:w="1546"/>
        <w:gridCol w:w="1546"/>
        <w:gridCol w:w="2187"/>
      </w:tblGrid>
      <w:t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2187" w:type="dxa"/>
            <w:tcBorders/>
            <w:vAlign w:val="center"/>
          </w:tcPr>
          <w:p>
            <w:pPr>
              <w:pStyle w:val="TableContents"/>
              <w:bidi w:val="0"/>
              <w:spacing w:before="0" w:after="283"/>
              <w:jc w:val="left"/>
              <w:rPr>
                <w:sz w:val="4"/>
                <w:szCs w:val="4"/>
              </w:rPr>
            </w:pPr>
            <w:r>
              <w:rPr>
                <w:sz w:val="4"/>
                <w:szCs w:val="4"/>
              </w:rPr>
            </w:r>
          </w:p>
        </w:tc>
      </w:tr>
      <w:tr>
        <w:tc>
          <w:tcPr>
            <w:tcW w:w="2099" w:type="dxa"/>
            <w:gridSpan w:val="3"/>
            <w:tcBorders/>
            <w:tcMar>
              <w:top w:w="0" w:type="dxa"/>
              <w:left w:w="0" w:type="dxa"/>
              <w:bottom w:w="0" w:type="dxa"/>
              <w:right w:w="0" w:type="dxa"/>
            </w:tcMar>
            <w:vAlign w:val="center"/>
          </w:tcPr>
          <w:p>
            <w:pPr>
              <w:pStyle w:val="TableContents"/>
              <w:bidi w:val="0"/>
              <w:spacing w:lineRule="auto" w:line="316" w:before="65" w:after="20"/>
              <w:jc w:val="left"/>
              <w:rPr>
                <w:rFonts w:ascii="Times New Roman;serif" w:hAnsi="Times New Roman;serif"/>
                <w:b w:val="false"/>
                <w:color w:val="000000"/>
                <w:sz w:val="20"/>
              </w:rPr>
            </w:pPr>
            <w:r>
              <w:rPr>
                <w:rFonts w:ascii="Times New Roman;serif" w:hAnsi="Times New Roman;serif"/>
                <w:b w:val="false"/>
                <w:color w:val="000000"/>
                <w:sz w:val="20"/>
              </w:rPr>
              <w:t>Date: November 6, 2026</w:t>
            </w:r>
          </w:p>
        </w:tc>
        <w:tc>
          <w:tcPr>
            <w:tcW w:w="5279" w:type="dxa"/>
            <w:gridSpan w:val="3"/>
            <w:tcBorders/>
            <w:tcMar>
              <w:top w:w="0" w:type="dxa"/>
              <w:left w:w="0" w:type="dxa"/>
              <w:bottom w:w="0" w:type="dxa"/>
              <w:right w:w="0" w:type="dxa"/>
            </w:tcMar>
            <w:vAlign w:val="center"/>
          </w:tcPr>
          <w:p>
            <w:pPr>
              <w:pStyle w:val="TableContents"/>
              <w:bidi w:val="0"/>
              <w:spacing w:before="65" w:after="20"/>
              <w:jc w:val="both"/>
            </w:pPr>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316" w:before="35" w:after="20"/>
              <w:jc w:val="both"/>
              <w:rPr>
                <w:rFonts w:ascii="Times New Roman;serif" w:hAnsi="Times New Roman;serif"/>
                <w:b w:val="false"/>
                <w:color w:val="000000"/>
                <w:sz w:val="20"/>
              </w:rPr>
            </w:pPr>
            <w:r>
              <w:rPr>
                <w:rFonts w:ascii="Times New Roman;serif" w:hAnsi="Times New Roman;serif"/>
                <w:b w:val="false"/>
                <w:color w:val="000000"/>
                <w:sz w:val="20"/>
              </w:rPr>
              <w:t>Mark McKechnie</w:t>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lineRule="auto" w:line="316" w:before="65" w:after="20"/>
              <w:jc w:val="both"/>
              <w:rPr>
                <w:rFonts w:ascii="Times New Roman;serif" w:hAnsi="Times New Roman;serif"/>
                <w:b w:val="false"/>
                <w:color w:val="000000"/>
                <w:sz w:val="20"/>
              </w:rPr>
            </w:pPr>
            <w:r>
              <w:rPr>
                <w:rFonts w:ascii="Times New Roman;serif" w:hAnsi="Times New Roman;serif"/>
                <w:b w:val="false"/>
                <w:color w:val="000000"/>
                <w:sz w:val="20"/>
              </w:rPr>
              <w:t>Chief Financial Officer, Executive Vice President and Treasurer</w:t>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lineRule="auto" w:line="316" w:before="65" w:after="20"/>
              <w:jc w:val="both"/>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before="0" w:after="283"/>
        <w:jc w:val="left"/>
      </w:pPr>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32.01</w:t>
      </w:r>
    </w:p>
    <w:p>
      <w:pPr>
        <w:pStyle w:val="TextBody"/>
        <w:bidi w:val="0"/>
        <w:spacing w:lineRule="auto" w:line="333"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 18 U.S.C. 1350,</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 OF THE SARBANES-OXLEY ACT OF 2002</w:t>
      </w:r>
    </w:p>
    <w:p>
      <w:pPr>
        <w:pStyle w:val="TextBody"/>
        <w:bidi w:val="0"/>
        <w:spacing w:lineRule="auto" w:line="333" w:before="24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ACM Research, Inc. for the quarterly period ended September 30, 2026, as filed with the Securities and Exchange Commission on the date hereof (the “Report”), each of the undersigned certifies, pursuant to 18 U.S.C. Section 1350, as adopted pursuant to Section 906 of the Sarbanes-Oxley Act of 2002, that, to his or her knowledge on the date hereof:</w:t>
      </w:r>
    </w:p>
    <w:p>
      <w:pPr>
        <w:pStyle w:val="TextBody"/>
        <w:bidi w:val="0"/>
        <w:spacing w:lineRule="auto" w:line="333"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333" w:before="24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ACM Research, Inc. for the period presented therein.</w:t>
      </w:r>
    </w:p>
    <w:tbl>
      <w:tblPr>
        <w:tblW w:w="7378" w:type="dxa"/>
        <w:jc w:val="left"/>
        <w:tblInd w:w="0" w:type="dxa"/>
        <w:tblLayout w:type="fixed"/>
        <w:tblCellMar>
          <w:top w:w="28" w:type="dxa"/>
          <w:left w:w="28" w:type="dxa"/>
          <w:bottom w:w="28" w:type="dxa"/>
          <w:right w:w="28" w:type="dxa"/>
        </w:tblCellMar>
      </w:tblPr>
      <w:tblGrid>
        <w:gridCol w:w="759"/>
        <w:gridCol w:w="668"/>
        <w:gridCol w:w="672"/>
        <w:gridCol w:w="1544"/>
        <w:gridCol w:w="1544"/>
        <w:gridCol w:w="2191"/>
      </w:tblGrid>
      <w:t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r>
      <w:tr>
        <w:tc>
          <w:tcPr>
            <w:tcW w:w="2099" w:type="dxa"/>
            <w:gridSpan w:val="3"/>
            <w:tcBorders/>
            <w:tcMar>
              <w:top w:w="0" w:type="dxa"/>
              <w:left w:w="0" w:type="dxa"/>
              <w:bottom w:w="0" w:type="dxa"/>
              <w:right w:w="0" w:type="dxa"/>
            </w:tcMar>
            <w:vAlign w:val="center"/>
          </w:tcPr>
          <w:p>
            <w:pPr>
              <w:pStyle w:val="TableContents"/>
              <w:bidi w:val="0"/>
              <w:spacing w:lineRule="auto" w:line="316" w:before="65" w:after="20"/>
              <w:jc w:val="left"/>
              <w:rPr>
                <w:rFonts w:ascii="Times New Roman;serif" w:hAnsi="Times New Roman;serif"/>
                <w:b w:val="false"/>
                <w:color w:val="000000"/>
                <w:sz w:val="20"/>
              </w:rPr>
            </w:pPr>
            <w:r>
              <w:rPr>
                <w:rFonts w:ascii="Times New Roman;serif" w:hAnsi="Times New Roman;serif"/>
                <w:b w:val="false"/>
                <w:color w:val="000000"/>
                <w:sz w:val="20"/>
              </w:rPr>
              <w:t>Date: November 6, 2026</w:t>
            </w:r>
          </w:p>
        </w:tc>
        <w:tc>
          <w:tcPr>
            <w:tcW w:w="5279" w:type="dxa"/>
            <w:gridSpan w:val="3"/>
            <w:tcBorders/>
            <w:tcMar>
              <w:top w:w="0" w:type="dxa"/>
              <w:left w:w="0" w:type="dxa"/>
              <w:bottom w:w="0" w:type="dxa"/>
              <w:right w:w="0" w:type="dxa"/>
            </w:tcMar>
            <w:vAlign w:val="center"/>
          </w:tcPr>
          <w:p>
            <w:pPr>
              <w:pStyle w:val="TableContents"/>
              <w:bidi w:val="0"/>
              <w:spacing w:before="65" w:after="20"/>
              <w:jc w:val="both"/>
            </w:pPr>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316" w:before="35" w:after="20"/>
              <w:jc w:val="both"/>
              <w:rPr>
                <w:rFonts w:ascii="Times New Roman;serif" w:hAnsi="Times New Roman;serif"/>
                <w:b w:val="false"/>
                <w:color w:val="000000"/>
                <w:sz w:val="20"/>
              </w:rPr>
            </w:pPr>
            <w:r>
              <w:rPr>
                <w:rFonts w:ascii="Times New Roman;serif" w:hAnsi="Times New Roman;serif"/>
                <w:b w:val="false"/>
                <w:color w:val="000000"/>
                <w:sz w:val="20"/>
              </w:rPr>
              <w:t>David H. Wang</w:t>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lineRule="auto" w:line="316" w:before="65" w:after="20"/>
              <w:jc w:val="both"/>
              <w:rPr>
                <w:rFonts w:ascii="Times New Roman;serif" w:hAnsi="Times New Roman;serif"/>
                <w:b w:val="false"/>
                <w:color w:val="000000"/>
                <w:sz w:val="20"/>
              </w:rPr>
            </w:pPr>
            <w:r>
              <w:rPr>
                <w:rFonts w:ascii="Times New Roman;serif" w:hAnsi="Times New Roman;serif"/>
                <w:b w:val="false"/>
                <w:color w:val="000000"/>
                <w:sz w:val="20"/>
              </w:rPr>
              <w:t>Chief Executive Officer and President</w:t>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lineRule="auto" w:line="316" w:before="65" w:after="20"/>
              <w:jc w:val="both"/>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99" w:type="dxa"/>
            <w:gridSpan w:val="3"/>
            <w:tcBorders/>
            <w:tcMar>
              <w:top w:w="0" w:type="dxa"/>
              <w:left w:w="0" w:type="dxa"/>
              <w:bottom w:w="0" w:type="dxa"/>
              <w:right w:w="0" w:type="dxa"/>
            </w:tcMar>
            <w:vAlign w:val="center"/>
          </w:tcPr>
          <w:p>
            <w:pPr>
              <w:pStyle w:val="TableContents"/>
              <w:bidi w:val="0"/>
              <w:spacing w:lineRule="auto" w:line="316" w:before="65" w:after="20"/>
              <w:jc w:val="left"/>
              <w:rPr>
                <w:rFonts w:ascii="Times New Roman;serif" w:hAnsi="Times New Roman;serif"/>
                <w:b w:val="false"/>
                <w:color w:val="000000"/>
                <w:sz w:val="20"/>
              </w:rPr>
            </w:pPr>
            <w:r>
              <w:rPr>
                <w:rFonts w:ascii="Times New Roman;serif" w:hAnsi="Times New Roman;serif"/>
                <w:b w:val="false"/>
                <w:color w:val="000000"/>
                <w:sz w:val="20"/>
              </w:rPr>
              <w:t>Date: November 6, 2026</w:t>
            </w:r>
          </w:p>
        </w:tc>
        <w:tc>
          <w:tcPr>
            <w:tcW w:w="5279" w:type="dxa"/>
            <w:gridSpan w:val="3"/>
            <w:tcBorders/>
            <w:tcMar>
              <w:top w:w="0" w:type="dxa"/>
              <w:left w:w="0" w:type="dxa"/>
              <w:bottom w:w="0" w:type="dxa"/>
              <w:right w:w="0" w:type="dxa"/>
            </w:tcMar>
            <w:vAlign w:val="center"/>
          </w:tcPr>
          <w:p>
            <w:pPr>
              <w:pStyle w:val="TableContents"/>
              <w:bidi w:val="0"/>
              <w:spacing w:before="65" w:after="20"/>
              <w:jc w:val="both"/>
            </w:pPr>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316" w:before="35" w:after="20"/>
              <w:jc w:val="both"/>
              <w:rPr>
                <w:rFonts w:ascii="Times New Roman;serif" w:hAnsi="Times New Roman;serif"/>
                <w:b w:val="false"/>
                <w:color w:val="000000"/>
                <w:sz w:val="20"/>
              </w:rPr>
            </w:pPr>
            <w:r>
              <w:rPr>
                <w:rFonts w:ascii="Times New Roman;serif" w:hAnsi="Times New Roman;serif"/>
                <w:b w:val="false"/>
                <w:color w:val="000000"/>
                <w:sz w:val="20"/>
              </w:rPr>
              <w:t>Mark McKechnie</w:t>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lineRule="auto" w:line="316" w:before="65" w:after="20"/>
              <w:jc w:val="both"/>
              <w:rPr>
                <w:rFonts w:ascii="Times New Roman;serif" w:hAnsi="Times New Roman;serif"/>
                <w:b w:val="false"/>
                <w:color w:val="000000"/>
                <w:sz w:val="20"/>
              </w:rPr>
            </w:pPr>
            <w:r>
              <w:rPr>
                <w:rFonts w:ascii="Times New Roman;serif" w:hAnsi="Times New Roman;serif"/>
                <w:b w:val="false"/>
                <w:color w:val="000000"/>
                <w:sz w:val="20"/>
              </w:rPr>
              <w:t>Chief Financial Officer, Executive Vice President and Treasurer</w:t>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lineRule="auto" w:line="316" w:before="65" w:after="20"/>
              <w:jc w:val="both"/>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lineRule="auto" w:line="333" w:before="240" w:after="283"/>
        <w:jc w:val="both"/>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solely pursuant to 18 U.S.C. § 1350 and is not being filed as part of the Report or as a separate disclosure document.</w:t>
      </w:r>
    </w:p>
    <w:p>
      <w:pPr>
        <w:pStyle w:val="TextBody"/>
        <w:bidi w:val="0"/>
        <w:spacing w:before="0" w:after="283"/>
        <w:jc w:val="left"/>
      </w:p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22557</Words>
  <Characters>125854</Characters>
  <CharactersWithSpaces>147447</CharactersWithSpaces>
  <Paragraphs>3439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