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13d-101]</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24.13d-1(a) AND AMENDMENTS THERETO FILED PURSUANT TO § 240.13D-2(a)</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Wangyu Ge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Shanghai Science and Technology Venture Capital (Group) Co., Ltd.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Bohua Plaza, 39th Floor 669, Xinzha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Jing'an District, Shanghai, People’s Republic Of China 200041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+86 021 2230 2882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Lufei Liu</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Shanghai Pudong Science and Technology Investment Group Co., Ltd.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 118 Rongke Road, 17th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Pudong New Area, Shanghai, People’s Republic of China 200120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20" w:firstLine="635"/>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4"/>
          <w:szCs w:val="24"/>
          <w:color w:val="auto"/>
        </w:rPr>
      </w:pPr>
    </w:p>
    <w:p>
      <w:pPr>
        <w:ind w:firstLine="635"/>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07" w:lineRule="exact"/>
        <w:rPr>
          <w:sz w:val="24"/>
          <w:szCs w:val="24"/>
          <w:color w:val="auto"/>
        </w:rPr>
      </w:pPr>
    </w:p>
    <w:p>
      <w:pPr>
        <w:ind w:right="20"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00108J109</w:t>
      </w:r>
      <w:r>
        <w:rPr>
          <w:sz w:val="20"/>
          <w:szCs w:val="20"/>
          <w:color w:val="auto"/>
        </w:rPr>
        <w:tab/>
      </w:r>
      <w:r>
        <w:rPr>
          <w:rFonts w:ascii="Times New Roman" w:cs="Times New Roman" w:eastAsia="Times New Roman" w:hAnsi="Times New Roman"/>
          <w:sz w:val="17"/>
          <w:szCs w:val="17"/>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4225" cy="637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81" w:lineRule="exact"/>
        <w:rPr>
          <w:sz w:val="20"/>
          <w:szCs w:val="20"/>
          <w:color w:val="auto"/>
        </w:rPr>
      </w:pPr>
    </w:p>
    <w:p>
      <w:pPr>
        <w:ind w:left="1560" w:hanging="834"/>
        <w:spacing w:after="0"/>
        <w:tabs>
          <w:tab w:leader="none" w:pos="15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Shanghai Science and Technology Venture Capital (Group) Co., Ltd.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2,338,510 (1)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2,338,510 (1)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2,338,510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right="160" w:hanging="331"/>
        <w:spacing w:after="0" w:line="261"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Science and Technology Venture Capital (Group) Co., Ltd. (“SHSTVC”) may be deemed to beneficially own the 3,358,728 shares held by Shanghai Pudong Science and Technology Investment Group Co., Ltd. (“</w:t>
      </w:r>
      <w:r>
        <w:rPr>
          <w:rFonts w:ascii="Times New Roman" w:cs="Times New Roman" w:eastAsia="Times New Roman" w:hAnsi="Times New Roman"/>
          <w:sz w:val="18"/>
          <w:szCs w:val="18"/>
          <w:u w:val="single" w:color="auto"/>
          <w:color w:val="auto"/>
        </w:rPr>
        <w:t>PDSTVC</w:t>
      </w:r>
      <w:r>
        <w:rPr>
          <w:rFonts w:ascii="Times New Roman" w:cs="Times New Roman" w:eastAsia="Times New Roman" w:hAnsi="Times New Roman"/>
          <w:sz w:val="18"/>
          <w:szCs w:val="18"/>
          <w:color w:val="auto"/>
        </w:rPr>
        <w:t>”) as a result of its rights under the Coordination Agreement (as defined in Item 6 of the Schedule 13D amended hereby); however, the shares held by PDSTVC are not included in the number of shares reported as beneficially owned by SHSTVC in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00108J109</w:t>
      </w:r>
      <w:r>
        <w:rPr>
          <w:sz w:val="20"/>
          <w:szCs w:val="20"/>
          <w:color w:val="auto"/>
        </w:rPr>
        <w:tab/>
      </w:r>
      <w:r>
        <w:rPr>
          <w:rFonts w:ascii="Times New Roman" w:cs="Times New Roman" w:eastAsia="Times New Roman" w:hAnsi="Times New Roman"/>
          <w:sz w:val="17"/>
          <w:szCs w:val="17"/>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4225" cy="637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81" w:lineRule="exact"/>
        <w:rPr>
          <w:sz w:val="20"/>
          <w:szCs w:val="20"/>
          <w:color w:val="auto"/>
        </w:rPr>
      </w:pPr>
    </w:p>
    <w:p>
      <w:pPr>
        <w:ind w:left="1560" w:hanging="834"/>
        <w:spacing w:after="0"/>
        <w:tabs>
          <w:tab w:leader="none" w:pos="1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Shanghai Pudong Science and Technology Investment Group Co., Ltd.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3,358,728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3,358,728</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3,358,728</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amends the Schedule 13D, as amended by Amendment No. 1 thereto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filed by Shanghai Science and Technology Venture Capital (Group) Co., Ltd. (“</w:t>
      </w:r>
      <w:r>
        <w:rPr>
          <w:rFonts w:ascii="Times New Roman" w:cs="Times New Roman" w:eastAsia="Times New Roman" w:hAnsi="Times New Roman"/>
          <w:sz w:val="18"/>
          <w:szCs w:val="18"/>
          <w:u w:val="single" w:color="auto"/>
          <w:color w:val="auto"/>
        </w:rPr>
        <w:t>SHSTVC</w:t>
      </w:r>
      <w:r>
        <w:rPr>
          <w:rFonts w:ascii="Times New Roman" w:cs="Times New Roman" w:eastAsia="Times New Roman" w:hAnsi="Times New Roman"/>
          <w:sz w:val="18"/>
          <w:szCs w:val="18"/>
          <w:color w:val="auto"/>
        </w:rPr>
        <w:t>”) and Shanghai Pudong Science and Technology Investment Group Co., Ltd. (“</w:t>
      </w:r>
      <w:r>
        <w:rPr>
          <w:rFonts w:ascii="Times New Roman" w:cs="Times New Roman" w:eastAsia="Times New Roman" w:hAnsi="Times New Roman"/>
          <w:sz w:val="18"/>
          <w:szCs w:val="18"/>
          <w:u w:val="single" w:color="auto"/>
          <w:color w:val="auto"/>
        </w:rPr>
        <w:t>PDSTVC</w:t>
      </w:r>
      <w:r>
        <w:rPr>
          <w:rFonts w:ascii="Times New Roman" w:cs="Times New Roman" w:eastAsia="Times New Roman" w:hAnsi="Times New Roman"/>
          <w:sz w:val="18"/>
          <w:szCs w:val="18"/>
          <w:color w:val="auto"/>
        </w:rPr>
        <w:t>” and, together with SHSTVC,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with respect to the Class A common stock of ACM Research, Inc. Capitalized terms used but not otherwise defined in this Amendment have the meanings ascribed to them in the Schedule 13D.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paragraph is added as the penultimate paragraph of Item 4 of the Schedule 13D: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an administrative order, SHSTVC intends to transfer all of its equity interest in PDSTVC to a third party in the near future. In connection with such transfer, SHSTVC and PDSTVC expect to terminate the Coordination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 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(b) and (c) of the Schedule 13D are hereby amended and restated in their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980" w:hanging="561"/>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Shanghai Science and Technology Venture Capital Co., Ltd.</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Number of shares: 2,338,510</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Percentage of shares: 4.1%</w:t>
      </w:r>
    </w:p>
    <w:p>
      <w:pPr>
        <w:spacing w:after="0" w:line="207" w:lineRule="exact"/>
        <w:rPr>
          <w:sz w:val="20"/>
          <w:szCs w:val="20"/>
          <w:color w:val="auto"/>
        </w:rPr>
      </w:pPr>
    </w:p>
    <w:p>
      <w:pPr>
        <w:ind w:left="980" w:hanging="561"/>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Shanghai Pudong Science and Technology Investment Group Co., Ltd.</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Number of shares: 3,358,728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shares: 5.8%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980" w:hanging="561"/>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Shanghai Pudong Science and Technology Investment Group Co., Ltd.</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Shared power to vote or direct the vote: 2,338,510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Shared power to dispose or direct the disposition: 2,338,510</w:t>
      </w:r>
    </w:p>
    <w:p>
      <w:pPr>
        <w:spacing w:after="0" w:line="207" w:lineRule="exact"/>
        <w:rPr>
          <w:sz w:val="20"/>
          <w:szCs w:val="20"/>
          <w:color w:val="auto"/>
        </w:rPr>
      </w:pPr>
    </w:p>
    <w:p>
      <w:pPr>
        <w:ind w:left="980" w:hanging="561"/>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Shanghai Pudong Science and Technology Investment Group Co., Ltd</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Shared power to vote or direct the vote: 3,358,728</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Shared power to dispose or direct the disposition: 3,358,728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the Reporting Persons is a member of a “group” for purposes of Rule 13d-3 under the Act, with the other Reporting Person as a result of the Coordination Agreement (as defined in Item 6 below). Such group beneficially owns, in the aggregate 5,697,238 shares of Class A Common Stock, or approximately 9.92% of the outstanding shares of Class A Common Stock. SHSTVC may be deemed to beneficially own shares held by PDSTVC as a result of its rights under the Coordination Agreement; however, the shares held by PDSTVC are not included in the number of shares reported as beneficially owned by SHSTVC in this Schedule 13D. Additionally, in December 2022 SHSTVC acquired a 46% equity interest in PDSTVC. However, prior to the execution of the Coordination Agreement, SHSTVC did not have voting control in respect of the shares of Class A Common Stock held by PDSTVC. See Item 4 of the Schedule 13D amended hereby for additional details regarding SHSTVC’s interest in PDSTVC.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percentage of Class A Common Stock beneficially owned by the Reporting Persons (including the group formed by the Reporting Persons) reflects 57,449,013 shares of Class A Common Stock outstanding as set forth in the Issuer’s Quarterly Report on Form 10-Q for the quarterly period ended June 30, 2024. Transactions in the Class A Common Stock effected by the Reporting Persons in the last sixty (60) days are set forth on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to this Amendment. All transactions reflected in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to this Amendment were effected in the open market through a broker pursuant to a 10b5-1 Plan adopted by SHSTVC on June 12,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7. Material to be Filed as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Schedule 13D is hereby amended and supplemented as follows:</w:t>
      </w:r>
    </w:p>
    <w:p>
      <w:pPr>
        <w:spacing w:after="0" w:line="22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u w:val="single" w:color="auto"/>
          <w:color w:val="0000EE"/>
        </w:rPr>
        <w:t>Exhibit 2</w:t>
      </w:r>
      <w:r>
        <w:rPr>
          <w:sz w:val="20"/>
          <w:szCs w:val="20"/>
          <w:color w:val="auto"/>
        </w:rPr>
        <w:tab/>
      </w:r>
      <w:r>
        <w:rPr>
          <w:rFonts w:ascii="Times New Roman" w:cs="Times New Roman" w:eastAsia="Times New Roman" w:hAnsi="Times New Roman"/>
          <w:sz w:val="17"/>
          <w:szCs w:val="17"/>
          <w:color w:val="auto"/>
        </w:rPr>
        <w:t>Schedule of Transactions for Item 5(c) of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their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8,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SHANGHAI SCIENCE AND TECHNOLOGY VENTURE CAPITAL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(GROUP) CO., LTD.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Wangyu Ge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Wangyu Ge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SHANGHAI PUDONG SCIENCE AND TECHNOLOGY INVESTMENT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(GROUP) CO., LTD.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Lufei Liu</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Lufei Liu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TRANSACTIONS</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transactions in the Class A Common Stock effected by the Reporting Persons in the last sixty (60) days. All such transactions were effected in the open market through a broker pursuant to a 10b5-1 Plan adopted by SHSTVC on June 12,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Security</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c>
          <w:tcPr>
            <w:tcW w:w="23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1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SHSTVC</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10/01/2024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8,304</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$20.19(1)</w:t>
            </w: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SHSTVC</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26,300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$20.01(2)</w:t>
            </w:r>
          </w:p>
        </w:tc>
      </w:tr>
      <w:tr>
        <w:trPr>
          <w:trHeight w:val="21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SHSTVC</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10/04/2024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570,735</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$21.52(3)</w:t>
            </w: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SHSTVC</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10/04/2024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129,265</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$20.94(4)</w:t>
            </w:r>
          </w:p>
        </w:tc>
      </w:tr>
      <w:tr>
        <w:trPr>
          <w:trHeight w:val="21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SHSTVC</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10/07/2024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100,514</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$25.36(5)</w:t>
            </w: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SHSTVC</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10/07/2024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1,481</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$25.02(6)</w:t>
            </w:r>
          </w:p>
        </w:tc>
      </w:tr>
      <w:tr>
        <w:trPr>
          <w:trHeight w:val="21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SHSTVC</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10/07/2024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173,005</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$23.32(7)</w:t>
            </w: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SHSTVC</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10/08/2024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90,396</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$21.13(8)</w:t>
            </w:r>
          </w:p>
        </w:tc>
      </w:tr>
    </w:tbl>
    <w:p>
      <w:pPr>
        <w:spacing w:after="0" w:line="179" w:lineRule="exact"/>
        <w:rPr>
          <w:sz w:val="20"/>
          <w:szCs w:val="20"/>
          <w:color w:val="auto"/>
        </w:rPr>
      </w:pPr>
    </w:p>
    <w:p>
      <w:pPr>
        <w:ind w:right="60" w:firstLine="8"/>
        <w:spacing w:after="0" w:line="312" w:lineRule="auto"/>
        <w:tabs>
          <w:tab w:leader="none" w:pos="1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price reflects the weighted average sale price. The Reporting Persons undertake to provide to the Issuer, any security holder of the Issuer, or the staff of the SEC, upon request, full information regarding the number of Common Shares sold at each separate price within the range set forth herein.</w:t>
      </w:r>
    </w:p>
    <w:p>
      <w:pPr>
        <w:spacing w:after="0" w:line="140"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was executed in multiple trades at prices ranging from $20.00 to $20.28, inclusive.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was executed in multiple trades at prices ranging from $20.00 to $20.17, inclusive.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was executed in multiple trades at prices ranging from $21.11 to $22.10, inclusive.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was executed in multiple trades at prices ranging from $20.71 to $21.10, inclusive.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was executed in multiple trades at prices ranging from $25.03 to $26.02, inclusive.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was executed in multiple trades at prices ranging from $25.01 to $25.02, inclusive.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was executed in multiple trades at prices ranging from $23.05 to $23.91, inclusive.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was executed in multiple trades at prices ranging from $20.53 to $21.51, inclusive.</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2024-10-08T20:48:31Z</dcterms:created>
  <dcterms:modified xsi:type="dcterms:W3CDTF">2024-10-08T20:48:31Z</dcterms:modified>
</cp:coreProperties>
</file>