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14, 2018</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ACM Research,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800" w:type="dxa"/>
        <w:tblCellMar>
          <w:top w:w="0" w:type="dxa"/>
          <w:left w:w="0" w:type="dxa"/>
          <w:bottom w:w="0" w:type="dxa"/>
          <w:right w:w="0" w:type="dxa"/>
        </w:tblCellMar>
      </w:tblPr>
      <w:tr>
        <w:trPr>
          <w:trHeight w:val="222"/>
        </w:trPr>
        <w:tc>
          <w:tcPr>
            <w:tcW w:w="236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Delaware</w:t>
            </w:r>
          </w:p>
        </w:tc>
        <w:tc>
          <w:tcPr>
            <w:tcW w:w="5340" w:type="dxa"/>
            <w:vAlign w:val="bottom"/>
          </w:tcPr>
          <w:p>
            <w:pPr>
              <w:jc w:val="center"/>
              <w:ind w:right="172"/>
              <w:spacing w:after="0"/>
              <w:rPr>
                <w:sz w:val="20"/>
                <w:szCs w:val="20"/>
                <w:color w:val="auto"/>
              </w:rPr>
            </w:pPr>
            <w:r>
              <w:rPr>
                <w:rFonts w:ascii="Arial" w:cs="Arial" w:eastAsia="Arial" w:hAnsi="Arial"/>
                <w:sz w:val="18"/>
                <w:szCs w:val="18"/>
                <w:b w:val="1"/>
                <w:bCs w:val="1"/>
                <w:color w:val="auto"/>
                <w:w w:val="88"/>
              </w:rPr>
              <w:t>001-38273</w:t>
            </w:r>
          </w:p>
        </w:tc>
        <w:tc>
          <w:tcPr>
            <w:tcW w:w="1660" w:type="dxa"/>
            <w:vAlign w:val="bottom"/>
          </w:tcPr>
          <w:p>
            <w:pPr>
              <w:jc w:val="center"/>
              <w:ind w:left="292"/>
              <w:spacing w:after="0"/>
              <w:rPr>
                <w:sz w:val="20"/>
                <w:szCs w:val="20"/>
                <w:color w:val="auto"/>
              </w:rPr>
            </w:pPr>
            <w:r>
              <w:rPr>
                <w:rFonts w:ascii="Arial" w:cs="Arial" w:eastAsia="Arial" w:hAnsi="Arial"/>
                <w:sz w:val="18"/>
                <w:szCs w:val="18"/>
                <w:b w:val="1"/>
                <w:bCs w:val="1"/>
                <w:color w:val="auto"/>
                <w:w w:val="87"/>
              </w:rPr>
              <w:t>94-3290283</w:t>
            </w:r>
          </w:p>
        </w:tc>
      </w:tr>
      <w:tr>
        <w:trPr>
          <w:trHeight w:val="216"/>
        </w:trPr>
        <w:tc>
          <w:tcPr>
            <w:tcW w:w="2360" w:type="dxa"/>
            <w:vAlign w:val="bottom"/>
          </w:tcPr>
          <w:p>
            <w:pPr>
              <w:jc w:val="center"/>
              <w:ind w:right="72"/>
              <w:spacing w:after="0"/>
              <w:rPr>
                <w:sz w:val="20"/>
                <w:szCs w:val="20"/>
                <w:color w:val="auto"/>
              </w:rPr>
            </w:pPr>
            <w:r>
              <w:rPr>
                <w:rFonts w:ascii="Arial" w:cs="Arial" w:eastAsia="Arial" w:hAnsi="Arial"/>
                <w:sz w:val="18"/>
                <w:szCs w:val="18"/>
                <w:i w:val="1"/>
                <w:iCs w:val="1"/>
                <w:color w:val="auto"/>
                <w:w w:val="90"/>
              </w:rPr>
              <w:t>(State or Other Jurisdiction of</w:t>
            </w:r>
          </w:p>
        </w:tc>
        <w:tc>
          <w:tcPr>
            <w:tcW w:w="5340" w:type="dxa"/>
            <w:vAlign w:val="bottom"/>
          </w:tcPr>
          <w:p>
            <w:pPr>
              <w:jc w:val="center"/>
              <w:ind w:right="172"/>
              <w:spacing w:after="0"/>
              <w:rPr>
                <w:sz w:val="20"/>
                <w:szCs w:val="20"/>
                <w:color w:val="auto"/>
              </w:rPr>
            </w:pPr>
            <w:r>
              <w:rPr>
                <w:rFonts w:ascii="Arial" w:cs="Arial" w:eastAsia="Arial" w:hAnsi="Arial"/>
                <w:sz w:val="18"/>
                <w:szCs w:val="18"/>
                <w:i w:val="1"/>
                <w:iCs w:val="1"/>
                <w:color w:val="auto"/>
                <w:w w:val="89"/>
              </w:rPr>
              <w:t>(Commission File Number)</w:t>
            </w:r>
          </w:p>
        </w:tc>
        <w:tc>
          <w:tcPr>
            <w:tcW w:w="1660" w:type="dxa"/>
            <w:vAlign w:val="bottom"/>
          </w:tcPr>
          <w:p>
            <w:pPr>
              <w:jc w:val="center"/>
              <w:ind w:left="292"/>
              <w:spacing w:after="0"/>
              <w:rPr>
                <w:sz w:val="20"/>
                <w:szCs w:val="20"/>
                <w:color w:val="auto"/>
              </w:rPr>
            </w:pPr>
            <w:r>
              <w:rPr>
                <w:rFonts w:ascii="Arial" w:cs="Arial" w:eastAsia="Arial" w:hAnsi="Arial"/>
                <w:sz w:val="18"/>
                <w:szCs w:val="18"/>
                <w:i w:val="1"/>
                <w:iCs w:val="1"/>
                <w:color w:val="auto"/>
                <w:w w:val="87"/>
              </w:rPr>
              <w:t>(I.R.S. Employer</w:t>
            </w:r>
          </w:p>
        </w:tc>
      </w:tr>
      <w:tr>
        <w:trPr>
          <w:trHeight w:val="222"/>
        </w:trPr>
        <w:tc>
          <w:tcPr>
            <w:tcW w:w="2360" w:type="dxa"/>
            <w:vAlign w:val="bottom"/>
          </w:tcPr>
          <w:p>
            <w:pPr>
              <w:jc w:val="center"/>
              <w:ind w:right="52"/>
              <w:spacing w:after="0"/>
              <w:rPr>
                <w:sz w:val="20"/>
                <w:szCs w:val="20"/>
                <w:color w:val="auto"/>
              </w:rPr>
            </w:pPr>
            <w:r>
              <w:rPr>
                <w:rFonts w:ascii="Arial" w:cs="Arial" w:eastAsia="Arial" w:hAnsi="Arial"/>
                <w:sz w:val="18"/>
                <w:szCs w:val="18"/>
                <w:i w:val="1"/>
                <w:iCs w:val="1"/>
                <w:color w:val="auto"/>
                <w:w w:val="92"/>
              </w:rPr>
              <w:t>Incorporation or Organization)</w:t>
            </w:r>
          </w:p>
        </w:tc>
        <w:tc>
          <w:tcPr>
            <w:tcW w:w="5340" w:type="dxa"/>
            <w:vAlign w:val="bottom"/>
          </w:tcPr>
          <w:p>
            <w:pPr>
              <w:spacing w:after="0"/>
              <w:rPr>
                <w:sz w:val="19"/>
                <w:szCs w:val="19"/>
                <w:color w:val="auto"/>
              </w:rPr>
            </w:pPr>
          </w:p>
        </w:tc>
        <w:tc>
          <w:tcPr>
            <w:tcW w:w="1660" w:type="dxa"/>
            <w:vAlign w:val="bottom"/>
          </w:tcPr>
          <w:p>
            <w:pPr>
              <w:jc w:val="center"/>
              <w:ind w:left="272"/>
              <w:spacing w:after="0"/>
              <w:rPr>
                <w:sz w:val="20"/>
                <w:szCs w:val="20"/>
                <w:color w:val="auto"/>
              </w:rPr>
            </w:pPr>
            <w:r>
              <w:rPr>
                <w:rFonts w:ascii="Arial" w:cs="Arial" w:eastAsia="Arial" w:hAnsi="Arial"/>
                <w:sz w:val="18"/>
                <w:szCs w:val="18"/>
                <w:i w:val="1"/>
                <w:iCs w:val="1"/>
                <w:color w:val="auto"/>
                <w:w w:val="92"/>
              </w:rPr>
              <w:t>Identification No.)</w:t>
            </w:r>
          </w:p>
        </w:tc>
      </w:tr>
      <w:tr>
        <w:trPr>
          <w:trHeight w:val="426"/>
        </w:trPr>
        <w:tc>
          <w:tcPr>
            <w:tcW w:w="2360" w:type="dxa"/>
            <w:vAlign w:val="bottom"/>
          </w:tcPr>
          <w:p>
            <w:pPr>
              <w:spacing w:after="0"/>
              <w:rPr>
                <w:sz w:val="24"/>
                <w:szCs w:val="24"/>
                <w:color w:val="auto"/>
              </w:rPr>
            </w:pPr>
          </w:p>
        </w:tc>
        <w:tc>
          <w:tcPr>
            <w:tcW w:w="5340" w:type="dxa"/>
            <w:vAlign w:val="bottom"/>
          </w:tcPr>
          <w:p>
            <w:pPr>
              <w:jc w:val="center"/>
              <w:ind w:right="132"/>
              <w:spacing w:after="0"/>
              <w:rPr>
                <w:sz w:val="20"/>
                <w:szCs w:val="20"/>
                <w:color w:val="auto"/>
              </w:rPr>
            </w:pPr>
            <w:r>
              <w:rPr>
                <w:rFonts w:ascii="Arial" w:cs="Arial" w:eastAsia="Arial" w:hAnsi="Arial"/>
                <w:sz w:val="18"/>
                <w:szCs w:val="18"/>
                <w:b w:val="1"/>
                <w:bCs w:val="1"/>
                <w:color w:val="auto"/>
                <w:w w:val="89"/>
              </w:rPr>
              <w:t>42307 Osgood Road, Suite I, Fremont, California 94539</w:t>
            </w:r>
          </w:p>
        </w:tc>
        <w:tc>
          <w:tcPr>
            <w:tcW w:w="1660" w:type="dxa"/>
            <w:vAlign w:val="bottom"/>
          </w:tcPr>
          <w:p>
            <w:pPr>
              <w:spacing w:after="0"/>
              <w:rPr>
                <w:sz w:val="24"/>
                <w:szCs w:val="24"/>
                <w:color w:val="auto"/>
              </w:rPr>
            </w:pPr>
          </w:p>
        </w:tc>
      </w:tr>
      <w:tr>
        <w:trPr>
          <w:trHeight w:val="222"/>
        </w:trPr>
        <w:tc>
          <w:tcPr>
            <w:tcW w:w="2360" w:type="dxa"/>
            <w:vAlign w:val="bottom"/>
          </w:tcPr>
          <w:p>
            <w:pPr>
              <w:spacing w:after="0"/>
              <w:rPr>
                <w:sz w:val="19"/>
                <w:szCs w:val="19"/>
                <w:color w:val="auto"/>
              </w:rPr>
            </w:pPr>
          </w:p>
        </w:tc>
        <w:tc>
          <w:tcPr>
            <w:tcW w:w="5340" w:type="dxa"/>
            <w:vAlign w:val="bottom"/>
          </w:tcPr>
          <w:p>
            <w:pPr>
              <w:jc w:val="center"/>
              <w:ind w:right="132"/>
              <w:spacing w:after="0"/>
              <w:rPr>
                <w:sz w:val="20"/>
                <w:szCs w:val="20"/>
                <w:color w:val="auto"/>
              </w:rPr>
            </w:pPr>
            <w:r>
              <w:rPr>
                <w:rFonts w:ascii="Arial" w:cs="Arial" w:eastAsia="Arial" w:hAnsi="Arial"/>
                <w:sz w:val="18"/>
                <w:szCs w:val="18"/>
                <w:i w:val="1"/>
                <w:iCs w:val="1"/>
                <w:color w:val="auto"/>
                <w:w w:val="89"/>
              </w:rPr>
              <w:t>(Address of principal executive offices) (Zip code)</w:t>
            </w:r>
          </w:p>
        </w:tc>
        <w:tc>
          <w:tcPr>
            <w:tcW w:w="1660" w:type="dxa"/>
            <w:vAlign w:val="bottom"/>
          </w:tcPr>
          <w:p>
            <w:pPr>
              <w:spacing w:after="0"/>
              <w:rPr>
                <w:sz w:val="19"/>
                <w:szCs w:val="19"/>
                <w:color w:val="auto"/>
              </w:rPr>
            </w:pPr>
          </w:p>
        </w:tc>
      </w:tr>
      <w:tr>
        <w:trPr>
          <w:trHeight w:val="365"/>
        </w:trPr>
        <w:tc>
          <w:tcPr>
            <w:tcW w:w="2360" w:type="dxa"/>
            <w:vAlign w:val="bottom"/>
          </w:tcPr>
          <w:p>
            <w:pPr>
              <w:spacing w:after="0"/>
              <w:rPr>
                <w:sz w:val="24"/>
                <w:szCs w:val="24"/>
                <w:color w:val="auto"/>
              </w:rPr>
            </w:pPr>
          </w:p>
        </w:tc>
        <w:tc>
          <w:tcPr>
            <w:tcW w:w="5340" w:type="dxa"/>
            <w:vAlign w:val="bottom"/>
          </w:tcPr>
          <w:p>
            <w:pPr>
              <w:jc w:val="center"/>
              <w:ind w:right="132"/>
              <w:spacing w:after="0"/>
              <w:rPr>
                <w:sz w:val="20"/>
                <w:szCs w:val="20"/>
                <w:color w:val="auto"/>
              </w:rPr>
            </w:pPr>
            <w:r>
              <w:rPr>
                <w:rFonts w:ascii="Arial" w:cs="Arial" w:eastAsia="Arial" w:hAnsi="Arial"/>
                <w:sz w:val="18"/>
                <w:szCs w:val="18"/>
                <w:i w:val="1"/>
                <w:iCs w:val="1"/>
                <w:color w:val="auto"/>
                <w:w w:val="88"/>
              </w:rPr>
              <w:t xml:space="preserve">Registrant’s telephone number, including area code: </w:t>
            </w:r>
            <w:r>
              <w:rPr>
                <w:rFonts w:ascii="Arial" w:cs="Arial" w:eastAsia="Arial" w:hAnsi="Arial"/>
                <w:sz w:val="18"/>
                <w:szCs w:val="18"/>
                <w:b w:val="1"/>
                <w:bCs w:val="1"/>
                <w:color w:val="auto"/>
                <w:w w:val="88"/>
              </w:rPr>
              <w:t>(510) 445-3700</w:t>
            </w:r>
          </w:p>
        </w:tc>
        <w:tc>
          <w:tcPr>
            <w:tcW w:w="1660" w:type="dxa"/>
            <w:vAlign w:val="bottom"/>
          </w:tcPr>
          <w:p>
            <w:pPr>
              <w:spacing w:after="0"/>
              <w:rPr>
                <w:sz w:val="24"/>
                <w:szCs w:val="24"/>
                <w:color w:val="auto"/>
              </w:rPr>
            </w:pPr>
          </w:p>
        </w:tc>
      </w:tr>
    </w:tbl>
    <w:p>
      <w:pPr>
        <w:spacing w:after="0" w:line="1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ind w:right="740"/>
        <w:spacing w:after="0" w:line="229"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24" w:lineRule="exact"/>
        <w:rPr>
          <w:sz w:val="24"/>
          <w:szCs w:val="24"/>
          <w:color w:val="auto"/>
        </w:rPr>
      </w:pPr>
    </w:p>
    <w:p>
      <w:pPr>
        <w:ind w:right="42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521335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held our 2018 Annual Meeting of Stockholders on June 14, 2018. The board of directors solicited proxies pursuant to proxy statement that we filed on May 4, 2018 with the Securities and Exchange Commission under Section 14(a) of the Securities Exchange Act of 1934. There was no solicitation in opposition to the board’s solicitation.</w:t>
      </w:r>
    </w:p>
    <w:p>
      <w:pPr>
        <w:spacing w:after="0" w:line="12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At the meeting, holders of Class A and Class B common stock were asked to consider and vote upon the four proposals set forth below. Each share of Class A common stock was entitled to one vote with respect to each matter submitted to a vote at the meeting, and each share of Class B common stock was entitled to twenty votes with respect to each matter submitted to a vote at the meeting. Shares of Class A and Class B common stock representing 28,533,360 votes, or 58.6% of the total votes attributable to all outstanding shares of Class A and Class B common stock, were present in person or by proxy at the meeting.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0" w:type="dxa"/>
            <w:vAlign w:val="bottom"/>
            <w:gridSpan w:val="5"/>
          </w:tcPr>
          <w:p>
            <w:pPr>
              <w:spacing w:after="0"/>
              <w:rPr>
                <w:sz w:val="20"/>
                <w:szCs w:val="20"/>
                <w:color w:val="auto"/>
              </w:rPr>
            </w:pPr>
            <w:r>
              <w:rPr>
                <w:rFonts w:ascii="Arial" w:cs="Arial" w:eastAsia="Arial" w:hAnsi="Arial"/>
                <w:sz w:val="18"/>
                <w:szCs w:val="18"/>
                <w:color w:val="auto"/>
              </w:rPr>
              <w:t>The voting results reported below are final.</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26"/>
        </w:trPr>
        <w:tc>
          <w:tcPr>
            <w:tcW w:w="5340" w:type="dxa"/>
            <w:vAlign w:val="bottom"/>
          </w:tcPr>
          <w:p>
            <w:pPr>
              <w:spacing w:after="0"/>
              <w:rPr>
                <w:sz w:val="24"/>
                <w:szCs w:val="24"/>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Proposal 1</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5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83"/>
        </w:trPr>
        <w:tc>
          <w:tcPr>
            <w:tcW w:w="8800" w:type="dxa"/>
            <w:vAlign w:val="bottom"/>
            <w:gridSpan w:val="5"/>
          </w:tcPr>
          <w:p>
            <w:pPr>
              <w:spacing w:after="0"/>
              <w:rPr>
                <w:sz w:val="20"/>
                <w:szCs w:val="20"/>
                <w:color w:val="auto"/>
              </w:rPr>
            </w:pPr>
            <w:r>
              <w:rPr>
                <w:rFonts w:ascii="Arial" w:cs="Arial" w:eastAsia="Arial" w:hAnsi="Arial"/>
                <w:sz w:val="18"/>
                <w:szCs w:val="18"/>
                <w:color w:val="auto"/>
                <w:w w:val="89"/>
              </w:rPr>
              <w:t>Stockholders voted as follows with respect to election of each of the nominees for director identified in the proxy statement:</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4"/>
        </w:trPr>
        <w:tc>
          <w:tcPr>
            <w:tcW w:w="8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Nominee</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For</w:t>
            </w:r>
          </w:p>
        </w:tc>
        <w:tc>
          <w:tcPr>
            <w:tcW w:w="120" w:type="dxa"/>
            <w:vAlign w:val="bottom"/>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Withheld</w:t>
            </w:r>
          </w:p>
        </w:tc>
      </w:tr>
      <w:tr>
        <w:trPr>
          <w:trHeight w:val="243"/>
        </w:trPr>
        <w:tc>
          <w:tcPr>
            <w:tcW w:w="8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David H. Wang</w:t>
            </w:r>
          </w:p>
        </w:tc>
        <w:tc>
          <w:tcPr>
            <w:tcW w:w="114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88"/>
              </w:rPr>
              <w:t>28,435,806</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69,170</w:t>
            </w:r>
          </w:p>
        </w:tc>
      </w:tr>
      <w:tr>
        <w:trPr>
          <w:trHeight w:val="242"/>
        </w:trPr>
        <w:tc>
          <w:tcPr>
            <w:tcW w:w="8800" w:type="dxa"/>
            <w:vAlign w:val="bottom"/>
            <w:gridSpan w:val="5"/>
          </w:tcPr>
          <w:p>
            <w:pPr>
              <w:spacing w:after="0"/>
              <w:rPr>
                <w:sz w:val="20"/>
                <w:szCs w:val="20"/>
                <w:color w:val="auto"/>
              </w:rPr>
            </w:pPr>
            <w:r>
              <w:rPr>
                <w:rFonts w:ascii="Arial" w:cs="Arial" w:eastAsia="Arial" w:hAnsi="Arial"/>
                <w:sz w:val="18"/>
                <w:szCs w:val="18"/>
                <w:color w:val="auto"/>
              </w:rPr>
              <w:t>Haiping Dun</w:t>
            </w:r>
          </w:p>
        </w:tc>
        <w:tc>
          <w:tcPr>
            <w:tcW w:w="1140" w:type="dxa"/>
            <w:vAlign w:val="bottom"/>
          </w:tcPr>
          <w:p>
            <w:pPr>
              <w:jc w:val="center"/>
              <w:ind w:right="172"/>
              <w:spacing w:after="0"/>
              <w:rPr>
                <w:sz w:val="20"/>
                <w:szCs w:val="20"/>
                <w:color w:val="auto"/>
              </w:rPr>
            </w:pPr>
            <w:r>
              <w:rPr>
                <w:rFonts w:ascii="Arial" w:cs="Arial" w:eastAsia="Arial" w:hAnsi="Arial"/>
                <w:sz w:val="18"/>
                <w:szCs w:val="18"/>
                <w:color w:val="auto"/>
                <w:w w:val="88"/>
              </w:rPr>
              <w:t>28,376,148</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6"/>
              </w:rPr>
              <w:t>128,828</w:t>
            </w:r>
          </w:p>
        </w:tc>
      </w:tr>
      <w:tr>
        <w:trPr>
          <w:trHeight w:val="244"/>
        </w:trPr>
        <w:tc>
          <w:tcPr>
            <w:tcW w:w="8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Chenming C. Hu</w:t>
            </w:r>
          </w:p>
        </w:tc>
        <w:tc>
          <w:tcPr>
            <w:tcW w:w="1140" w:type="dxa"/>
            <w:vAlign w:val="bottom"/>
            <w:shd w:val="clear" w:color="auto" w:fill="CCEEFF"/>
          </w:tcPr>
          <w:p>
            <w:pPr>
              <w:jc w:val="center"/>
              <w:ind w:right="152"/>
              <w:spacing w:after="0"/>
              <w:rPr>
                <w:sz w:val="20"/>
                <w:szCs w:val="20"/>
                <w:color w:val="auto"/>
              </w:rPr>
            </w:pPr>
            <w:r>
              <w:rPr>
                <w:rFonts w:ascii="Arial" w:cs="Arial" w:eastAsia="Arial" w:hAnsi="Arial"/>
                <w:sz w:val="18"/>
                <w:szCs w:val="18"/>
                <w:color w:val="auto"/>
                <w:w w:val="86"/>
              </w:rPr>
              <w:t>27,846,011</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658,965</w:t>
            </w:r>
          </w:p>
        </w:tc>
      </w:tr>
      <w:tr>
        <w:trPr>
          <w:trHeight w:val="242"/>
        </w:trPr>
        <w:tc>
          <w:tcPr>
            <w:tcW w:w="8800" w:type="dxa"/>
            <w:vAlign w:val="bottom"/>
            <w:gridSpan w:val="5"/>
          </w:tcPr>
          <w:p>
            <w:pPr>
              <w:spacing w:after="0"/>
              <w:rPr>
                <w:sz w:val="20"/>
                <w:szCs w:val="20"/>
                <w:color w:val="auto"/>
              </w:rPr>
            </w:pPr>
            <w:r>
              <w:rPr>
                <w:rFonts w:ascii="Arial" w:cs="Arial" w:eastAsia="Arial" w:hAnsi="Arial"/>
                <w:sz w:val="18"/>
                <w:szCs w:val="18"/>
                <w:color w:val="auto"/>
              </w:rPr>
              <w:t>Tracy Liu</w:t>
            </w:r>
          </w:p>
        </w:tc>
        <w:tc>
          <w:tcPr>
            <w:tcW w:w="1140" w:type="dxa"/>
            <w:vAlign w:val="bottom"/>
          </w:tcPr>
          <w:p>
            <w:pPr>
              <w:jc w:val="center"/>
              <w:ind w:right="152"/>
              <w:spacing w:after="0"/>
              <w:rPr>
                <w:sz w:val="20"/>
                <w:szCs w:val="20"/>
                <w:color w:val="auto"/>
              </w:rPr>
            </w:pPr>
            <w:r>
              <w:rPr>
                <w:rFonts w:ascii="Arial" w:cs="Arial" w:eastAsia="Arial" w:hAnsi="Arial"/>
                <w:sz w:val="18"/>
                <w:szCs w:val="18"/>
                <w:color w:val="auto"/>
                <w:w w:val="87"/>
              </w:rPr>
              <w:t>8,382,605</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6"/>
              </w:rPr>
              <w:t>122,371</w:t>
            </w:r>
          </w:p>
        </w:tc>
      </w:tr>
      <w:tr>
        <w:trPr>
          <w:trHeight w:val="244"/>
        </w:trPr>
        <w:tc>
          <w:tcPr>
            <w:tcW w:w="8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Yinan Xiang</w:t>
            </w:r>
          </w:p>
        </w:tc>
        <w:tc>
          <w:tcPr>
            <w:tcW w:w="114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88"/>
              </w:rPr>
              <w:t>28,451,671</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53,305</w:t>
            </w:r>
          </w:p>
        </w:tc>
      </w:tr>
      <w:tr>
        <w:trPr>
          <w:trHeight w:val="241"/>
        </w:trPr>
        <w:tc>
          <w:tcPr>
            <w:tcW w:w="8800" w:type="dxa"/>
            <w:vAlign w:val="bottom"/>
            <w:gridSpan w:val="5"/>
          </w:tcPr>
          <w:p>
            <w:pPr>
              <w:spacing w:after="0"/>
              <w:rPr>
                <w:sz w:val="20"/>
                <w:szCs w:val="20"/>
                <w:color w:val="auto"/>
              </w:rPr>
            </w:pPr>
            <w:r>
              <w:rPr>
                <w:rFonts w:ascii="Arial" w:cs="Arial" w:eastAsia="Arial" w:hAnsi="Arial"/>
                <w:sz w:val="18"/>
                <w:szCs w:val="18"/>
                <w:color w:val="auto"/>
              </w:rPr>
              <w:t>Zhengfan Yang</w:t>
            </w:r>
          </w:p>
        </w:tc>
        <w:tc>
          <w:tcPr>
            <w:tcW w:w="1140" w:type="dxa"/>
            <w:vAlign w:val="bottom"/>
          </w:tcPr>
          <w:p>
            <w:pPr>
              <w:jc w:val="center"/>
              <w:ind w:right="172"/>
              <w:spacing w:after="0"/>
              <w:rPr>
                <w:sz w:val="20"/>
                <w:szCs w:val="20"/>
                <w:color w:val="auto"/>
              </w:rPr>
            </w:pPr>
            <w:r>
              <w:rPr>
                <w:rFonts w:ascii="Arial" w:cs="Arial" w:eastAsia="Arial" w:hAnsi="Arial"/>
                <w:sz w:val="18"/>
                <w:szCs w:val="18"/>
                <w:color w:val="auto"/>
                <w:w w:val="88"/>
              </w:rPr>
              <w:t>28,392,813</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6"/>
              </w:rPr>
              <w:t>112,163</w:t>
            </w:r>
          </w:p>
        </w:tc>
      </w:tr>
    </w:tbl>
    <w:p>
      <w:pPr>
        <w:spacing w:after="0" w:line="14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 a result of this vote, each of the six nominees was elected as a director to serve until the 2019 Annual Meeting of Stockholders and until his or her successor is duly elected and qualified.</w:t>
      </w:r>
    </w:p>
    <w:p>
      <w:pPr>
        <w:spacing w:after="0" w:line="118" w:lineRule="exact"/>
        <w:rPr>
          <w:sz w:val="20"/>
          <w:szCs w:val="20"/>
          <w:color w:val="auto"/>
        </w:rPr>
      </w:pPr>
    </w:p>
    <w:p>
      <w:pPr>
        <w:ind w:left="5340"/>
        <w:spacing w:after="0"/>
        <w:rPr>
          <w:sz w:val="20"/>
          <w:szCs w:val="20"/>
          <w:color w:val="auto"/>
        </w:rPr>
      </w:pPr>
      <w:r>
        <w:rPr>
          <w:rFonts w:ascii="Arial" w:cs="Arial" w:eastAsia="Arial" w:hAnsi="Arial"/>
          <w:sz w:val="18"/>
          <w:szCs w:val="18"/>
          <w:u w:val="single" w:color="auto"/>
          <w:color w:val="auto"/>
        </w:rPr>
        <w:t>Proposal 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Stockholders approved, on a non-binding advisory basis, the 2017 compensation paid to our named executive officers by the following vote: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20" w:type="dxa"/>
            <w:vAlign w:val="bottom"/>
            <w:tcBorders>
              <w:bottom w:val="single" w:sz="8" w:color="auto"/>
            </w:tcBorders>
          </w:tcPr>
          <w:p>
            <w:pPr>
              <w:jc w:val="right"/>
              <w:ind w:right="1572"/>
              <w:spacing w:after="0"/>
              <w:rPr>
                <w:sz w:val="20"/>
                <w:szCs w:val="20"/>
                <w:color w:val="auto"/>
              </w:rPr>
            </w:pPr>
            <w:r>
              <w:rPr>
                <w:rFonts w:ascii="Arial" w:cs="Arial" w:eastAsia="Arial" w:hAnsi="Arial"/>
                <w:sz w:val="18"/>
                <w:szCs w:val="18"/>
                <w:b w:val="1"/>
                <w:bCs w:val="1"/>
                <w:color w:val="auto"/>
              </w:rPr>
              <w:t>For</w:t>
            </w:r>
          </w:p>
        </w:tc>
        <w:tc>
          <w:tcPr>
            <w:tcW w:w="28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Against</w:t>
            </w:r>
          </w:p>
        </w:tc>
        <w:tc>
          <w:tcPr>
            <w:tcW w:w="280" w:type="dxa"/>
            <w:vAlign w:val="bottom"/>
          </w:tcPr>
          <w:p>
            <w:pPr>
              <w:spacing w:after="0"/>
              <w:rPr>
                <w:sz w:val="20"/>
                <w:szCs w:val="20"/>
                <w:color w:val="auto"/>
              </w:rPr>
            </w:pPr>
          </w:p>
        </w:tc>
        <w:tc>
          <w:tcPr>
            <w:tcW w:w="3640" w:type="dxa"/>
            <w:vAlign w:val="bottom"/>
            <w:tcBorders>
              <w:bottom w:val="single" w:sz="8" w:color="auto"/>
            </w:tcBorders>
          </w:tcPr>
          <w:p>
            <w:pPr>
              <w:jc w:val="right"/>
              <w:ind w:right="1432"/>
              <w:spacing w:after="0"/>
              <w:rPr>
                <w:sz w:val="20"/>
                <w:szCs w:val="20"/>
                <w:color w:val="auto"/>
              </w:rPr>
            </w:pPr>
            <w:r>
              <w:rPr>
                <w:rFonts w:ascii="Arial" w:cs="Arial" w:eastAsia="Arial" w:hAnsi="Arial"/>
                <w:sz w:val="18"/>
                <w:szCs w:val="18"/>
                <w:b w:val="1"/>
                <w:bCs w:val="1"/>
                <w:color w:val="auto"/>
              </w:rPr>
              <w:t>Abstain</w:t>
            </w:r>
          </w:p>
        </w:tc>
      </w:tr>
      <w:tr>
        <w:trPr>
          <w:trHeight w:val="243"/>
        </w:trPr>
        <w:tc>
          <w:tcPr>
            <w:tcW w:w="3620" w:type="dxa"/>
            <w:vAlign w:val="bottom"/>
            <w:shd w:val="clear" w:color="auto" w:fill="CCEEFF"/>
          </w:tcPr>
          <w:p>
            <w:pPr>
              <w:jc w:val="right"/>
              <w:ind w:right="1352"/>
              <w:spacing w:after="0"/>
              <w:rPr>
                <w:sz w:val="20"/>
                <w:szCs w:val="20"/>
                <w:color w:val="auto"/>
              </w:rPr>
            </w:pPr>
            <w:r>
              <w:rPr>
                <w:rFonts w:ascii="Arial" w:cs="Arial" w:eastAsia="Arial" w:hAnsi="Arial"/>
                <w:sz w:val="18"/>
                <w:szCs w:val="18"/>
                <w:color w:val="auto"/>
              </w:rPr>
              <w:t>28,451,485</w:t>
            </w:r>
          </w:p>
        </w:tc>
        <w:tc>
          <w:tcPr>
            <w:tcW w:w="3880" w:type="dxa"/>
            <w:vAlign w:val="bottom"/>
            <w:gridSpan w:val="2"/>
            <w:shd w:val="clear" w:color="auto" w:fill="CCEEFF"/>
          </w:tcPr>
          <w:p>
            <w:pPr>
              <w:jc w:val="right"/>
              <w:ind w:right="1492"/>
              <w:spacing w:after="0"/>
              <w:rPr>
                <w:sz w:val="20"/>
                <w:szCs w:val="20"/>
                <w:color w:val="auto"/>
              </w:rPr>
            </w:pPr>
            <w:r>
              <w:rPr>
                <w:rFonts w:ascii="Arial" w:cs="Arial" w:eastAsia="Arial" w:hAnsi="Arial"/>
                <w:sz w:val="18"/>
                <w:szCs w:val="18"/>
                <w:color w:val="auto"/>
              </w:rPr>
              <w:t>53,490</w:t>
            </w:r>
          </w:p>
        </w:tc>
        <w:tc>
          <w:tcPr>
            <w:tcW w:w="3920" w:type="dxa"/>
            <w:vAlign w:val="bottom"/>
            <w:gridSpan w:val="2"/>
            <w:shd w:val="clear" w:color="auto" w:fill="CCEEFF"/>
          </w:tcPr>
          <w:p>
            <w:pPr>
              <w:jc w:val="right"/>
              <w:ind w:right="1712"/>
              <w:spacing w:after="0"/>
              <w:rPr>
                <w:sz w:val="20"/>
                <w:szCs w:val="20"/>
                <w:color w:val="auto"/>
              </w:rPr>
            </w:pPr>
            <w:r>
              <w:rPr>
                <w:rFonts w:ascii="Arial" w:cs="Arial" w:eastAsia="Arial" w:hAnsi="Arial"/>
                <w:sz w:val="18"/>
                <w:szCs w:val="18"/>
                <w:color w:val="auto"/>
              </w:rPr>
              <w:t>1</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Proposal 3</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Stockholders approved, on a non-binding advisory basis, to present an advisory vote on the compensation of named executive officers every three years by the following vote: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00" w:type="dxa"/>
            <w:vAlign w:val="bottom"/>
            <w:tcBorders>
              <w:bottom w:val="single" w:sz="8" w:color="auto"/>
            </w:tcBorders>
          </w:tcPr>
          <w:p>
            <w:pPr>
              <w:jc w:val="right"/>
              <w:ind w:right="892"/>
              <w:spacing w:after="0"/>
              <w:rPr>
                <w:sz w:val="20"/>
                <w:szCs w:val="20"/>
                <w:color w:val="auto"/>
              </w:rPr>
            </w:pPr>
            <w:r>
              <w:rPr>
                <w:rFonts w:ascii="Arial" w:cs="Arial" w:eastAsia="Arial" w:hAnsi="Arial"/>
                <w:sz w:val="18"/>
                <w:szCs w:val="18"/>
                <w:b w:val="1"/>
                <w:bCs w:val="1"/>
                <w:color w:val="auto"/>
              </w:rPr>
              <w:t>One Year</w:t>
            </w:r>
          </w:p>
        </w:tc>
        <w:tc>
          <w:tcPr>
            <w:tcW w:w="2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Two Years</w:t>
            </w:r>
          </w:p>
        </w:tc>
        <w:tc>
          <w:tcPr>
            <w:tcW w:w="2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Three Years</w:t>
            </w:r>
          </w:p>
        </w:tc>
        <w:tc>
          <w:tcPr>
            <w:tcW w:w="22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Abstain</w:t>
            </w:r>
          </w:p>
        </w:tc>
      </w:tr>
      <w:tr>
        <w:trPr>
          <w:trHeight w:val="243"/>
        </w:trPr>
        <w:tc>
          <w:tcPr>
            <w:tcW w:w="270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rPr>
              <w:t>1,337,267</w:t>
            </w:r>
          </w:p>
        </w:tc>
        <w:tc>
          <w:tcPr>
            <w:tcW w:w="2900" w:type="dxa"/>
            <w:vAlign w:val="bottom"/>
            <w:gridSpan w:val="2"/>
            <w:shd w:val="clear" w:color="auto" w:fill="CCEEFF"/>
          </w:tcPr>
          <w:p>
            <w:pPr>
              <w:jc w:val="right"/>
              <w:ind w:right="1152"/>
              <w:spacing w:after="0"/>
              <w:rPr>
                <w:sz w:val="20"/>
                <w:szCs w:val="20"/>
                <w:color w:val="auto"/>
              </w:rPr>
            </w:pPr>
            <w:r>
              <w:rPr>
                <w:rFonts w:ascii="Arial" w:cs="Arial" w:eastAsia="Arial" w:hAnsi="Arial"/>
                <w:sz w:val="18"/>
                <w:szCs w:val="18"/>
                <w:color w:val="auto"/>
              </w:rPr>
              <w:t>322</w:t>
            </w:r>
          </w:p>
        </w:tc>
        <w:tc>
          <w:tcPr>
            <w:tcW w:w="290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27,130,965</w:t>
            </w:r>
          </w:p>
        </w:tc>
        <w:tc>
          <w:tcPr>
            <w:tcW w:w="2920" w:type="dxa"/>
            <w:vAlign w:val="bottom"/>
            <w:gridSpan w:val="2"/>
            <w:shd w:val="clear" w:color="auto" w:fill="CCEEFF"/>
          </w:tcPr>
          <w:p>
            <w:pPr>
              <w:jc w:val="right"/>
              <w:ind w:right="1052"/>
              <w:spacing w:after="0"/>
              <w:rPr>
                <w:sz w:val="20"/>
                <w:szCs w:val="20"/>
                <w:color w:val="auto"/>
              </w:rPr>
            </w:pPr>
            <w:r>
              <w:rPr>
                <w:rFonts w:ascii="Arial" w:cs="Arial" w:eastAsia="Arial" w:hAnsi="Arial"/>
                <w:sz w:val="18"/>
                <w:szCs w:val="18"/>
                <w:color w:val="auto"/>
              </w:rPr>
              <w:t>36,422</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Proposal 4</w:t>
      </w:r>
    </w:p>
    <w:p>
      <w:pPr>
        <w:spacing w:after="0" w:line="158"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Stockholders voted as follows with respect to the ratification of the appointment of BDO China Shu Lun Pan Certified Public Accountants LLP as our independent registered public accounting firm for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00" w:type="dxa"/>
            <w:vAlign w:val="bottom"/>
            <w:tcBorders>
              <w:bottom w:val="single" w:sz="8" w:color="auto"/>
            </w:tcBorders>
          </w:tcPr>
          <w:p>
            <w:pPr>
              <w:jc w:val="right"/>
              <w:ind w:right="1092"/>
              <w:spacing w:after="0"/>
              <w:rPr>
                <w:sz w:val="20"/>
                <w:szCs w:val="20"/>
                <w:color w:val="auto"/>
              </w:rPr>
            </w:pPr>
            <w:r>
              <w:rPr>
                <w:rFonts w:ascii="Arial" w:cs="Arial" w:eastAsia="Arial" w:hAnsi="Arial"/>
                <w:sz w:val="18"/>
                <w:szCs w:val="18"/>
                <w:b w:val="1"/>
                <w:bCs w:val="1"/>
                <w:color w:val="auto"/>
              </w:rPr>
              <w:t>For</w:t>
            </w:r>
          </w:p>
        </w:tc>
        <w:tc>
          <w:tcPr>
            <w:tcW w:w="2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Against</w:t>
            </w:r>
          </w:p>
        </w:tc>
        <w:tc>
          <w:tcPr>
            <w:tcW w:w="2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Abstain</w:t>
            </w:r>
          </w:p>
        </w:tc>
        <w:tc>
          <w:tcPr>
            <w:tcW w:w="22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Broker Non-Votes</w:t>
            </w:r>
          </w:p>
        </w:tc>
      </w:tr>
      <w:tr>
        <w:trPr>
          <w:trHeight w:val="243"/>
        </w:trPr>
        <w:tc>
          <w:tcPr>
            <w:tcW w:w="27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rPr>
              <w:t>28,518,249</w:t>
            </w:r>
          </w:p>
        </w:tc>
        <w:tc>
          <w:tcPr>
            <w:tcW w:w="2900" w:type="dxa"/>
            <w:vAlign w:val="bottom"/>
            <w:gridSpan w:val="2"/>
            <w:shd w:val="clear" w:color="auto" w:fill="CCEEFF"/>
          </w:tcPr>
          <w:p>
            <w:pPr>
              <w:jc w:val="right"/>
              <w:ind w:right="1152"/>
              <w:spacing w:after="0"/>
              <w:rPr>
                <w:sz w:val="20"/>
                <w:szCs w:val="20"/>
                <w:color w:val="auto"/>
              </w:rPr>
            </w:pPr>
            <w:r>
              <w:rPr>
                <w:rFonts w:ascii="Arial" w:cs="Arial" w:eastAsia="Arial" w:hAnsi="Arial"/>
                <w:sz w:val="18"/>
                <w:szCs w:val="18"/>
                <w:color w:val="auto"/>
              </w:rPr>
              <w:t>102</w:t>
            </w:r>
          </w:p>
        </w:tc>
        <w:tc>
          <w:tcPr>
            <w:tcW w:w="2900" w:type="dxa"/>
            <w:vAlign w:val="bottom"/>
            <w:gridSpan w:val="2"/>
            <w:shd w:val="clear" w:color="auto" w:fill="CCEEFF"/>
          </w:tcPr>
          <w:p>
            <w:pPr>
              <w:jc w:val="right"/>
              <w:ind w:right="1152"/>
              <w:spacing w:after="0"/>
              <w:rPr>
                <w:sz w:val="20"/>
                <w:szCs w:val="20"/>
                <w:color w:val="auto"/>
              </w:rPr>
            </w:pPr>
            <w:r>
              <w:rPr>
                <w:rFonts w:ascii="Arial" w:cs="Arial" w:eastAsia="Arial" w:hAnsi="Arial"/>
                <w:sz w:val="18"/>
                <w:szCs w:val="18"/>
                <w:color w:val="auto"/>
              </w:rPr>
              <w:t>817</w:t>
            </w:r>
          </w:p>
        </w:tc>
        <w:tc>
          <w:tcPr>
            <w:tcW w:w="2920" w:type="dxa"/>
            <w:vAlign w:val="bottom"/>
            <w:gridSpan w:val="2"/>
            <w:shd w:val="clear" w:color="auto" w:fill="CCEEFF"/>
          </w:tcPr>
          <w:p>
            <w:pPr>
              <w:jc w:val="right"/>
              <w:ind w:right="1052"/>
              <w:spacing w:after="0"/>
              <w:rPr>
                <w:sz w:val="20"/>
                <w:szCs w:val="20"/>
                <w:color w:val="auto"/>
              </w:rPr>
            </w:pPr>
            <w:r>
              <w:rPr>
                <w:rFonts w:ascii="Arial" w:cs="Arial" w:eastAsia="Arial" w:hAnsi="Arial"/>
                <w:sz w:val="18"/>
                <w:szCs w:val="18"/>
                <w:color w:val="auto"/>
              </w:rPr>
              <w:t>14,192</w:t>
            </w:r>
          </w:p>
        </w:tc>
      </w:tr>
      <w:tr>
        <w:trPr>
          <w:trHeight w:val="432"/>
        </w:trPr>
        <w:tc>
          <w:tcPr>
            <w:tcW w:w="2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 w:name="page3"/>
    <w:bookmarkEnd w:id="2"/>
    <w:p>
      <w:pPr>
        <w:jc w:val="center"/>
        <w:ind w:left="32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filed on its behalf by the undersigned hereunto duly authorized.</w:t>
      </w:r>
    </w:p>
    <w:p>
      <w:pPr>
        <w:spacing w:after="0" w:line="1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ACM R</w:t>
      </w:r>
      <w:r>
        <w:rPr>
          <w:rFonts w:ascii="Arial" w:cs="Arial" w:eastAsia="Arial" w:hAnsi="Arial"/>
          <w:sz w:val="12"/>
          <w:szCs w:val="12"/>
          <w:color w:val="auto"/>
        </w:rPr>
        <w:t>ESEARCH</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June 20, 2018</w:t>
      </w:r>
      <w:r>
        <w:rPr>
          <w:sz w:val="20"/>
          <w:szCs w:val="20"/>
          <w:color w:val="auto"/>
        </w:rPr>
        <w:tab/>
      </w:r>
      <w:r>
        <w:rPr>
          <w:rFonts w:ascii="Arial" w:cs="Arial" w:eastAsia="Arial" w:hAnsi="Arial"/>
          <w:sz w:val="16"/>
          <w:szCs w:val="16"/>
          <w:color w:val="auto"/>
        </w:rPr>
        <w:t>By: /s/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27940</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H. Wang</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2477135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20"/>
      </w:cols>
      <w:pgMar w:left="240" w:top="55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2019-12-08T15:26:11Z</dcterms:created>
  <dcterms:modified xsi:type="dcterms:W3CDTF">2019-12-08T15:26:11Z</dcterms:modified>
</cp:coreProperties>
</file>