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6, 2020</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778" w:right="33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778" w:right="339" w:bottom="1440" w:gutter="0" w:footer="0" w:header="0"/>
          <w:type w:val="continuous"/>
        </w:sectPr>
      </w:pPr>
    </w:p>
    <w:p>
      <w:pPr>
        <w:spacing w:after="0" w:line="5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778"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38"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466"/>
        </w:trPr>
        <w:tc>
          <w:tcPr>
            <w:tcW w:w="6140" w:type="dxa"/>
            <w:vAlign w:val="bottom"/>
            <w:gridSpan w:val="2"/>
          </w:tcPr>
          <w:p>
            <w:pPr>
              <w:ind w:left="2120"/>
              <w:spacing w:after="0"/>
              <w:rPr>
                <w:sz w:val="20"/>
                <w:szCs w:val="20"/>
                <w:color w:val="auto"/>
              </w:rPr>
            </w:pPr>
            <w:r>
              <w:rPr>
                <w:rFonts w:ascii="Arial" w:cs="Arial" w:eastAsia="Arial" w:hAnsi="Arial"/>
                <w:sz w:val="18"/>
                <w:szCs w:val="18"/>
                <w:b w:val="1"/>
                <w:bCs w:val="1"/>
                <w:color w:val="auto"/>
              </w:rPr>
              <w:t>Title of each class</w:t>
            </w:r>
          </w:p>
        </w:tc>
        <w:tc>
          <w:tcPr>
            <w:tcW w:w="17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Trading symbol</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560" w:type="dxa"/>
            <w:vAlign w:val="bottom"/>
          </w:tcPr>
          <w:p>
            <w:pPr>
              <w:spacing w:after="0"/>
              <w:rPr>
                <w:sz w:val="20"/>
                <w:szCs w:val="20"/>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520" w:type="dxa"/>
            <w:vAlign w:val="bottom"/>
          </w:tcPr>
          <w:p>
            <w:pPr>
              <w:spacing w:after="0"/>
              <w:rPr>
                <w:sz w:val="20"/>
                <w:szCs w:val="20"/>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1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1" w:lineRule="exact"/>
        <w:rPr>
          <w:sz w:val="24"/>
          <w:szCs w:val="24"/>
          <w:color w:val="auto"/>
        </w:rPr>
      </w:pPr>
    </w:p>
    <w:p>
      <w:pPr>
        <w:spacing w:after="0" w:line="207" w:lineRule="exact"/>
        <w:tabs>
          <w:tab w:leader="none" w:pos="2900" w:val="left"/>
        </w:tabs>
        <w:rPr>
          <w:sz w:val="20"/>
          <w:szCs w:val="20"/>
          <w:color w:val="auto"/>
        </w:rPr>
      </w:pPr>
      <w:r>
        <w:rPr>
          <w:rFonts w:ascii="Arial" w:cs="Arial" w:eastAsia="Arial" w:hAnsi="Arial"/>
          <w:sz w:val="18"/>
          <w:szCs w:val="18"/>
          <w:color w:val="auto"/>
        </w:rPr>
        <w:t>Securities Exchange Act of 1934:</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3"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 w:name="page2"/>
    <w:bookmarkEnd w:id="1"/>
    <w:p>
      <w:pPr>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On May 6, 2020, we issued a press release announcing financial results for the first quarter of 2020. The full text of the press release is furnished as Exhibit 99.01 hereto and is incorporated herein by reference.</w:t>
      </w:r>
    </w:p>
    <w:p>
      <w:pPr>
        <w:spacing w:after="0" w:line="19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8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10080" w:type="dxa"/>
            <w:vAlign w:val="bottom"/>
          </w:tcPr>
          <w:p>
            <w:pPr>
              <w:spacing w:after="0"/>
              <w:rPr>
                <w:sz w:val="24"/>
                <w:szCs w:val="24"/>
                <w:color w:val="auto"/>
              </w:rPr>
            </w:pPr>
          </w:p>
        </w:tc>
      </w:tr>
      <w:tr>
        <w:trPr>
          <w:trHeight w:val="466"/>
        </w:trPr>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Exhibit</w:t>
            </w:r>
          </w:p>
        </w:tc>
        <w:tc>
          <w:tcPr>
            <w:tcW w:w="1008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8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80" w:type="dxa"/>
            <w:vAlign w:val="bottom"/>
            <w:tcBorders>
              <w:top w:val="single" w:sz="8" w:color="auto"/>
            </w:tcBorders>
          </w:tcPr>
          <w:p>
            <w:pPr>
              <w:spacing w:after="0"/>
              <w:rPr>
                <w:sz w:val="16"/>
                <w:szCs w:val="16"/>
                <w:color w:val="auto"/>
              </w:rPr>
            </w:pPr>
          </w:p>
        </w:tc>
      </w:tr>
      <w:tr>
        <w:trPr>
          <w:trHeight w:val="216"/>
        </w:trPr>
        <w:tc>
          <w:tcPr>
            <w:tcW w:w="860" w:type="dxa"/>
            <w:vAlign w:val="bottom"/>
            <w:shd w:val="clear" w:color="auto" w:fill="CCEEFF"/>
          </w:tcPr>
          <w:p>
            <w:pPr>
              <w:jc w:val="center"/>
              <w:ind w:right="11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99.01</w:t>
              </w:r>
            </w:hyperlink>
          </w:p>
        </w:tc>
        <w:tc>
          <w:tcPr>
            <w:tcW w:w="300" w:type="dxa"/>
            <w:vAlign w:val="bottom"/>
            <w:shd w:val="clear" w:color="auto" w:fill="CCEEFF"/>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Press release of ACM Research, Inc. dated May 6, 2020</w:t>
            </w:r>
          </w:p>
        </w:tc>
      </w:tr>
      <w:tr>
        <w:trPr>
          <w:trHeight w:val="412"/>
        </w:trPr>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19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154305</wp:posOffset>
            </wp:positionV>
            <wp:extent cx="89979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979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First Quarter 2020 Results</w:t>
      </w:r>
    </w:p>
    <w:p>
      <w:pPr>
        <w:spacing w:after="0" w:line="25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FREMONT, California, May 6, 2020 (Globe Newswire) – ACM Research, Inc. (“ACM” or the “Company”) (NASDAQ:ACMR), a leading supplier of wafer cleaning technologies for advanced semiconductor devices, today reported financial results for its first fiscal quarter ended March 31, 2020.</w:t>
      </w:r>
    </w:p>
    <w:p>
      <w:pPr>
        <w:spacing w:after="0" w:line="15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ACM’s President and Chief Executive Officer Dr. David Wang commented, “I am pleased with our first quarter results. With the COVID-19 pandemic partially impacting operations, we focused our efforts on firming up the year, achieving customer acceptances for first tools, and the introduction of new products. We remain optimistic about our outlook for the year, with visibility extending into the fourth quarter.”</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Dr. Wang continued, “We are executing our strategy, and are committed to becoming a major player in the semiconductor equipment market. We are investing in R&amp;D to enhance our product portfolio, we have added key sales resources to penetrate new customers in new geographies, and we are moving forward with plans to expand our long-term production capacity.”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Three Months Ended March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GAAP</w:t>
            </w:r>
          </w:p>
        </w:tc>
        <w:tc>
          <w:tcPr>
            <w:tcW w:w="8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79"/>
              </w:rPr>
              <w:t>(dollars 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96"/>
              </w:rPr>
              <w:t>except per share</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i w:val="1"/>
                <w:iCs w:val="1"/>
                <w:color w:val="auto"/>
                <w:w w:val="87"/>
              </w:rPr>
              <w:t>data)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24,348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20,479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24,348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margin(2)</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2,251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1,907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2,995</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ACM Research, Inc.(2)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1,705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1,857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2,394</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2,601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0.09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0.13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0.10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0.11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r>
    </w:tbl>
    <w:p>
      <w:pPr>
        <w:spacing w:after="0" w:line="214" w:lineRule="exact"/>
        <w:rPr>
          <w:sz w:val="20"/>
          <w:szCs w:val="20"/>
          <w:color w:val="auto"/>
        </w:rPr>
      </w:pPr>
    </w:p>
    <w:p>
      <w:pPr>
        <w:ind w:left="340" w:right="42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financial measures exclude stock-based compensation.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fiscal year 2020, the Company continues to expect revenue to be in the range of $130 million to $150 million. This view assumes the COVID-19 situation continues to improve in China and stabilizes in the coming months on a global basis.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Q1 Operating Highlights and Recent Announcements</w:t>
      </w:r>
    </w:p>
    <w:p>
      <w:pPr>
        <w:spacing w:after="0" w:line="252" w:lineRule="exact"/>
        <w:rPr>
          <w:sz w:val="20"/>
          <w:szCs w:val="20"/>
          <w:color w:val="auto"/>
        </w:rPr>
      </w:pPr>
    </w:p>
    <w:p>
      <w:pPr>
        <w:ind w:left="340" w:right="160" w:hanging="332"/>
        <w:spacing w:after="0" w:line="26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Shipments. </w:t>
      </w:r>
      <w:r>
        <w:rPr>
          <w:rFonts w:ascii="Arial" w:cs="Arial" w:eastAsia="Arial" w:hAnsi="Arial"/>
          <w:sz w:val="18"/>
          <w:szCs w:val="18"/>
          <w:color w:val="auto"/>
        </w:rPr>
        <w:t>Total shipments in the first quarter of 2020 were $12 million, versus $14 million in the first quarter of 2019 and $25 million in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2019. Total shipments include deliveries for revenue in the quarter, and deliveries of systems awaiting customer acceptance for potential revenue in future quarters.</w:t>
      </w:r>
    </w:p>
    <w:p>
      <w:pPr>
        <w:spacing w:after="0" w:line="202"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Ultra Furnace Product Introduced</w:t>
      </w:r>
      <w:r>
        <w:rPr>
          <w:rFonts w:ascii="Arial" w:cs="Arial" w:eastAsia="Arial" w:hAnsi="Arial"/>
          <w:sz w:val="18"/>
          <w:szCs w:val="18"/>
          <w:color w:val="auto"/>
        </w:rPr>
        <w:t>. On April 28, 2020, ACM introduced the Ultra Furnace. The initial system was developed for low-pressure</w:t>
      </w:r>
      <w:r>
        <w:rPr>
          <w:rFonts w:ascii="Arial" w:cs="Arial" w:eastAsia="Arial" w:hAnsi="Arial"/>
          <w:sz w:val="18"/>
          <w:szCs w:val="18"/>
          <w:b w:val="1"/>
          <w:bCs w:val="1"/>
          <w:color w:val="auto"/>
        </w:rPr>
        <w:t xml:space="preserve"> </w:t>
      </w:r>
      <w:r>
        <w:rPr>
          <w:rFonts w:ascii="Arial" w:cs="Arial" w:eastAsia="Arial" w:hAnsi="Arial"/>
          <w:sz w:val="18"/>
          <w:szCs w:val="18"/>
          <w:color w:val="auto"/>
        </w:rPr>
        <w:t>chemical vapor deposition (LPCVD), and is intended to serve as a base platform for other dry processing applications, including oxidation, annealing processes, and atomic layer deposition (ALD). This achievement is the result of a two-year collaboration between ACM’s R&amp;D teams located in China and Korea.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 w:name="page5"/>
    <w:bookmarkEnd w:id="4"/>
    <w:p>
      <w:pPr>
        <w:jc w:val="both"/>
        <w:ind w:left="340" w:right="360" w:hanging="332"/>
        <w:spacing w:after="0" w:line="34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Broadened product offering with a suite of Semi-Critical Cleaning Systems. </w:t>
      </w:r>
      <w:r>
        <w:rPr>
          <w:rFonts w:ascii="Arial" w:cs="Arial" w:eastAsia="Arial" w:hAnsi="Arial"/>
          <w:sz w:val="16"/>
          <w:szCs w:val="16"/>
          <w:color w:val="auto"/>
        </w:rPr>
        <w:t>On May 6, 2020, ACM announced a suite of three Ultra™</w:t>
      </w:r>
      <w:r>
        <w:rPr>
          <w:rFonts w:ascii="Arial" w:cs="Arial" w:eastAsia="Arial" w:hAnsi="Arial"/>
          <w:sz w:val="16"/>
          <w:szCs w:val="16"/>
          <w:b w:val="1"/>
          <w:bCs w:val="1"/>
          <w:color w:val="auto"/>
        </w:rPr>
        <w:t xml:space="preserve"> </w:t>
      </w:r>
      <w:r>
        <w:rPr>
          <w:rFonts w:ascii="Arial" w:cs="Arial" w:eastAsia="Arial" w:hAnsi="Arial"/>
          <w:sz w:val="16"/>
          <w:szCs w:val="16"/>
          <w:color w:val="auto"/>
        </w:rPr>
        <w:t>C wet</w:t>
      </w:r>
      <w:r>
        <w:rPr>
          <w:rFonts w:ascii="Arial" w:cs="Arial" w:eastAsia="Arial" w:hAnsi="Arial"/>
          <w:sz w:val="16"/>
          <w:szCs w:val="16"/>
          <w:b w:val="1"/>
          <w:bCs w:val="1"/>
          <w:color w:val="auto"/>
        </w:rPr>
        <w:t xml:space="preserve"> </w:t>
      </w:r>
      <w:r>
        <w:rPr>
          <w:rFonts w:ascii="Arial" w:cs="Arial" w:eastAsia="Arial" w:hAnsi="Arial"/>
          <w:sz w:val="16"/>
          <w:szCs w:val="16"/>
          <w:color w:val="auto"/>
        </w:rPr>
        <w:t>cleaning tools: the “Ultra C b” for backside clean, “Ultra C wb” automated wet bench, and “Ultra C s” scrubber for front and backside processes.</w:t>
      </w:r>
    </w:p>
    <w:p>
      <w:pPr>
        <w:spacing w:after="0" w:line="142" w:lineRule="exact"/>
        <w:rPr>
          <w:rFonts w:ascii="Arial" w:cs="Arial" w:eastAsia="Arial" w:hAnsi="Arial"/>
          <w:sz w:val="16"/>
          <w:szCs w:val="16"/>
          <w:color w:val="auto"/>
        </w:rPr>
      </w:pPr>
    </w:p>
    <w:p>
      <w:pPr>
        <w:ind w:left="340" w:right="500" w:hanging="332"/>
        <w:spacing w:after="0" w:line="31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Expanded Global Sales Effort. </w:t>
      </w:r>
      <w:r>
        <w:rPr>
          <w:rFonts w:ascii="Arial" w:cs="Arial" w:eastAsia="Arial" w:hAnsi="Arial"/>
          <w:sz w:val="17"/>
          <w:szCs w:val="17"/>
          <w:color w:val="auto"/>
        </w:rPr>
        <w:t>In April 2020, ACM announced the appointment of Jim Straus as Vice President of Sales for North America to</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accelerate the effort to expand adoption of ACM's core technologies at major semiconductor companies in North America.</w:t>
      </w:r>
    </w:p>
    <w:p>
      <w:pPr>
        <w:spacing w:after="0" w:line="166" w:lineRule="exact"/>
        <w:rPr>
          <w:rFonts w:ascii="Arial" w:cs="Arial" w:eastAsia="Arial" w:hAnsi="Arial"/>
          <w:sz w:val="17"/>
          <w:szCs w:val="17"/>
          <w:color w:val="auto"/>
        </w:rPr>
      </w:pPr>
    </w:p>
    <w:p>
      <w:pPr>
        <w:ind w:left="340" w:right="300" w:hanging="332"/>
        <w:spacing w:after="0" w:line="31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ACM Shanghai Pre-IPO activities</w:t>
      </w:r>
      <w:r>
        <w:rPr>
          <w:rFonts w:ascii="Arial" w:cs="Arial" w:eastAsia="Arial" w:hAnsi="Arial"/>
          <w:sz w:val="17"/>
          <w:szCs w:val="17"/>
          <w:color w:val="auto"/>
        </w:rPr>
        <w:t>. Plans remain on track to submit ACM Shanghai’s application for an initial public offering of its shares on the</w:t>
      </w:r>
      <w:r>
        <w:rPr>
          <w:rFonts w:ascii="Arial" w:cs="Arial" w:eastAsia="Arial" w:hAnsi="Arial"/>
          <w:sz w:val="17"/>
          <w:szCs w:val="17"/>
          <w:b w:val="1"/>
          <w:bCs w:val="1"/>
          <w:color w:val="auto"/>
        </w:rPr>
        <w:t xml:space="preserve"> </w:t>
      </w:r>
      <w:r>
        <w:rPr>
          <w:rFonts w:ascii="Arial" w:cs="Arial" w:eastAsia="Arial" w:hAnsi="Arial"/>
          <w:sz w:val="17"/>
          <w:szCs w:val="17"/>
          <w:color w:val="auto"/>
        </w:rPr>
        <w:t>Shanghai Stock Exchange’s STAR Market in mid-2020, and to price the transaction by year-end pending timely approvals.</w:t>
      </w:r>
    </w:p>
    <w:p>
      <w:pPr>
        <w:spacing w:after="0" w:line="166" w:lineRule="exact"/>
        <w:rPr>
          <w:rFonts w:ascii="Arial" w:cs="Arial" w:eastAsia="Arial" w:hAnsi="Arial"/>
          <w:sz w:val="17"/>
          <w:szCs w:val="17"/>
          <w:color w:val="auto"/>
        </w:rPr>
      </w:pPr>
    </w:p>
    <w:p>
      <w:pPr>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Proposed R&amp;D and Production Center in Shanghai’s Lingang Region</w:t>
      </w:r>
      <w:r>
        <w:rPr>
          <w:rFonts w:ascii="Arial" w:cs="Arial" w:eastAsia="Arial" w:hAnsi="Arial"/>
          <w:sz w:val="18"/>
          <w:szCs w:val="18"/>
          <w:color w:val="auto"/>
        </w:rPr>
        <w:t>. In December 2019, ACM Shanghai entered into a framework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land rights in the Lingang region of Shanghai, for the construction of a new R&amp;D center and production facility on the land. The Company expects to finalize a definitive agreement for land rights for the proposed site in the near future, followed by plans to start construction activities in late 2020, with initial production activities to commence in late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following figures refer to the first quarter of 2020, unless noted otherwise. All comparisons are with the first quarter of 2019, unless otherwise noted.</w:t>
      </w:r>
    </w:p>
    <w:p>
      <w:pPr>
        <w:spacing w:after="0" w:line="271" w:lineRule="exact"/>
        <w:rPr>
          <w:sz w:val="20"/>
          <w:szCs w:val="20"/>
          <w:color w:val="auto"/>
        </w:rPr>
      </w:pPr>
    </w:p>
    <w:p>
      <w:pPr>
        <w:ind w:left="340" w:right="28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$24.3 million, up 18.9%, reflecting an increase in revenue from single wafer wet cleaning and other front-end processing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offset in part by a decrease in revenue from back-end wafer assembly and packaging equipment.</w:t>
      </w:r>
    </w:p>
    <w:p>
      <w:pPr>
        <w:spacing w:after="0" w:line="188" w:lineRule="exact"/>
        <w:rPr>
          <w:rFonts w:ascii="Arial" w:cs="Arial" w:eastAsia="Arial" w:hAnsi="Arial"/>
          <w:sz w:val="18"/>
          <w:szCs w:val="18"/>
          <w:color w:val="auto"/>
        </w:rPr>
      </w:pPr>
    </w:p>
    <w:p>
      <w:pPr>
        <w:jc w:val="both"/>
        <w:ind w:left="340" w:right="44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Gross margin </w:t>
      </w:r>
      <w:r>
        <w:rPr>
          <w:rFonts w:ascii="Arial" w:cs="Arial" w:eastAsia="Arial" w:hAnsi="Arial"/>
          <w:sz w:val="18"/>
          <w:szCs w:val="18"/>
          <w:color w:val="auto"/>
        </w:rPr>
        <w:t>was 42.0%, compared to 43.1% in the first quarter of 2019. Gross margin was within the range of 40.0% to 45.0%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long-term business model. The Company expects gross margin to vary from period to period due to a variety of factors, such as sales volume and product mix.</w:t>
      </w:r>
    </w:p>
    <w:p>
      <w:pPr>
        <w:spacing w:after="0" w:line="202" w:lineRule="exact"/>
        <w:rPr>
          <w:rFonts w:ascii="Arial" w:cs="Arial" w:eastAsia="Arial" w:hAnsi="Arial"/>
          <w:sz w:val="18"/>
          <w:szCs w:val="18"/>
          <w:color w:val="auto"/>
        </w:rPr>
      </w:pPr>
    </w:p>
    <w:p>
      <w:pPr>
        <w:ind w:left="340" w:right="10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$9.0 million, an increase of 37%. Non-GAAP operating expenses, which remove stock-based compensation, were $8.4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up 43%. Non-GAAP operating expenses as a percent of revenue increased to 34%, compared to 29% in the first quarter of 2019. Higher spending on new products and sales-related activities, preparation for the STAR Market IPO, and COVID-19 related items contributed to the increase from the prior-year period.</w:t>
      </w:r>
    </w:p>
    <w:p>
      <w:pPr>
        <w:spacing w:after="0" w:line="206" w:lineRule="exact"/>
        <w:rPr>
          <w:rFonts w:ascii="Arial" w:cs="Arial" w:eastAsia="Arial" w:hAnsi="Arial"/>
          <w:sz w:val="18"/>
          <w:szCs w:val="18"/>
          <w:color w:val="auto"/>
        </w:rPr>
      </w:pPr>
    </w:p>
    <w:p>
      <w:pPr>
        <w:ind w:left="340" w:right="72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of $1.2 million declined 46% due to the increase in operating expenses, which represented a substantial investment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marketing of new product introductions.</w:t>
      </w:r>
    </w:p>
    <w:p>
      <w:pPr>
        <w:spacing w:after="0" w:line="188" w:lineRule="exact"/>
        <w:rPr>
          <w:rFonts w:ascii="Arial" w:cs="Arial" w:eastAsia="Arial" w:hAnsi="Arial"/>
          <w:sz w:val="18"/>
          <w:szCs w:val="18"/>
          <w:color w:val="auto"/>
        </w:rPr>
      </w:pPr>
    </w:p>
    <w:p>
      <w:pPr>
        <w:ind w:left="340" w:right="8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attributable to ACM Research, Inc. </w:t>
      </w:r>
      <w:r>
        <w:rPr>
          <w:rFonts w:ascii="Arial" w:cs="Arial" w:eastAsia="Arial" w:hAnsi="Arial"/>
          <w:sz w:val="18"/>
          <w:szCs w:val="18"/>
          <w:color w:val="auto"/>
        </w:rPr>
        <w:t>was $1.7 million, compared to $1.9 million in the first quarter of 2019. Non-GAAP net income</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ACM Research, Inc. was $2.4 million, compared to $2.6 million in the first quarter of 2019. Tax expense versus a normalized 12% tax-rate, and the effects of foreign-exchange fluctuations on operating results provided a net benefit of $0.6 million in the first quarter of 2020, and a net expense of $0.1 million in the first quarter of 2019.</w:t>
      </w:r>
    </w:p>
    <w:p>
      <w:pPr>
        <w:spacing w:after="0" w:line="206" w:lineRule="exact"/>
        <w:rPr>
          <w:rFonts w:ascii="Arial" w:cs="Arial" w:eastAsia="Arial" w:hAnsi="Arial"/>
          <w:sz w:val="18"/>
          <w:szCs w:val="18"/>
          <w:color w:val="auto"/>
        </w:rPr>
      </w:pPr>
    </w:p>
    <w:p>
      <w:pPr>
        <w:ind w:left="340" w:right="10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per diluted share attributable to ACM Research, Inc. </w:t>
      </w:r>
      <w:r>
        <w:rPr>
          <w:rFonts w:ascii="Arial" w:cs="Arial" w:eastAsia="Arial" w:hAnsi="Arial"/>
          <w:sz w:val="18"/>
          <w:szCs w:val="18"/>
          <w:color w:val="auto"/>
        </w:rPr>
        <w:t>was $0.08, versus $0.10 in the first quarter of 2019. Non-GAAP net income per</w:t>
      </w:r>
      <w:r>
        <w:rPr>
          <w:rFonts w:ascii="Arial" w:cs="Arial" w:eastAsia="Arial" w:hAnsi="Arial"/>
          <w:sz w:val="18"/>
          <w:szCs w:val="18"/>
          <w:b w:val="1"/>
          <w:bCs w:val="1"/>
          <w:color w:val="auto"/>
        </w:rPr>
        <w:t xml:space="preserve"> </w:t>
      </w:r>
      <w:r>
        <w:rPr>
          <w:rFonts w:ascii="Arial" w:cs="Arial" w:eastAsia="Arial" w:hAnsi="Arial"/>
          <w:sz w:val="18"/>
          <w:szCs w:val="18"/>
          <w:color w:val="auto"/>
        </w:rPr>
        <w:t>diluted share attributable to ACM Research, Inc. was $0.11, versus $0.14 in the first quarter of 2019. Tax expense versus a normalized 12% tax rate, and the effects of foreign-exchange fluctuations on operating results provided a net benefit of $0.03 per share in the first quarter of 2020, and a net expense of $0.01 in the first quarter of 2019.</w:t>
      </w:r>
    </w:p>
    <w:p>
      <w:pPr>
        <w:spacing w:after="0" w:line="345" w:lineRule="exact"/>
        <w:rPr>
          <w:rFonts w:ascii="Arial" w:cs="Arial" w:eastAsia="Arial" w:hAnsi="Arial"/>
          <w:sz w:val="18"/>
          <w:szCs w:val="18"/>
          <w:color w:val="auto"/>
        </w:rPr>
      </w:pPr>
    </w:p>
    <w:p>
      <w:pPr>
        <w:ind w:left="5580" w:hanging="106"/>
        <w:spacing w:after="0"/>
        <w:tabs>
          <w:tab w:leader="none" w:pos="5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 w:name="page6"/>
    <w:bookmarkEnd w:id="5"/>
    <w:p>
      <w:pPr>
        <w:ind w:left="340" w:right="140" w:hanging="332"/>
        <w:spacing w:after="0" w:line="26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at quarter-end were $52.3 million, versus $58.3 million at the end of the fourth quarter of 2019 and $27.4 million at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quarter of 2019. The quarter-on-quarter decline was primarily due to the reduction of short-term borrowings, net of positive cash flow from operations and other items during the quarter.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conference call to discuss results will be held on Thursday, May 7, 2020, at 8:00 a.m. Eastern Time (8:00 p.m. China Time).</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Please register in advance to join the conference call using the link provided below and dial in 10 minutes before the call is scheduled to begin. Conference call access information will be provided upon registration.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Online Registration</w:t>
      </w:r>
      <w:r>
        <w:rPr>
          <w:rFonts w:ascii="Arial" w:cs="Arial" w:eastAsia="Arial" w:hAnsi="Arial"/>
          <w:sz w:val="18"/>
          <w:szCs w:val="18"/>
          <w:color w:val="auto"/>
        </w:rPr>
        <w:t>: http://apac.directeventreg.com/registration/event/1594794</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recording of the webcast will be available on the investor page of the ACM website at www.acmrcsh.com for one week following the call.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ACM presents non-GAAP gross margin, operating income, net income (loss), and basic and diluted earnings per share as supplemental measures to GAAP financial measures regarding ACM’s operational performance. These supplemental measures exclude the impact of stock-based compensation, which ACM does not believe is indicative of its core operating results. A reconciliation of each non-GAAP financial measure to the most directly comparable GAAP financial measure is provided below under “Reconciliation of Non-GAAP to GAAP Financial Measures.”</w:t>
      </w:r>
    </w:p>
    <w:p>
      <w:pPr>
        <w:spacing w:after="0" w:line="19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21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presented in the second and third paragraphs of this press release and under the heading “Outlook” above contains forward-looking statements for purposes of the safe harbor provisions of the Private Securities Litigation Reform Act of 1995. Actual results may vary significantly from ACM’s expectations based on a number of risks and uncertainties,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suppliers may not be able to meet ACM’s demands on a timely basis; volatile global economic, market, industry and other conditions could result in sharply lower demand for products containing semiconductors and for the company's products and in disruption of capital and credit markets; ACM’s failure to successfully manage its operations; and trade regulations, currency fluctuations, political instability and war may materially adversely affect ACM due to its substantial non-U.S. customer and supplier base and its substantial non-U.S. manufacturing operations. ACM cannot guarantee any future results, levels of activity, performance or achievements. ACM expressly disclaims any obligation to update forward-looking statements after the date of this press release.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256"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ACM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151" w:lineRule="exact"/>
        <w:rPr>
          <w:sz w:val="20"/>
          <w:szCs w:val="20"/>
          <w:color w:val="auto"/>
        </w:rPr>
      </w:pPr>
    </w:p>
    <w:p>
      <w:pPr>
        <w:jc w:val="both"/>
        <w:ind w:right="160" w:firstLine="8"/>
        <w:spacing w:after="0" w:line="311" w:lineRule="auto"/>
        <w:tabs>
          <w:tab w:leader="none" w:pos="182" w:val="left"/>
        </w:tabs>
        <w:numPr>
          <w:ilvl w:val="0"/>
          <w:numId w:val="7"/>
        </w:numPr>
        <w:rPr>
          <w:rFonts w:ascii="Arial" w:cs="Arial" w:eastAsia="Arial" w:hAnsi="Arial"/>
          <w:sz w:val="16"/>
          <w:szCs w:val="16"/>
          <w:color w:val="auto"/>
        </w:rPr>
      </w:pPr>
      <w:r>
        <w:rPr>
          <w:rFonts w:ascii="Arial" w:cs="Arial" w:eastAsia="Arial" w:hAnsi="Arial"/>
          <w:sz w:val="16"/>
          <w:szCs w:val="16"/>
          <w:color w:val="auto"/>
        </w:rPr>
        <w:t>ACM Research, Inc. The ACM logo, SAPS, TEBO and ULTRA C are trademarks of ACM Research, Inc. For convenience, these trademarks appear in this press release without ™ symbols, but that practice does not mean that ACM will not assert, to the fullest extent under applicable law, its rights to the trademarks. This press release also contains other companies’ trademarks, registered marks and trade names, which are the property of those companies.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94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2500" w:type="dxa"/>
            <w:vAlign w:val="bottom"/>
          </w:tcPr>
          <w:p>
            <w:pPr>
              <w:ind w:left="480"/>
              <w:spacing w:after="0"/>
              <w:rPr>
                <w:sz w:val="20"/>
                <w:szCs w:val="20"/>
                <w:color w:val="auto"/>
              </w:rPr>
            </w:pPr>
            <w:r>
              <w:rPr>
                <w:rFonts w:ascii="Arial" w:cs="Arial" w:eastAsia="Arial" w:hAnsi="Arial"/>
                <w:sz w:val="18"/>
                <w:szCs w:val="18"/>
                <w:color w:val="auto"/>
              </w:rPr>
              <w:t>The Blueshirt Group</w:t>
            </w:r>
          </w:p>
        </w:tc>
      </w:tr>
      <w:tr>
        <w:trPr>
          <w:trHeight w:val="222"/>
        </w:trPr>
        <w:tc>
          <w:tcPr>
            <w:tcW w:w="6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500" w:type="dxa"/>
            <w:vAlign w:val="bottom"/>
          </w:tcPr>
          <w:p>
            <w:pPr>
              <w:ind w:left="520"/>
              <w:spacing w:after="0"/>
              <w:rPr>
                <w:sz w:val="20"/>
                <w:szCs w:val="20"/>
                <w:color w:val="auto"/>
              </w:rPr>
            </w:pPr>
            <w:r>
              <w:rPr>
                <w:rFonts w:ascii="Arial" w:cs="Arial" w:eastAsia="Arial" w:hAnsi="Arial"/>
                <w:sz w:val="18"/>
                <w:szCs w:val="18"/>
                <w:color w:val="auto"/>
              </w:rPr>
              <w:t>Ralph Fong</w:t>
            </w:r>
          </w:p>
        </w:tc>
      </w:tr>
      <w:tr>
        <w:trPr>
          <w:trHeight w:val="216"/>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ind w:left="520"/>
              <w:spacing w:after="0"/>
              <w:rPr>
                <w:sz w:val="20"/>
                <w:szCs w:val="20"/>
                <w:color w:val="auto"/>
              </w:rPr>
            </w:pPr>
            <w:r>
              <w:rPr>
                <w:rFonts w:ascii="Arial" w:cs="Arial" w:eastAsia="Arial" w:hAnsi="Arial"/>
                <w:sz w:val="18"/>
                <w:szCs w:val="18"/>
                <w:color w:val="auto"/>
              </w:rPr>
              <w:t>+1 (415) 489-2195</w:t>
            </w:r>
          </w:p>
        </w:tc>
      </w:tr>
      <w:tr>
        <w:trPr>
          <w:trHeight w:val="230"/>
        </w:trPr>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ind w:left="520"/>
              <w:spacing w:after="0"/>
              <w:rPr>
                <w:sz w:val="20"/>
                <w:szCs w:val="20"/>
                <w:color w:val="auto"/>
              </w:rPr>
            </w:pPr>
            <w:r>
              <w:rPr>
                <w:rFonts w:ascii="Arial" w:cs="Arial" w:eastAsia="Arial" w:hAnsi="Arial"/>
                <w:sz w:val="18"/>
                <w:szCs w:val="18"/>
                <w:i w:val="1"/>
                <w:iCs w:val="1"/>
                <w:color w:val="auto"/>
                <w:w w:val="92"/>
              </w:rPr>
              <w:t>ralph@blueshirtgroup.com</w:t>
            </w:r>
          </w:p>
        </w:tc>
      </w:tr>
      <w:tr>
        <w:trPr>
          <w:trHeight w:val="418"/>
        </w:trPr>
        <w:tc>
          <w:tcPr>
            <w:tcW w:w="194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2500" w:type="dxa"/>
            <w:vAlign w:val="bottom"/>
          </w:tcPr>
          <w:p>
            <w:pPr>
              <w:ind w:left="480"/>
              <w:spacing w:after="0"/>
              <w:rPr>
                <w:sz w:val="20"/>
                <w:szCs w:val="20"/>
                <w:color w:val="auto"/>
              </w:rPr>
            </w:pPr>
            <w:r>
              <w:rPr>
                <w:rFonts w:ascii="Arial" w:cs="Arial" w:eastAsia="Arial" w:hAnsi="Arial"/>
                <w:sz w:val="18"/>
                <w:szCs w:val="18"/>
                <w:color w:val="auto"/>
                <w:w w:val="99"/>
              </w:rPr>
              <w:t>The Blueshirt Group Asia</w:t>
            </w:r>
          </w:p>
        </w:tc>
      </w:tr>
      <w:tr>
        <w:trPr>
          <w:trHeight w:val="222"/>
        </w:trPr>
        <w:tc>
          <w:tcPr>
            <w:tcW w:w="6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500" w:type="dxa"/>
            <w:vAlign w:val="bottom"/>
          </w:tcPr>
          <w:p>
            <w:pPr>
              <w:ind w:left="520"/>
              <w:spacing w:after="0"/>
              <w:rPr>
                <w:sz w:val="20"/>
                <w:szCs w:val="20"/>
                <w:color w:val="auto"/>
              </w:rPr>
            </w:pPr>
            <w:r>
              <w:rPr>
                <w:rFonts w:ascii="Arial" w:cs="Arial" w:eastAsia="Arial" w:hAnsi="Arial"/>
                <w:sz w:val="18"/>
                <w:szCs w:val="18"/>
                <w:color w:val="auto"/>
              </w:rPr>
              <w:t>Gary Dvorchak, CFA</w:t>
            </w:r>
          </w:p>
        </w:tc>
      </w:tr>
      <w:tr>
        <w:trPr>
          <w:trHeight w:val="216"/>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ind w:left="520"/>
              <w:spacing w:after="0"/>
              <w:rPr>
                <w:sz w:val="20"/>
                <w:szCs w:val="20"/>
                <w:color w:val="auto"/>
              </w:rPr>
            </w:pPr>
            <w:r>
              <w:rPr>
                <w:rFonts w:ascii="Arial" w:cs="Arial" w:eastAsia="Arial" w:hAnsi="Arial"/>
                <w:sz w:val="18"/>
                <w:szCs w:val="18"/>
                <w:color w:val="auto"/>
              </w:rPr>
              <w:t>+86 (138) 1079-1480</w:t>
            </w:r>
          </w:p>
        </w:tc>
      </w:tr>
      <w:tr>
        <w:trPr>
          <w:trHeight w:val="230"/>
        </w:trPr>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ind w:left="520"/>
              <w:spacing w:after="0"/>
              <w:rPr>
                <w:sz w:val="20"/>
                <w:szCs w:val="20"/>
                <w:color w:val="auto"/>
              </w:rPr>
            </w:pPr>
            <w:r>
              <w:rPr>
                <w:rFonts w:ascii="Arial" w:cs="Arial" w:eastAsia="Arial" w:hAnsi="Arial"/>
                <w:sz w:val="18"/>
                <w:szCs w:val="18"/>
                <w:i w:val="1"/>
                <w:iCs w:val="1"/>
                <w:color w:val="auto"/>
                <w:w w:val="94"/>
              </w:rPr>
              <w:t>gary@blueshirtgroup.com</w:t>
            </w:r>
          </w:p>
        </w:tc>
      </w:tr>
    </w:tbl>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March 31, 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gridSpan w:val="4"/>
          </w:tcPr>
          <w:p>
            <w:pPr>
              <w:jc w:val="right"/>
              <w:ind w:right="230"/>
              <w:spacing w:after="0" w:line="201" w:lineRule="exact"/>
              <w:rPr>
                <w:sz w:val="20"/>
                <w:szCs w:val="20"/>
                <w:color w:val="auto"/>
              </w:rPr>
            </w:pPr>
            <w:r>
              <w:rPr>
                <w:rFonts w:ascii="Arial" w:cs="Arial" w:eastAsia="Arial" w:hAnsi="Arial"/>
                <w:sz w:val="18"/>
                <w:szCs w:val="18"/>
                <w:i w:val="1"/>
                <w:iCs w:val="1"/>
                <w:color w:val="auto"/>
              </w:rPr>
              <w:t>(Unaudited)</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Assets</w:t>
            </w:r>
          </w:p>
        </w:tc>
        <w:tc>
          <w:tcPr>
            <w:tcW w:w="3520" w:type="dxa"/>
            <w:vAlign w:val="bottom"/>
            <w:gridSpan w:val="7"/>
          </w:tcPr>
          <w:p>
            <w:pPr>
              <w:ind w:left="20"/>
              <w:spacing w:after="0"/>
              <w:rPr>
                <w:sz w:val="20"/>
                <w:szCs w:val="20"/>
                <w:color w:val="auto"/>
              </w:rPr>
            </w:pPr>
            <w:r>
              <w:rPr>
                <w:rFonts w:ascii="Arial" w:cs="Arial" w:eastAsia="Arial" w:hAnsi="Arial"/>
                <w:sz w:val="18"/>
                <w:szCs w:val="18"/>
                <w:i w:val="1"/>
                <w:iCs w:val="1"/>
                <w:color w:val="auto"/>
                <w:w w:val="90"/>
              </w:rPr>
              <w:t>(In thousands, except share and per share data)</w:t>
            </w:r>
          </w:p>
        </w:tc>
        <w:tc>
          <w:tcPr>
            <w:tcW w:w="0" w:type="dxa"/>
            <w:vAlign w:val="bottom"/>
          </w:tcPr>
          <w:p>
            <w:pPr>
              <w:spacing w:after="0"/>
              <w:rPr>
                <w:sz w:val="1"/>
                <w:szCs w:val="1"/>
                <w:color w:val="auto"/>
              </w:rPr>
            </w:pPr>
          </w:p>
        </w:tc>
      </w:tr>
      <w:tr>
        <w:trPr>
          <w:trHeight w:val="202"/>
        </w:trPr>
        <w:tc>
          <w:tcPr>
            <w:tcW w:w="7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58,261</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58,726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59,598</w:t>
            </w:r>
          </w:p>
        </w:tc>
        <w:tc>
          <w:tcPr>
            <w:tcW w:w="0" w:type="dxa"/>
            <w:vAlign w:val="bottom"/>
          </w:tcPr>
          <w:p>
            <w:pPr>
              <w:spacing w:after="0"/>
              <w:rPr>
                <w:sz w:val="1"/>
                <w:szCs w:val="1"/>
                <w:color w:val="auto"/>
              </w:rPr>
            </w:pPr>
          </w:p>
        </w:tc>
      </w:tr>
      <w:tr>
        <w:trPr>
          <w:trHeight w:val="202"/>
        </w:trPr>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Accounts receivable, less allowance for doubtful accounts of $0 as of March 31, 2020 and $0 as of</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2019</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31,091</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Other receivables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44,796</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217,208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217,703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23"/>
        </w:trPr>
        <w:tc>
          <w:tcPr>
            <w:tcW w:w="772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Long-term operating lease liability</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58,799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60,220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59,467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60,162</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20" w:type="dxa"/>
            <w:vAlign w:val="bottom"/>
          </w:tcPr>
          <w:p>
            <w:pPr>
              <w:spacing w:after="0" w:line="201" w:lineRule="exact"/>
              <w:rPr>
                <w:sz w:val="20"/>
                <w:szCs w:val="20"/>
                <w:color w:val="auto"/>
              </w:rPr>
            </w:pPr>
            <w:r>
              <w:rPr>
                <w:rFonts w:ascii="Arial" w:cs="Arial" w:eastAsia="Arial" w:hAnsi="Arial"/>
                <w:sz w:val="18"/>
                <w:szCs w:val="18"/>
                <w:color w:val="auto"/>
                <w:w w:val="94"/>
              </w:rPr>
              <w:t>Common stock – Class A, par value $0.0001: 50,000,000 shares authorized as of March 31, 2020 and</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w w:val="93"/>
              </w:rPr>
              <w:t>December 31, 2019; 16,317,346 shares issued and outstanding as of March 31, 2020 and 16,182,151</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shares issued and outstanding as of December 31, 2019</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stock–Class B, par value $0.0001: 2,409,738 shares authorized as of March 31, 2020 and</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December 31, 2019; 1,862,608 shares issued and outstanding as of March 31, 2020 and December 31,</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84,351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83,487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surplus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15,507</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98,942</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redeembable non-controlling interests, and stockholders' equity</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217,208</w:t>
            </w:r>
          </w:p>
        </w:tc>
        <w:tc>
          <w:tcPr>
            <w:tcW w:w="180" w:type="dxa"/>
            <w:vAlign w:val="bottom"/>
          </w:tcPr>
          <w:p>
            <w:pPr>
              <w:spacing w:after="0"/>
              <w:rPr>
                <w:sz w:val="18"/>
                <w:szCs w:val="18"/>
                <w:color w:val="auto"/>
              </w:rPr>
            </w:pPr>
          </w:p>
        </w:tc>
        <w:tc>
          <w:tcPr>
            <w:tcW w:w="7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217,703</w:t>
            </w:r>
          </w:p>
        </w:tc>
        <w:tc>
          <w:tcPr>
            <w:tcW w:w="0" w:type="dxa"/>
            <w:vAlign w:val="bottom"/>
          </w:tcPr>
          <w:p>
            <w:pPr>
              <w:spacing w:after="0"/>
              <w:rPr>
                <w:sz w:val="1"/>
                <w:szCs w:val="1"/>
                <w:color w:val="auto"/>
              </w:rPr>
            </w:pPr>
          </w:p>
        </w:tc>
      </w:tr>
      <w:tr>
        <w:trPr>
          <w:trHeight w:val="21"/>
        </w:trPr>
        <w:tc>
          <w:tcPr>
            <w:tcW w:w="7720" w:type="dxa"/>
            <w:vAlign w:val="bottom"/>
            <w:vMerge w:val="restart"/>
          </w:tcPr>
          <w:p>
            <w:pPr>
              <w:ind w:left="5480"/>
              <w:spacing w:after="0"/>
              <w:rPr>
                <w:sz w:val="20"/>
                <w:szCs w:val="20"/>
                <w:color w:val="auto"/>
              </w:rPr>
            </w:pPr>
            <w:r>
              <w:rPr>
                <w:rFonts w:ascii="Arial" w:cs="Arial" w:eastAsia="Arial" w:hAnsi="Arial"/>
                <w:sz w:val="18"/>
                <w:szCs w:val="18"/>
                <w:color w:val="auto"/>
              </w:rPr>
              <w:t>- 5 -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7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77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00" w:type="dxa"/>
            <w:vAlign w:val="bottom"/>
          </w:tcPr>
          <w:p>
            <w:pPr>
              <w:spacing w:after="0"/>
              <w:rPr>
                <w:sz w:val="20"/>
                <w:szCs w:val="20"/>
                <w:color w:val="auto"/>
              </w:rPr>
            </w:pPr>
          </w:p>
        </w:tc>
        <w:tc>
          <w:tcPr>
            <w:tcW w:w="3540" w:type="dxa"/>
            <w:vAlign w:val="bottom"/>
            <w:gridSpan w:val="8"/>
          </w:tcPr>
          <w:p>
            <w:pPr>
              <w:ind w:left="48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70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b w:val="1"/>
                <w:bCs w:val="1"/>
                <w:color w:val="auto"/>
                <w:w w:val="99"/>
              </w:rPr>
              <w:t>2020</w:t>
            </w:r>
          </w:p>
        </w:tc>
        <w:tc>
          <w:tcPr>
            <w:tcW w:w="5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2"/>
        </w:trPr>
        <w:tc>
          <w:tcPr>
            <w:tcW w:w="7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00" w:type="dxa"/>
            <w:vAlign w:val="bottom"/>
            <w:gridSpan w:val="5"/>
          </w:tcPr>
          <w:p>
            <w:pPr>
              <w:jc w:val="right"/>
              <w:ind w:right="70"/>
              <w:spacing w:after="0" w:line="201" w:lineRule="exact"/>
              <w:rPr>
                <w:sz w:val="20"/>
                <w:szCs w:val="20"/>
                <w:color w:val="auto"/>
              </w:rPr>
            </w:pPr>
            <w:r>
              <w:rPr>
                <w:rFonts w:ascii="Arial" w:cs="Arial" w:eastAsia="Arial" w:hAnsi="Arial"/>
                <w:sz w:val="18"/>
                <w:szCs w:val="18"/>
                <w:i w:val="1"/>
                <w:iCs w:val="1"/>
                <w:color w:val="auto"/>
              </w:rPr>
              <w:t>(Unaudited)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700" w:type="dxa"/>
            <w:vAlign w:val="bottom"/>
          </w:tcPr>
          <w:p>
            <w:pPr>
              <w:spacing w:after="0"/>
              <w:rPr>
                <w:sz w:val="20"/>
                <w:szCs w:val="20"/>
                <w:color w:val="auto"/>
              </w:rPr>
            </w:pPr>
          </w:p>
        </w:tc>
        <w:tc>
          <w:tcPr>
            <w:tcW w:w="3540" w:type="dxa"/>
            <w:vAlign w:val="bottom"/>
            <w:gridSpan w:val="8"/>
          </w:tcPr>
          <w:p>
            <w:pPr>
              <w:spacing w:after="0"/>
              <w:rPr>
                <w:sz w:val="20"/>
                <w:szCs w:val="20"/>
                <w:color w:val="auto"/>
              </w:rPr>
            </w:pPr>
            <w:r>
              <w:rPr>
                <w:rFonts w:ascii="Arial" w:cs="Arial" w:eastAsia="Arial" w:hAnsi="Arial"/>
                <w:sz w:val="18"/>
                <w:szCs w:val="18"/>
                <w:i w:val="1"/>
                <w:iCs w:val="1"/>
                <w:color w:val="auto"/>
                <w:w w:val="90"/>
              </w:rPr>
              <w:t>( In thousands, except share and per share data)</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24,348</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20,479</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Cost of revenue</w:t>
            </w:r>
          </w:p>
        </w:tc>
        <w:tc>
          <w:tcPr>
            <w:tcW w:w="1020" w:type="dxa"/>
            <w:vAlign w:val="bottom"/>
          </w:tcPr>
          <w:p>
            <w:pPr>
              <w:spacing w:after="0"/>
              <w:rPr>
                <w:sz w:val="19"/>
                <w:szCs w:val="19"/>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14,120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11,653</w:t>
            </w:r>
          </w:p>
        </w:tc>
      </w:tr>
      <w:tr>
        <w:trPr>
          <w:trHeight w:val="223"/>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profit</w:t>
            </w:r>
          </w:p>
        </w:tc>
        <w:tc>
          <w:tcPr>
            <w:tcW w:w="10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10,228</w:t>
            </w:r>
          </w:p>
        </w:tc>
        <w:tc>
          <w:tcPr>
            <w:tcW w:w="260" w:type="dxa"/>
            <w:vAlign w:val="bottom"/>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00" w:type="dxa"/>
            <w:vAlign w:val="bottom"/>
            <w:shd w:val="clear" w:color="auto" w:fill="CCEEFF"/>
          </w:tcPr>
          <w:p>
            <w:pPr>
              <w:spacing w:after="0"/>
              <w:rPr>
                <w:sz w:val="19"/>
                <w:szCs w:val="19"/>
                <w:color w:val="auto"/>
              </w:rPr>
            </w:pPr>
          </w:p>
        </w:tc>
      </w:tr>
      <w:tr>
        <w:trPr>
          <w:trHeight w:val="216"/>
        </w:trPr>
        <w:tc>
          <w:tcPr>
            <w:tcW w:w="7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0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1,869</w:t>
            </w: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3,677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r>
      <w:tr>
        <w:trPr>
          <w:trHeight w:val="223"/>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700" w:type="dxa"/>
            <w:vAlign w:val="bottom"/>
          </w:tcPr>
          <w:p>
            <w:pPr>
              <w:ind w:left="500"/>
              <w:spacing w:after="0"/>
              <w:rPr>
                <w:sz w:val="20"/>
                <w:szCs w:val="20"/>
                <w:color w:val="auto"/>
              </w:rPr>
            </w:pPr>
            <w:r>
              <w:rPr>
                <w:rFonts w:ascii="Arial" w:cs="Arial" w:eastAsia="Arial" w:hAnsi="Arial"/>
                <w:sz w:val="18"/>
                <w:szCs w:val="18"/>
                <w:b w:val="1"/>
                <w:bCs w:val="1"/>
                <w:color w:val="auto"/>
              </w:rPr>
              <w:t>Total operating expenses, net</w:t>
            </w:r>
          </w:p>
        </w:tc>
        <w:tc>
          <w:tcPr>
            <w:tcW w:w="10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9,010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6,575</w:t>
            </w:r>
          </w:p>
        </w:tc>
      </w:tr>
      <w:tr>
        <w:trPr>
          <w:trHeight w:val="216"/>
        </w:trPr>
        <w:tc>
          <w:tcPr>
            <w:tcW w:w="77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10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(111)</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677</w:t>
            </w: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(261)</w:t>
            </w:r>
          </w:p>
        </w:tc>
      </w:tr>
      <w:tr>
        <w:trPr>
          <w:trHeight w:val="223"/>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income in net income of affiliates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700" w:type="dxa"/>
            <w:vAlign w:val="bottom"/>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10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r>
      <w:tr>
        <w:trPr>
          <w:trHeight w:val="223"/>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(304)</w:t>
            </w: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r>
      <w:tr>
        <w:trPr>
          <w:trHeight w:val="216"/>
        </w:trPr>
        <w:tc>
          <w:tcPr>
            <w:tcW w:w="770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top w:val="single" w:sz="8" w:color="CCEEFF"/>
            </w:tcBorders>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7700" w:type="dxa"/>
            <w:vAlign w:val="bottom"/>
          </w:tcPr>
          <w:p>
            <w:pPr>
              <w:ind w:left="340"/>
              <w:spacing w:after="0"/>
              <w:rPr>
                <w:sz w:val="20"/>
                <w:szCs w:val="20"/>
                <w:color w:val="auto"/>
              </w:rPr>
            </w:pPr>
            <w:r>
              <w:rPr>
                <w:rFonts w:ascii="Arial" w:cs="Arial" w:eastAsia="Arial" w:hAnsi="Arial"/>
                <w:sz w:val="18"/>
                <w:szCs w:val="18"/>
                <w:b w:val="1"/>
                <w:bCs w:val="1"/>
                <w:color w:val="auto"/>
              </w:rPr>
              <w:t>Net income attributable to ACM Research, Inc.</w:t>
            </w: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r>
      <w:tr>
        <w:trPr>
          <w:trHeight w:val="21"/>
        </w:trPr>
        <w:tc>
          <w:tcPr>
            <w:tcW w:w="7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r>
      <w:tr>
        <w:trPr>
          <w:trHeight w:val="223"/>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(1,900)</w:t>
            </w:r>
          </w:p>
        </w:tc>
        <w:tc>
          <w:tcPr>
            <w:tcW w:w="4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770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Total comprehensive income</w:t>
            </w:r>
          </w:p>
        </w:tc>
        <w:tc>
          <w:tcPr>
            <w:tcW w:w="10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 w:type="dxa"/>
            <w:vAlign w:val="bottom"/>
            <w:tcBorders>
              <w:top w:val="single" w:sz="8" w:color="CCEEFF"/>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Borders>
              <w:top w:val="single" w:sz="8" w:color="CCEEFF"/>
            </w:tcBorders>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00" w:type="dxa"/>
            <w:vAlign w:val="bottom"/>
            <w:tcBorders>
              <w:bottom w:val="single" w:sz="8" w:color="CCEEFF"/>
            </w:tcBorders>
            <w:gridSpan w:val="3"/>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b w:val="1"/>
                <w:bCs w:val="1"/>
                <w:color w:val="auto"/>
              </w:rPr>
              <w:t>Total comprehensive income attributable to ACM Research, Inc.</w:t>
            </w: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2,514</w:t>
            </w:r>
          </w:p>
        </w:tc>
      </w:tr>
      <w:tr>
        <w:trPr>
          <w:trHeight w:val="20"/>
        </w:trPr>
        <w:tc>
          <w:tcPr>
            <w:tcW w:w="7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income attributable to ACM Research, Inc. per common share :</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7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0.08</w:t>
            </w:r>
          </w:p>
        </w:tc>
        <w:tc>
          <w:tcPr>
            <w:tcW w:w="26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0"/>
        </w:trPr>
        <w:tc>
          <w:tcPr>
            <w:tcW w:w="77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7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pacing w:after="0"/>
        <w:rPr>
          <w:sz w:val="20"/>
          <w:szCs w:val="20"/>
          <w:color w:val="auto"/>
        </w:rPr>
      </w:pPr>
      <w:r>
        <w:rPr>
          <w:rFonts w:ascii="Arial" w:cs="Arial" w:eastAsia="Arial" w:hAnsi="Arial"/>
          <w:sz w:val="18"/>
          <w:szCs w:val="18"/>
          <w:color w:val="auto"/>
        </w:rPr>
        <w:t>Weighted average common shares outstanding used in computing per share amounts: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6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18,120,363</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16,044,655</w:t>
            </w: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46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460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21,066,636</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18,225,317</w:t>
            </w:r>
          </w:p>
        </w:tc>
      </w:tr>
      <w:tr>
        <w:trPr>
          <w:trHeight w:val="594"/>
        </w:trPr>
        <w:tc>
          <w:tcPr>
            <w:tcW w:w="3100" w:type="dxa"/>
            <w:vAlign w:val="bottom"/>
          </w:tcPr>
          <w:p>
            <w:pPr>
              <w:spacing w:after="0"/>
              <w:rPr>
                <w:sz w:val="24"/>
                <w:szCs w:val="24"/>
                <w:color w:val="auto"/>
              </w:rPr>
            </w:pPr>
          </w:p>
        </w:tc>
        <w:tc>
          <w:tcPr>
            <w:tcW w:w="4600" w:type="dxa"/>
            <w:vAlign w:val="bottom"/>
          </w:tcPr>
          <w:p>
            <w:pPr>
              <w:jc w:val="right"/>
              <w:ind w:right="1830"/>
              <w:spacing w:after="0"/>
              <w:rPr>
                <w:sz w:val="20"/>
                <w:szCs w:val="20"/>
                <w:color w:val="auto"/>
              </w:rPr>
            </w:pPr>
            <w:r>
              <w:rPr>
                <w:rFonts w:ascii="Arial" w:cs="Arial" w:eastAsia="Arial" w:hAnsi="Arial"/>
                <w:sz w:val="18"/>
                <w:szCs w:val="18"/>
                <w:color w:val="auto"/>
              </w:rPr>
              <w:t>- 6 -</w:t>
            </w:r>
          </w:p>
        </w:tc>
        <w:tc>
          <w:tcPr>
            <w:tcW w:w="1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61"/>
        </w:trPr>
        <w:tc>
          <w:tcPr>
            <w:tcW w:w="3100" w:type="dxa"/>
            <w:vAlign w:val="bottom"/>
            <w:tcBorders>
              <w:bottom w:val="single" w:sz="8" w:color="auto"/>
            </w:tcBorders>
          </w:tcPr>
          <w:p>
            <w:pPr>
              <w:spacing w:after="0"/>
              <w:rPr>
                <w:sz w:val="5"/>
                <w:szCs w:val="5"/>
                <w:color w:val="auto"/>
              </w:rPr>
            </w:pPr>
          </w:p>
        </w:tc>
        <w:tc>
          <w:tcPr>
            <w:tcW w:w="46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38"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described under “Use of Non-GAAP Financial Measures” above, ACM presents non-GAAP gross margin, operating income and net income (loss) as supplemental measures to GAAP financial measures, each of which excludes stock-based compensation (“SBC”) from the equivalent GAAP financial line items. The following table reconciles gross margin, operating income and net income (loss) to the related non-GAAP financial measures: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4"/>
              </w:rPr>
              <w:t>Three Months Ended March 31,</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370"/>
              <w:spacing w:after="0" w:line="198" w:lineRule="exact"/>
              <w:rPr>
                <w:sz w:val="20"/>
                <w:szCs w:val="20"/>
                <w:color w:val="auto"/>
              </w:rPr>
            </w:pPr>
            <w:r>
              <w:rPr>
                <w:rFonts w:ascii="Arial" w:cs="Arial" w:eastAsia="Arial" w:hAnsi="Arial"/>
                <w:sz w:val="18"/>
                <w:szCs w:val="18"/>
                <w:b w:val="1"/>
                <w:bCs w:val="1"/>
                <w:color w:val="auto"/>
              </w:rPr>
              <w:t>Actual</w:t>
            </w:r>
          </w:p>
        </w:tc>
        <w:tc>
          <w:tcPr>
            <w:tcW w:w="340" w:type="dxa"/>
            <w:vAlign w:val="bottom"/>
          </w:tcPr>
          <w:p>
            <w:pPr>
              <w:spacing w:after="0"/>
              <w:rPr>
                <w:sz w:val="17"/>
                <w:szCs w:val="17"/>
                <w:color w:val="auto"/>
              </w:rPr>
            </w:pPr>
          </w:p>
        </w:tc>
        <w:tc>
          <w:tcPr>
            <w:tcW w:w="10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SBC</w:t>
            </w:r>
          </w:p>
        </w:tc>
        <w:tc>
          <w:tcPr>
            <w:tcW w:w="280" w:type="dxa"/>
            <w:vAlign w:val="bottom"/>
          </w:tcPr>
          <w:p>
            <w:pPr>
              <w:spacing w:after="0"/>
              <w:rPr>
                <w:sz w:val="17"/>
                <w:szCs w:val="17"/>
                <w:color w:val="auto"/>
              </w:rPr>
            </w:pPr>
          </w:p>
        </w:tc>
        <w:tc>
          <w:tcPr>
            <w:tcW w:w="1120" w:type="dxa"/>
            <w:vAlign w:val="bottom"/>
          </w:tcPr>
          <w:p>
            <w:pPr>
              <w:jc w:val="right"/>
              <w:ind w:right="270"/>
              <w:spacing w:after="0" w:line="198" w:lineRule="exact"/>
              <w:rPr>
                <w:sz w:val="20"/>
                <w:szCs w:val="20"/>
                <w:color w:val="auto"/>
              </w:rPr>
            </w:pPr>
            <w:r>
              <w:rPr>
                <w:rFonts w:ascii="Arial" w:cs="Arial" w:eastAsia="Arial" w:hAnsi="Arial"/>
                <w:sz w:val="18"/>
                <w:szCs w:val="18"/>
                <w:b w:val="1"/>
                <w:bCs w:val="1"/>
                <w:color w:val="auto"/>
                <w:w w:val="96"/>
              </w:rPr>
              <w:t>Adjusted</w:t>
            </w:r>
          </w:p>
        </w:tc>
        <w:tc>
          <w:tcPr>
            <w:tcW w:w="240" w:type="dxa"/>
            <w:vAlign w:val="bottom"/>
          </w:tcPr>
          <w:p>
            <w:pPr>
              <w:spacing w:after="0"/>
              <w:rPr>
                <w:sz w:val="17"/>
                <w:szCs w:val="17"/>
                <w:color w:val="auto"/>
              </w:rPr>
            </w:pPr>
          </w:p>
        </w:tc>
        <w:tc>
          <w:tcPr>
            <w:tcW w:w="1080" w:type="dxa"/>
            <w:vAlign w:val="bottom"/>
          </w:tcPr>
          <w:p>
            <w:pPr>
              <w:jc w:val="right"/>
              <w:ind w:right="350"/>
              <w:spacing w:after="0" w:line="198" w:lineRule="exact"/>
              <w:rPr>
                <w:sz w:val="20"/>
                <w:szCs w:val="20"/>
                <w:color w:val="auto"/>
              </w:rPr>
            </w:pPr>
            <w:r>
              <w:rPr>
                <w:rFonts w:ascii="Arial" w:cs="Arial" w:eastAsia="Arial" w:hAnsi="Arial"/>
                <w:sz w:val="18"/>
                <w:szCs w:val="18"/>
                <w:b w:val="1"/>
                <w:bCs w:val="1"/>
                <w:color w:val="auto"/>
              </w:rPr>
              <w:t>Actual</w:t>
            </w:r>
          </w:p>
        </w:tc>
        <w:tc>
          <w:tcPr>
            <w:tcW w:w="320" w:type="dxa"/>
            <w:vAlign w:val="bottom"/>
          </w:tcPr>
          <w:p>
            <w:pPr>
              <w:spacing w:after="0"/>
              <w:rPr>
                <w:sz w:val="17"/>
                <w:szCs w:val="17"/>
                <w:color w:val="auto"/>
              </w:rPr>
            </w:pPr>
          </w:p>
        </w:tc>
        <w:tc>
          <w:tcPr>
            <w:tcW w:w="10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SBC</w:t>
            </w:r>
          </w:p>
        </w:tc>
        <w:tc>
          <w:tcPr>
            <w:tcW w:w="240" w:type="dxa"/>
            <w:vAlign w:val="bottom"/>
          </w:tcPr>
          <w:p>
            <w:pPr>
              <w:spacing w:after="0"/>
              <w:rPr>
                <w:sz w:val="17"/>
                <w:szCs w:val="17"/>
                <w:color w:val="auto"/>
              </w:rPr>
            </w:pPr>
          </w:p>
        </w:tc>
        <w:tc>
          <w:tcPr>
            <w:tcW w:w="96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w w:val="93"/>
              </w:rPr>
              <w:t>Adjusted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(GAAP)</w:t>
            </w:r>
          </w:p>
        </w:tc>
        <w:tc>
          <w:tcPr>
            <w:tcW w:w="3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400" w:type="dxa"/>
            <w:vAlign w:val="bottom"/>
            <w:gridSpan w:val="2"/>
            <w:vMerge w:val="restart"/>
          </w:tcPr>
          <w:p>
            <w:pPr>
              <w:jc w:val="right"/>
              <w:ind w:right="110"/>
              <w:spacing w:after="0"/>
              <w:rPr>
                <w:sz w:val="20"/>
                <w:szCs w:val="20"/>
                <w:color w:val="auto"/>
              </w:rPr>
            </w:pPr>
            <w:r>
              <w:rPr>
                <w:rFonts w:ascii="Arial" w:cs="Arial" w:eastAsia="Arial" w:hAnsi="Arial"/>
                <w:sz w:val="18"/>
                <w:szCs w:val="18"/>
                <w:b w:val="1"/>
                <w:bCs w:val="1"/>
                <w:color w:val="auto"/>
              </w:rPr>
              <w:t>(Non-GAAP)</w:t>
            </w:r>
          </w:p>
        </w:tc>
        <w:tc>
          <w:tcPr>
            <w:tcW w:w="240" w:type="dxa"/>
            <w:vAlign w:val="bottom"/>
          </w:tcPr>
          <w:p>
            <w:pPr>
              <w:spacing w:after="0"/>
              <w:rPr>
                <w:sz w:val="10"/>
                <w:szCs w:val="10"/>
                <w:color w:val="auto"/>
              </w:rPr>
            </w:pPr>
          </w:p>
        </w:tc>
        <w:tc>
          <w:tcPr>
            <w:tcW w:w="10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(GAAP)</w:t>
            </w:r>
          </w:p>
        </w:tc>
        <w:tc>
          <w:tcPr>
            <w:tcW w:w="3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300" w:type="dxa"/>
            <w:vAlign w:val="bottom"/>
            <w:gridSpan w:val="4"/>
            <w:vMerge w:val="restart"/>
          </w:tcPr>
          <w:p>
            <w:pPr>
              <w:jc w:val="right"/>
              <w:ind w:right="160"/>
              <w:spacing w:after="0"/>
              <w:rPr>
                <w:sz w:val="20"/>
                <w:szCs w:val="20"/>
                <w:color w:val="auto"/>
              </w:rPr>
            </w:pPr>
            <w:r>
              <w:rPr>
                <w:rFonts w:ascii="Arial" w:cs="Arial" w:eastAsia="Arial" w:hAnsi="Arial"/>
                <w:sz w:val="18"/>
                <w:szCs w:val="18"/>
                <w:b w:val="1"/>
                <w:bCs w:val="1"/>
                <w:color w:val="auto"/>
              </w:rPr>
              <w:t>(Non-GAAP)</w:t>
            </w:r>
          </w:p>
        </w:tc>
        <w:tc>
          <w:tcPr>
            <w:tcW w:w="0" w:type="dxa"/>
            <w:vAlign w:val="bottom"/>
          </w:tcPr>
          <w:p>
            <w:pPr>
              <w:spacing w:after="0"/>
              <w:rPr>
                <w:sz w:val="1"/>
                <w:szCs w:val="1"/>
                <w:color w:val="auto"/>
              </w:rPr>
            </w:pPr>
          </w:p>
        </w:tc>
      </w:tr>
      <w:tr>
        <w:trPr>
          <w:trHeight w:val="115"/>
        </w:trPr>
        <w:tc>
          <w:tcPr>
            <w:tcW w:w="3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gridSpan w:val="3"/>
          </w:tcPr>
          <w:p>
            <w:pPr>
              <w:jc w:val="right"/>
              <w:ind w:right="81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24,348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24,348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20,479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20,479</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(14,120)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(14,075)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(11,653)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(11,623)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10,228</w:t>
            </w: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10,273</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8,826</w:t>
            </w: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(3,005)</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(3,677)</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(3,490)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(2,765)</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1,218</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1,907</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2,251</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28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Net income attributable to ACM</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Research, Inc.</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1,705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1,857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96"/>
        </w:trPr>
        <w:tc>
          <w:tcPr>
            <w:tcW w:w="32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- 7 -</w:t>
            </w: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2020-05-06T16:14:12Z</dcterms:created>
  <dcterms:modified xsi:type="dcterms:W3CDTF">2020-05-06T16:14:12Z</dcterms:modified>
</cp:coreProperties>
</file>