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4, 2026</w:t>
      </w:r>
    </w:p>
    <w:p>
      <w:pPr>
        <w:spacing w:after="0" w:line="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1940560</wp:posOffset>
            </wp:positionH>
            <wp:positionV relativeFrom="paragraph">
              <wp:posOffset>-5080</wp:posOffset>
            </wp:positionV>
            <wp:extent cx="5247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764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29210</wp:posOffset>
            </wp:positionV>
            <wp:extent cx="78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160020</wp:posOffset>
            </wp:positionV>
            <wp:extent cx="78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ACM RESEARCH,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6" w:lineRule="exact"/>
        <w:rPr>
          <w:sz w:val="24"/>
          <w:szCs w:val="24"/>
          <w:color w:val="auto"/>
        </w:rPr>
      </w:pPr>
    </w:p>
    <w:p>
      <w:pPr>
        <w:ind w:left="1880"/>
        <w:spacing w:after="0"/>
        <w:tabs>
          <w:tab w:leader="none" w:pos="2540" w:val="left"/>
        </w:tabs>
        <w:rPr>
          <w:sz w:val="20"/>
          <w:szCs w:val="20"/>
          <w:color w:val="auto"/>
        </w:rPr>
      </w:pPr>
      <w:r>
        <w:rPr>
          <w:rFonts w:ascii="Times New Roman" w:cs="Times New Roman" w:eastAsia="Times New Roman" w:hAnsi="Times New Roman"/>
          <w:sz w:val="13"/>
          <w:szCs w:val="13"/>
          <w:b w:val="1"/>
          <w:bCs w:val="1"/>
          <w:color w:val="auto"/>
        </w:rPr>
        <w:t>Delaware</w:t>
        <w:tab/>
        <w:t>94-3290283</w:t>
      </w:r>
    </w:p>
    <w:p>
      <w:pPr>
        <w:spacing w:after="0" w:line="41" w:lineRule="exact"/>
        <w:rPr>
          <w:sz w:val="24"/>
          <w:szCs w:val="24"/>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13"/>
          <w:szCs w:val="13"/>
          <w:i w:val="1"/>
          <w:iCs w:val="1"/>
          <w:color w:val="auto"/>
        </w:rPr>
        <w:t>(State or other jurisdiction of</w:t>
        <w:tab/>
        <w:t>(I.R.S. Employer Identification No.) incorporation or organization)</w:t>
      </w:r>
    </w:p>
    <w:p>
      <w:pPr>
        <w:spacing w:after="0" w:line="17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42307 Osgood Road, Suite I</w:t>
      </w:r>
    </w:p>
    <w:p>
      <w:pPr>
        <w:spacing w:after="0" w:line="28" w:lineRule="exact"/>
        <w:rPr>
          <w:sz w:val="24"/>
          <w:szCs w:val="24"/>
          <w:color w:val="auto"/>
        </w:rPr>
      </w:pPr>
    </w:p>
    <w:p>
      <w:pPr>
        <w:ind w:left="1580"/>
        <w:spacing w:after="0"/>
        <w:tabs>
          <w:tab w:leader="none" w:pos="2840" w:val="left"/>
        </w:tabs>
        <w:rPr>
          <w:sz w:val="20"/>
          <w:szCs w:val="20"/>
          <w:color w:val="auto"/>
        </w:rPr>
      </w:pPr>
      <w:r>
        <w:rPr>
          <w:rFonts w:ascii="Times New Roman" w:cs="Times New Roman" w:eastAsia="Times New Roman" w:hAnsi="Times New Roman"/>
          <w:sz w:val="13"/>
          <w:szCs w:val="13"/>
          <w:b w:val="1"/>
          <w:bCs w:val="1"/>
          <w:color w:val="auto"/>
        </w:rPr>
        <w:t>Fremont, California</w:t>
        <w:tab/>
        <w:t>94539</w:t>
      </w:r>
    </w:p>
    <w:p>
      <w:pPr>
        <w:spacing w:after="0" w:line="27" w:lineRule="exact"/>
        <w:rPr>
          <w:sz w:val="24"/>
          <w:szCs w:val="24"/>
          <w:color w:val="auto"/>
        </w:rPr>
      </w:pPr>
    </w:p>
    <w:p>
      <w:pPr>
        <w:ind w:left="1040"/>
        <w:spacing w:after="0"/>
        <w:tabs>
          <w:tab w:leader="none" w:pos="3240" w:val="left"/>
        </w:tabs>
        <w:rPr>
          <w:sz w:val="20"/>
          <w:szCs w:val="20"/>
          <w:color w:val="auto"/>
        </w:rPr>
      </w:pPr>
      <w:r>
        <w:rPr>
          <w:rFonts w:ascii="Times New Roman" w:cs="Times New Roman" w:eastAsia="Times New Roman" w:hAnsi="Times New Roman"/>
          <w:sz w:val="13"/>
          <w:szCs w:val="13"/>
          <w:i w:val="1"/>
          <w:iCs w:val="1"/>
          <w:color w:val="auto"/>
        </w:rPr>
        <w:t>(Address of principal executive offices)</w:t>
        <w:tab/>
        <w:t>(Zip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3359150</wp:posOffset>
            </wp:positionH>
            <wp:positionV relativeFrom="paragraph">
              <wp:posOffset>173990</wp:posOffset>
            </wp:positionV>
            <wp:extent cx="789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2016 Omnibus Incentive Plan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31115</wp:posOffset>
            </wp:positionV>
            <wp:extent cx="789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930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David H. Wang</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President ACM Research,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42307 Osgood Road, Suite I Fremont, California 94539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(510) 445-3700</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(Name, address, including zip code, and telephone number, including area code, of agent for service) With a copy to:</w:t>
      </w:r>
    </w:p>
    <w:p>
      <w:pPr>
        <w:spacing w:after="0" w:line="11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Michael A. Hedge Jason C. Dreibelbis K&amp;L Gates LLP</w:t>
      </w:r>
    </w:p>
    <w:p>
      <w:pPr>
        <w:spacing w:after="0" w:line="2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1 Park Plaza, Twelfth Floor Irvine, California 92614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(949) 253-0900</w:t>
      </w:r>
    </w:p>
    <w:p>
      <w:pPr>
        <w:spacing w:after="0" w:line="273" w:lineRule="exact"/>
        <w:rPr>
          <w:sz w:val="24"/>
          <w:szCs w:val="24"/>
          <w:color w:val="auto"/>
        </w:rPr>
      </w:pPr>
    </w:p>
    <w:p>
      <w:pPr>
        <w:jc w:val="both"/>
        <w:ind w:left="120" w:right="440"/>
        <w:spacing w:after="0" w:line="27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4"/>
          <w:szCs w:val="24"/>
          <w:color w:val="auto"/>
        </w:rPr>
      </w:pPr>
    </w:p>
    <w:tbl>
      <w:tblPr>
        <w:tblLayout w:type="fixed"/>
        <w:tblInd w:w="360" w:type="dxa"/>
        <w:tblCellMar>
          <w:top w:w="0" w:type="dxa"/>
          <w:left w:w="0" w:type="dxa"/>
          <w:bottom w:w="0" w:type="dxa"/>
          <w:right w:w="0" w:type="dxa"/>
        </w:tblCellMar>
      </w:tblPr>
      <w:tr>
        <w:trPr>
          <w:trHeight w:val="201"/>
        </w:trPr>
        <w:tc>
          <w:tcPr>
            <w:tcW w:w="134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Large accelerated filer</w:t>
            </w:r>
          </w:p>
        </w:tc>
        <w:tc>
          <w:tcPr>
            <w:tcW w:w="296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8"/>
        </w:trPr>
        <w:tc>
          <w:tcPr>
            <w:tcW w:w="134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Non-accelerated filer</w:t>
            </w:r>
          </w:p>
        </w:tc>
        <w:tc>
          <w:tcPr>
            <w:tcW w:w="296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4"/>
        </w:trPr>
        <w:tc>
          <w:tcPr>
            <w:tcW w:w="1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160" w:type="dxa"/>
            <w:vAlign w:val="bottom"/>
          </w:tcPr>
          <w:p>
            <w:pPr>
              <w:ind w:left="266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00" w:lineRule="exact"/>
        <w:rPr>
          <w:sz w:val="24"/>
          <w:szCs w:val="24"/>
          <w:color w:val="auto"/>
        </w:rPr>
      </w:pPr>
    </w:p>
    <w:p>
      <w:pPr>
        <w:ind w:left="120" w:right="100"/>
        <w:spacing w:after="0" w:line="26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 w:lineRule="exact"/>
        <w:rPr>
          <w:sz w:val="24"/>
          <w:szCs w:val="24"/>
          <w:color w:val="auto"/>
        </w:rPr>
      </w:pPr>
    </w:p>
    <w:p>
      <w:pPr>
        <w:ind w:left="838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74930</wp:posOffset>
            </wp:positionH>
            <wp:positionV relativeFrom="paragraph">
              <wp:posOffset>-48260</wp:posOffset>
            </wp:positionV>
            <wp:extent cx="5252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27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3"/>
          <w:szCs w:val="13"/>
          <w:color w:val="auto"/>
        </w:rPr>
        <w:t>1606542025.2</w:t>
      </w:r>
    </w:p>
    <w:p>
      <w:pPr>
        <w:sectPr>
          <w:pgSz w:w="11900" w:h="16838" w:orient="portrait"/>
          <w:cols w:equalWidth="0" w:num="1">
            <w:col w:w="11220"/>
          </w:cols>
          <w:pgMar w:left="340" w:top="1060" w:right="33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STATEMENT OF INCORPORATION BY REFERENCE</w:t>
      </w:r>
    </w:p>
    <w:p>
      <w:pPr>
        <w:spacing w:after="0" w:line="248" w:lineRule="exact"/>
        <w:rPr>
          <w:sz w:val="20"/>
          <w:szCs w:val="20"/>
          <w:color w:val="auto"/>
        </w:rPr>
      </w:pPr>
    </w:p>
    <w:p>
      <w:pPr>
        <w:jc w:val="both"/>
        <w:ind w:left="240"/>
        <w:spacing w:after="0" w:line="270" w:lineRule="auto"/>
        <w:rPr>
          <w:sz w:val="20"/>
          <w:szCs w:val="20"/>
          <w:color w:val="auto"/>
        </w:rPr>
      </w:pPr>
      <w:r>
        <w:rPr>
          <w:rFonts w:ascii="Times New Roman" w:cs="Times New Roman" w:eastAsia="Times New Roman" w:hAnsi="Times New Roman"/>
          <w:sz w:val="17"/>
          <w:szCs w:val="17"/>
          <w:color w:val="auto"/>
        </w:rPr>
        <w:t>This Registration Statement on Form S-8 relating to the 2016 Omnibus Incentive Plan of the registrant is being filed for the purpose of registering additional securities of the same class as other securities for which a Registration Statement on Form S-8 has previously been filed and is effective. Pursuant to General Instruction E to Form S-8, except as otherwise set forth below, this Registration Statement incorporates by reference the contents of the Registration Statement on Form S-8, File No. 333-222702, filed by the registrant with the Securities and Exchange Commission on January 25, 2018.</w:t>
      </w:r>
    </w:p>
    <w:p>
      <w:pPr>
        <w:spacing w:after="0" w:line="1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6" w:lineRule="exact"/>
        <w:rPr>
          <w:sz w:val="20"/>
          <w:szCs w:val="20"/>
          <w:color w:val="auto"/>
        </w:rPr>
      </w:pPr>
    </w:p>
    <w:p>
      <w:pPr>
        <w:ind w:left="400"/>
        <w:spacing w:after="0"/>
        <w:tabs>
          <w:tab w:leader="none" w:pos="114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27305</wp:posOffset>
            </wp:positionV>
            <wp:extent cx="5205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05095" cy="8255"/>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8"/>
              </w:rPr>
              <w:t>Restated Certificate of Incorporation of ACM Research Inc. (incorporated herein by reference to Exhibit 3.01) to the Current Report on Form 8-K</w:t>
            </w:r>
          </w:p>
        </w:tc>
        <w:tc>
          <w:tcPr>
            <w:tcW w:w="0" w:type="dxa"/>
            <w:vAlign w:val="bottom"/>
          </w:tcPr>
          <w:p>
            <w:pPr>
              <w:spacing w:after="0"/>
              <w:rPr>
                <w:sz w:val="1"/>
                <w:szCs w:val="1"/>
                <w:color w:val="auto"/>
              </w:rPr>
            </w:pPr>
          </w:p>
        </w:tc>
      </w:tr>
      <w:tr>
        <w:trPr>
          <w:trHeight w:val="215"/>
        </w:trPr>
        <w:tc>
          <w:tcPr>
            <w:tcW w:w="180" w:type="dxa"/>
            <w:vAlign w:val="bottom"/>
            <w:tcBorders>
              <w:bottom w:val="single" w:sz="8" w:color="3051F2"/>
            </w:tcBorders>
            <w:shd w:val="clear" w:color="auto" w:fill="CCEEFF"/>
          </w:tcPr>
          <w:p>
            <w:pPr>
              <w:spacing w:after="0" w:line="180" w:lineRule="exact"/>
              <w:rPr>
                <w:rFonts w:ascii="Times New Roman" w:cs="Times New Roman" w:eastAsia="Times New Roman" w:hAnsi="Times New Roman"/>
                <w:sz w:val="17"/>
                <w:szCs w:val="17"/>
                <w:color w:val="3051F2"/>
                <w:w w:val="75"/>
              </w:rPr>
            </w:pPr>
            <w:hyperlink r:id="rId15">
              <w:r>
                <w:rPr>
                  <w:rFonts w:ascii="Times New Roman" w:cs="Times New Roman" w:eastAsia="Times New Roman" w:hAnsi="Times New Roman"/>
                  <w:sz w:val="17"/>
                  <w:szCs w:val="17"/>
                  <w:color w:val="3051F2"/>
                  <w:w w:val="75"/>
                </w:rPr>
                <w:t>4.</w:t>
              </w:r>
              <w:r>
                <w:rPr>
                  <w:rFonts w:ascii="Times New Roman" w:cs="Times New Roman" w:eastAsia="Times New Roman" w:hAnsi="Times New Roman"/>
                  <w:sz w:val="17"/>
                  <w:szCs w:val="17"/>
                  <w:u w:val="single" w:color="auto"/>
                  <w:color w:val="3051F2"/>
                  <w:w w:val="75"/>
                </w:rPr>
                <w:t>1</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20" w:type="dxa"/>
            <w:vAlign w:val="bottom"/>
            <w:tcBorders>
              <w:bottom w:val="single" w:sz="8" w:color="CCEEFF"/>
            </w:tcBorders>
            <w:shd w:val="clear" w:color="auto" w:fill="CCEEFF"/>
          </w:tcPr>
          <w:p>
            <w:pPr>
              <w:ind w:left="220"/>
              <w:spacing w:after="0" w:line="180" w:lineRule="exact"/>
              <w:rPr>
                <w:sz w:val="20"/>
                <w:szCs w:val="20"/>
                <w:color w:val="auto"/>
              </w:rPr>
            </w:pPr>
            <w:r>
              <w:rPr>
                <w:rFonts w:ascii="Times New Roman" w:cs="Times New Roman" w:eastAsia="Times New Roman" w:hAnsi="Times New Roman"/>
                <w:sz w:val="17"/>
                <w:szCs w:val="17"/>
                <w:color w:val="auto"/>
              </w:rPr>
              <w:t>filed on November 14, 2017</w:t>
            </w:r>
          </w:p>
        </w:tc>
        <w:tc>
          <w:tcPr>
            <w:tcW w:w="0" w:type="dxa"/>
            <w:vAlign w:val="bottom"/>
          </w:tcPr>
          <w:p>
            <w:pPr>
              <w:spacing w:after="0"/>
              <w:rPr>
                <w:sz w:val="1"/>
                <w:szCs w:val="1"/>
                <w:color w:val="auto"/>
              </w:rPr>
            </w:pPr>
          </w:p>
        </w:tc>
      </w:tr>
      <w:tr>
        <w:trPr>
          <w:trHeight w:val="197"/>
        </w:trPr>
        <w:tc>
          <w:tcPr>
            <w:tcW w:w="180" w:type="dxa"/>
            <w:vAlign w:val="bottom"/>
            <w:tcBorders>
              <w:top w:val="single" w:sz="8" w:color="CCEEFF"/>
            </w:tcBorders>
            <w:vMerge w:val="restart"/>
          </w:tcPr>
          <w:p>
            <w:pPr>
              <w:spacing w:after="0"/>
              <w:rPr>
                <w:rFonts w:ascii="Times New Roman" w:cs="Times New Roman" w:eastAsia="Times New Roman" w:hAnsi="Times New Roman"/>
                <w:sz w:val="17"/>
                <w:szCs w:val="17"/>
                <w:color w:val="3051F2"/>
                <w:w w:val="75"/>
              </w:rPr>
            </w:pPr>
            <w:hyperlink r:id="rId16">
              <w:r>
                <w:rPr>
                  <w:rFonts w:ascii="Times New Roman" w:cs="Times New Roman" w:eastAsia="Times New Roman" w:hAnsi="Times New Roman"/>
                  <w:sz w:val="17"/>
                  <w:szCs w:val="17"/>
                  <w:color w:val="3051F2"/>
                  <w:w w:val="75"/>
                </w:rPr>
                <w:t>4.</w:t>
              </w:r>
              <w:r>
                <w:rPr>
                  <w:rFonts w:ascii="Times New Roman" w:cs="Times New Roman" w:eastAsia="Times New Roman" w:hAnsi="Times New Roman"/>
                  <w:sz w:val="17"/>
                  <w:szCs w:val="17"/>
                  <w:u w:val="single" w:color="auto"/>
                  <w:color w:val="3051F2"/>
                  <w:w w:val="75"/>
                </w:rPr>
                <w:t>2</w:t>
              </w:r>
            </w:hyperlink>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20" w:type="dxa"/>
            <w:vAlign w:val="bottom"/>
            <w:tcBorders>
              <w:top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w w:val="99"/>
              </w:rPr>
              <w:t>Certificate of Amendment to Restated Certificate of Incorporation of ACM Research, Inc., dated July 13, 2021 (incorporated herein by reference</w:t>
            </w:r>
          </w:p>
        </w:tc>
        <w:tc>
          <w:tcPr>
            <w:tcW w:w="0" w:type="dxa"/>
            <w:vAlign w:val="bottom"/>
          </w:tcPr>
          <w:p>
            <w:pPr>
              <w:spacing w:after="0"/>
              <w:rPr>
                <w:sz w:val="1"/>
                <w:szCs w:val="1"/>
                <w:color w:val="auto"/>
              </w:rPr>
            </w:pPr>
          </w:p>
        </w:tc>
      </w:tr>
      <w:tr>
        <w:trPr>
          <w:trHeight w:val="84"/>
        </w:trPr>
        <w:tc>
          <w:tcPr>
            <w:tcW w:w="180" w:type="dxa"/>
            <w:vAlign w:val="bottom"/>
            <w:tcBorders>
              <w:bottom w:val="single" w:sz="8" w:color="3051F2"/>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to Exhibit 3.01 to the Current Report filed on July 13, 2021)</w:t>
            </w: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0" w:type="dxa"/>
            <w:vAlign w:val="bottom"/>
            <w:vMerge w:val="restart"/>
            <w:shd w:val="clear" w:color="auto" w:fill="CCEEFF"/>
          </w:tcPr>
          <w:p>
            <w:pPr>
              <w:spacing w:after="0"/>
              <w:rPr>
                <w:rFonts w:ascii="Times New Roman" w:cs="Times New Roman" w:eastAsia="Times New Roman" w:hAnsi="Times New Roman"/>
                <w:sz w:val="17"/>
                <w:szCs w:val="17"/>
                <w:color w:val="3051F2"/>
                <w:w w:val="75"/>
              </w:rPr>
            </w:pPr>
            <w:hyperlink r:id="rId17">
              <w:r>
                <w:rPr>
                  <w:rFonts w:ascii="Times New Roman" w:cs="Times New Roman" w:eastAsia="Times New Roman" w:hAnsi="Times New Roman"/>
                  <w:sz w:val="17"/>
                  <w:szCs w:val="17"/>
                  <w:color w:val="3051F2"/>
                  <w:w w:val="75"/>
                </w:rPr>
                <w:t>4.</w:t>
              </w:r>
              <w:r>
                <w:rPr>
                  <w:rFonts w:ascii="Times New Roman" w:cs="Times New Roman" w:eastAsia="Times New Roman" w:hAnsi="Times New Roman"/>
                  <w:sz w:val="17"/>
                  <w:szCs w:val="17"/>
                  <w:u w:val="single" w:color="auto"/>
                  <w:color w:val="3051F2"/>
                  <w:w w:val="75"/>
                </w:rPr>
                <w:t>3</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8"/>
              </w:rPr>
              <w:t>Restated Bylaws of ACM Research, Inc. (incorporated herein by reference to Exhibit 3.02 to the Current Report on Form 8-K filed on November</w:t>
            </w:r>
          </w:p>
        </w:tc>
        <w:tc>
          <w:tcPr>
            <w:tcW w:w="0" w:type="dxa"/>
            <w:vAlign w:val="bottom"/>
          </w:tcPr>
          <w:p>
            <w:pPr>
              <w:spacing w:after="0"/>
              <w:rPr>
                <w:sz w:val="1"/>
                <w:szCs w:val="1"/>
                <w:color w:val="auto"/>
              </w:rPr>
            </w:pPr>
          </w:p>
        </w:tc>
      </w:tr>
      <w:tr>
        <w:trPr>
          <w:trHeight w:val="79"/>
        </w:trPr>
        <w:tc>
          <w:tcPr>
            <w:tcW w:w="180" w:type="dxa"/>
            <w:vAlign w:val="bottom"/>
            <w:tcBorders>
              <w:bottom w:val="single" w:sz="8" w:color="3051F2"/>
            </w:tcBorders>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10020" w:type="dxa"/>
            <w:vAlign w:val="bottom"/>
            <w:tcBorders>
              <w:bottom w:val="single" w:sz="8" w:color="CCEEFF"/>
            </w:tcBorders>
            <w:vMerge w:val="restart"/>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14, 2017)</w:t>
            </w:r>
          </w:p>
        </w:tc>
        <w:tc>
          <w:tcPr>
            <w:tcW w:w="0" w:type="dxa"/>
            <w:vAlign w:val="bottom"/>
          </w:tcPr>
          <w:p>
            <w:pPr>
              <w:spacing w:after="0"/>
              <w:rPr>
                <w:sz w:val="1"/>
                <w:szCs w:val="1"/>
                <w:color w:val="auto"/>
              </w:rPr>
            </w:pPr>
          </w:p>
        </w:tc>
      </w:tr>
      <w:tr>
        <w:trPr>
          <w:trHeight w:val="131"/>
        </w:trPr>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0" w:type="dxa"/>
            <w:vAlign w:val="bottom"/>
            <w:tcBorders>
              <w:bottom w:val="single" w:sz="8" w:color="3051F2"/>
            </w:tcBorders>
          </w:tcPr>
          <w:p>
            <w:pPr>
              <w:spacing w:after="0" w:line="189" w:lineRule="exact"/>
              <w:rPr>
                <w:sz w:val="20"/>
                <w:szCs w:val="20"/>
                <w:color w:val="auto"/>
              </w:rPr>
            </w:pPr>
            <w:r>
              <w:rPr>
                <w:rFonts w:ascii="Times New Roman" w:cs="Times New Roman" w:eastAsia="Times New Roman" w:hAnsi="Times New Roman"/>
                <w:sz w:val="17"/>
                <w:szCs w:val="17"/>
                <w:color w:val="3051F2"/>
                <w:w w:val="75"/>
              </w:rPr>
              <w:t>5.</w:t>
            </w:r>
            <w:r>
              <w:rPr>
                <w:rFonts w:ascii="Times New Roman" w:cs="Times New Roman" w:eastAsia="Times New Roman" w:hAnsi="Times New Roman"/>
                <w:sz w:val="17"/>
                <w:szCs w:val="17"/>
                <w:u w:val="single" w:color="auto"/>
                <w:color w:val="3051F2"/>
                <w:w w:val="75"/>
              </w:rPr>
              <w:t>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2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Opinion of K&amp;L Gates LLP</w:t>
            </w: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20" w:type="dxa"/>
            <w:vAlign w:val="bottom"/>
            <w:tcBorders>
              <w:bottom w:val="single" w:sz="8" w:color="3051F2"/>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3051F2"/>
                <w:w w:val="93"/>
              </w:rPr>
              <w:t>3.</w:t>
            </w:r>
            <w:r>
              <w:rPr>
                <w:rFonts w:ascii="Times New Roman" w:cs="Times New Roman" w:eastAsia="Times New Roman" w:hAnsi="Times New Roman"/>
                <w:sz w:val="17"/>
                <w:szCs w:val="17"/>
                <w:u w:val="single" w:color="auto"/>
                <w:color w:val="3051F2"/>
                <w:w w:val="93"/>
              </w:rPr>
              <w:t>1</w:t>
            </w:r>
          </w:p>
        </w:tc>
        <w:tc>
          <w:tcPr>
            <w:tcW w:w="200" w:type="dxa"/>
            <w:vAlign w:val="bottom"/>
            <w:tcBorders>
              <w:bottom w:val="single" w:sz="8" w:color="CCEEFF"/>
            </w:tcBorders>
            <w:shd w:val="clear" w:color="auto" w:fill="CCEEFF"/>
          </w:tcPr>
          <w:p>
            <w:pPr>
              <w:spacing w:after="0"/>
              <w:rPr>
                <w:sz w:val="19"/>
                <w:szCs w:val="19"/>
                <w:color w:val="auto"/>
              </w:rPr>
            </w:pPr>
          </w:p>
        </w:tc>
        <w:tc>
          <w:tcPr>
            <w:tcW w:w="1002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Consent of Ernst &amp; Young Hua Ming LLP</w:t>
            </w:r>
          </w:p>
        </w:tc>
        <w:tc>
          <w:tcPr>
            <w:tcW w:w="0" w:type="dxa"/>
            <w:vAlign w:val="bottom"/>
          </w:tcPr>
          <w:p>
            <w:pPr>
              <w:spacing w:after="0"/>
              <w:rPr>
                <w:sz w:val="1"/>
                <w:szCs w:val="1"/>
                <w:color w:val="auto"/>
              </w:rPr>
            </w:pPr>
          </w:p>
        </w:tc>
      </w:tr>
      <w:tr>
        <w:trPr>
          <w:trHeight w:val="188"/>
        </w:trPr>
        <w:tc>
          <w:tcPr>
            <w:tcW w:w="42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3051F2"/>
              </w:rPr>
              <w:t>3.</w:t>
            </w:r>
            <w:r>
              <w:rPr>
                <w:rFonts w:ascii="Times New Roman" w:cs="Times New Roman" w:eastAsia="Times New Roman" w:hAnsi="Times New Roman"/>
                <w:sz w:val="17"/>
                <w:szCs w:val="17"/>
                <w:u w:val="single" w:color="auto"/>
                <w:color w:val="3051F2"/>
              </w:rPr>
              <w:t>2</w:t>
            </w:r>
          </w:p>
        </w:tc>
        <w:tc>
          <w:tcPr>
            <w:tcW w:w="1002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rPr>
              <w:t>Consent of K&amp;L Gates LLP (included in Exhibit 5.1)</w:t>
            </w:r>
          </w:p>
        </w:tc>
        <w:tc>
          <w:tcPr>
            <w:tcW w:w="0" w:type="dxa"/>
            <w:vAlign w:val="bottom"/>
          </w:tcPr>
          <w:p>
            <w:pPr>
              <w:spacing w:after="0"/>
              <w:rPr>
                <w:sz w:val="1"/>
                <w:szCs w:val="1"/>
                <w:color w:val="auto"/>
              </w:rPr>
            </w:pPr>
          </w:p>
        </w:tc>
      </w:tr>
      <w:tr>
        <w:trPr>
          <w:trHeight w:val="30"/>
        </w:trPr>
        <w:tc>
          <w:tcPr>
            <w:tcW w:w="180" w:type="dxa"/>
            <w:vAlign w:val="bottom"/>
            <w:tcBorders>
              <w:top w:val="single" w:sz="8" w:color="3051F2"/>
            </w:tcBorders>
          </w:tcPr>
          <w:p>
            <w:pPr>
              <w:spacing w:after="0"/>
              <w:rPr>
                <w:sz w:val="2"/>
                <w:szCs w:val="2"/>
                <w:color w:val="auto"/>
              </w:rPr>
            </w:pPr>
          </w:p>
        </w:tc>
        <w:tc>
          <w:tcPr>
            <w:tcW w:w="40" w:type="dxa"/>
            <w:vAlign w:val="bottom"/>
            <w:tcBorders>
              <w:top w:val="single" w:sz="8" w:color="3051F2"/>
            </w:tcBorders>
          </w:tcPr>
          <w:p>
            <w:pPr>
              <w:spacing w:after="0"/>
              <w:rPr>
                <w:sz w:val="2"/>
                <w:szCs w:val="2"/>
                <w:color w:val="auto"/>
              </w:rPr>
            </w:pPr>
          </w:p>
        </w:tc>
        <w:tc>
          <w:tcPr>
            <w:tcW w:w="20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20" w:type="dxa"/>
            <w:vAlign w:val="bottom"/>
            <w:tcBorders>
              <w:bottom w:val="single" w:sz="8" w:color="3051F2"/>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3051F2"/>
                <w:w w:val="93"/>
              </w:rPr>
              <w:t>4.</w:t>
            </w:r>
            <w:r>
              <w:rPr>
                <w:rFonts w:ascii="Times New Roman" w:cs="Times New Roman" w:eastAsia="Times New Roman" w:hAnsi="Times New Roman"/>
                <w:sz w:val="17"/>
                <w:szCs w:val="17"/>
                <w:u w:val="single" w:color="auto"/>
                <w:color w:val="3051F2"/>
                <w:w w:val="93"/>
              </w:rPr>
              <w:t>1</w:t>
            </w:r>
          </w:p>
        </w:tc>
        <w:tc>
          <w:tcPr>
            <w:tcW w:w="200" w:type="dxa"/>
            <w:vAlign w:val="bottom"/>
            <w:tcBorders>
              <w:bottom w:val="single" w:sz="8" w:color="CCEEFF"/>
            </w:tcBorders>
            <w:shd w:val="clear" w:color="auto" w:fill="CCEEFF"/>
          </w:tcPr>
          <w:p>
            <w:pPr>
              <w:spacing w:after="0"/>
              <w:rPr>
                <w:sz w:val="19"/>
                <w:szCs w:val="19"/>
                <w:color w:val="auto"/>
              </w:rPr>
            </w:pPr>
          </w:p>
        </w:tc>
        <w:tc>
          <w:tcPr>
            <w:tcW w:w="1002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7"/>
                <w:szCs w:val="17"/>
                <w:color w:val="auto"/>
              </w:rPr>
              <w:t>Power of Attorney (included on the signature page of this registration statement)</w:t>
            </w:r>
          </w:p>
        </w:tc>
        <w:tc>
          <w:tcPr>
            <w:tcW w:w="0" w:type="dxa"/>
            <w:vAlign w:val="bottom"/>
          </w:tcPr>
          <w:p>
            <w:pPr>
              <w:spacing w:after="0"/>
              <w:rPr>
                <w:sz w:val="1"/>
                <w:szCs w:val="1"/>
                <w:color w:val="auto"/>
              </w:rPr>
            </w:pPr>
          </w:p>
        </w:tc>
      </w:tr>
      <w:tr>
        <w:trPr>
          <w:trHeight w:val="188"/>
        </w:trPr>
        <w:tc>
          <w:tcPr>
            <w:tcW w:w="420" w:type="dxa"/>
            <w:vAlign w:val="bottom"/>
            <w:gridSpan w:val="3"/>
          </w:tcPr>
          <w:p>
            <w:pPr>
              <w:spacing w:after="0" w:line="189" w:lineRule="exact"/>
              <w:rPr>
                <w:rFonts w:ascii="Times New Roman" w:cs="Times New Roman" w:eastAsia="Times New Roman" w:hAnsi="Times New Roman"/>
                <w:sz w:val="17"/>
                <w:szCs w:val="17"/>
                <w:color w:val="3051F2"/>
              </w:rPr>
            </w:pPr>
            <w:hyperlink r:id="rId18">
              <w:r>
                <w:rPr>
                  <w:rFonts w:ascii="Times New Roman" w:cs="Times New Roman" w:eastAsia="Times New Roman" w:hAnsi="Times New Roman"/>
                  <w:sz w:val="17"/>
                  <w:szCs w:val="17"/>
                  <w:color w:val="3051F2"/>
                </w:rPr>
                <w:t>9.</w:t>
              </w:r>
              <w:r>
                <w:rPr>
                  <w:rFonts w:ascii="Times New Roman" w:cs="Times New Roman" w:eastAsia="Times New Roman" w:hAnsi="Times New Roman"/>
                  <w:sz w:val="17"/>
                  <w:szCs w:val="17"/>
                  <w:u w:val="single" w:color="auto"/>
                  <w:color w:val="3051F2"/>
                </w:rPr>
                <w:t>1</w:t>
              </w:r>
            </w:hyperlink>
          </w:p>
        </w:tc>
        <w:tc>
          <w:tcPr>
            <w:tcW w:w="1002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auto"/>
                <w:w w:val="98"/>
              </w:rPr>
              <w:t>ACM Research, Inc. 2016 Omnibus Incentive Plan (incorporated herein by reference to Exhibit 10.01 to the Quarterly Report on Form 10-Q filed</w:t>
            </w:r>
          </w:p>
        </w:tc>
        <w:tc>
          <w:tcPr>
            <w:tcW w:w="0" w:type="dxa"/>
            <w:vAlign w:val="bottom"/>
          </w:tcPr>
          <w:p>
            <w:pPr>
              <w:spacing w:after="0"/>
              <w:rPr>
                <w:sz w:val="1"/>
                <w:szCs w:val="1"/>
                <w:color w:val="auto"/>
              </w:rPr>
            </w:pPr>
          </w:p>
        </w:tc>
      </w:tr>
      <w:tr>
        <w:trPr>
          <w:trHeight w:val="206"/>
        </w:trPr>
        <w:tc>
          <w:tcPr>
            <w:tcW w:w="180" w:type="dxa"/>
            <w:vAlign w:val="bottom"/>
            <w:tcBorders>
              <w:top w:val="single" w:sz="8" w:color="3051F2"/>
            </w:tcBorders>
          </w:tcPr>
          <w:p>
            <w:pPr>
              <w:spacing w:after="0"/>
              <w:rPr>
                <w:sz w:val="17"/>
                <w:szCs w:val="17"/>
                <w:color w:val="auto"/>
              </w:rPr>
            </w:pPr>
          </w:p>
        </w:tc>
        <w:tc>
          <w:tcPr>
            <w:tcW w:w="40" w:type="dxa"/>
            <w:vAlign w:val="bottom"/>
            <w:tcBorders>
              <w:top w:val="single" w:sz="8" w:color="3051F2"/>
            </w:tcBorders>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 December 8,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6631940" cy="151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6631940" cy="151765"/>
                    </a:xfrm>
                    <a:prstGeom prst="rect">
                      <a:avLst/>
                    </a:prstGeom>
                    <a:noFill/>
                  </pic:spPr>
                </pic:pic>
              </a:graphicData>
            </a:graphic>
          </wp:anchor>
        </w:drawing>
      </w:r>
    </w:p>
    <w:p>
      <w:pPr>
        <w:spacing w:after="0" w:line="1" w:lineRule="exact"/>
        <w:rPr>
          <w:sz w:val="20"/>
          <w:szCs w:val="20"/>
          <w:color w:val="auto"/>
        </w:rPr>
      </w:pPr>
    </w:p>
    <w:p>
      <w:pPr>
        <w:ind w:left="640" w:hanging="616"/>
        <w:spacing w:after="0"/>
        <w:tabs>
          <w:tab w:leader="none" w:pos="640" w:val="left"/>
        </w:tabs>
        <w:numPr>
          <w:ilvl w:val="0"/>
          <w:numId w:val="1"/>
        </w:numPr>
        <w:rPr>
          <w:rFonts w:ascii="Times New Roman" w:cs="Times New Roman" w:eastAsia="Times New Roman" w:hAnsi="Times New Roman"/>
          <w:sz w:val="17"/>
          <w:szCs w:val="17"/>
          <w:u w:val="single" w:color="auto"/>
          <w:color w:val="3051F2"/>
        </w:rPr>
      </w:pPr>
      <w:r>
        <w:rPr>
          <w:rFonts w:ascii="Times New Roman" w:cs="Times New Roman" w:eastAsia="Times New Roman" w:hAnsi="Times New Roman"/>
          <w:sz w:val="17"/>
          <w:szCs w:val="17"/>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651510</wp:posOffset>
            </wp:positionV>
            <wp:extent cx="5252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5252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1606542025.2</w:t>
      </w:r>
    </w:p>
    <w:p>
      <w:pPr>
        <w:sectPr>
          <w:pgSz w:w="11900" w:h="16838" w:orient="portrait"/>
          <w:cols w:equalWidth="0" w:num="1">
            <w:col w:w="11220"/>
          </w:cols>
          <w:pgMar w:left="220" w:top="1023" w:right="4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60" w:lineRule="exact"/>
        <w:rPr>
          <w:sz w:val="20"/>
          <w:szCs w:val="20"/>
          <w:color w:val="auto"/>
        </w:rPr>
      </w:pPr>
    </w:p>
    <w:p>
      <w:pPr>
        <w:jc w:val="both"/>
        <w:ind w:left="120" w:right="120"/>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March 4, 2026.</w:t>
      </w:r>
    </w:p>
    <w:p>
      <w:pPr>
        <w:spacing w:after="0" w:line="16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6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21590</wp:posOffset>
            </wp:positionV>
            <wp:extent cx="244729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447290" cy="15875"/>
                    </a:xfrm>
                    <a:prstGeom prst="rect">
                      <a:avLst/>
                    </a:prstGeom>
                    <a:noFill/>
                  </pic:spPr>
                </pic:pic>
              </a:graphicData>
            </a:graphic>
          </wp:anchor>
        </w:drawing>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Mark A. McKechnie</w:t>
      </w:r>
    </w:p>
    <w:p>
      <w:pPr>
        <w:spacing w:after="0" w:line="4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Chief Financial Officer, Executive Vice President and</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b w:val="1"/>
          <w:bCs w:val="1"/>
          <w:color w:val="auto"/>
        </w:rPr>
        <w:t>Treasurer</w:t>
      </w:r>
    </w:p>
    <w:p>
      <w:pPr>
        <w:spacing w:after="0" w:line="2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POWER OF ATTORNEY AND SIGNATURES</w:t>
      </w:r>
    </w:p>
    <w:p>
      <w:pPr>
        <w:spacing w:after="0" w:line="235" w:lineRule="exact"/>
        <w:rPr>
          <w:sz w:val="20"/>
          <w:szCs w:val="20"/>
          <w:color w:val="auto"/>
        </w:rPr>
      </w:pPr>
    </w:p>
    <w:p>
      <w:pPr>
        <w:jc w:val="both"/>
        <w:ind w:left="120"/>
        <w:spacing w:after="0" w:line="265"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David H. Wang and Mark A.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219" w:lineRule="exact"/>
        <w:rPr>
          <w:sz w:val="20"/>
          <w:szCs w:val="20"/>
          <w:color w:val="auto"/>
        </w:rPr>
      </w:pPr>
    </w:p>
    <w:p>
      <w:pPr>
        <w:jc w:val="both"/>
        <w:ind w:left="120" w:right="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below by the following persons on behalf of the registrant in the capacities and on the dates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 w:type="dxa"/>
            <w:vAlign w:val="bottom"/>
          </w:tcPr>
          <w:p>
            <w:pPr>
              <w:spacing w:after="0"/>
              <w:rPr>
                <w:sz w:val="20"/>
                <w:szCs w:val="20"/>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80" w:type="dxa"/>
            <w:vAlign w:val="bottom"/>
          </w:tcPr>
          <w:p>
            <w:pPr>
              <w:spacing w:after="0"/>
              <w:rPr>
                <w:sz w:val="20"/>
                <w:szCs w:val="20"/>
                <w:color w:val="auto"/>
              </w:rPr>
            </w:pP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Data</w:t>
            </w:r>
          </w:p>
        </w:tc>
      </w:tr>
      <w:tr>
        <w:trPr>
          <w:trHeight w:val="482"/>
        </w:trPr>
        <w:tc>
          <w:tcPr>
            <w:tcW w:w="12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David H. Wang</w:t>
            </w: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80"/>
        </w:trPr>
        <w:tc>
          <w:tcPr>
            <w:tcW w:w="120" w:type="dxa"/>
            <w:vAlign w:val="bottom"/>
          </w:tcPr>
          <w:p>
            <w:pPr>
              <w:spacing w:after="0"/>
              <w:rPr>
                <w:sz w:val="15"/>
                <w:szCs w:val="15"/>
                <w:color w:val="auto"/>
              </w:rPr>
            </w:pPr>
          </w:p>
        </w:tc>
        <w:tc>
          <w:tcPr>
            <w:tcW w:w="28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David H. Wang</w:t>
            </w:r>
          </w:p>
        </w:tc>
        <w:tc>
          <w:tcPr>
            <w:tcW w:w="80" w:type="dxa"/>
            <w:vAlign w:val="bottom"/>
          </w:tcPr>
          <w:p>
            <w:pPr>
              <w:spacing w:after="0"/>
              <w:rPr>
                <w:sz w:val="15"/>
                <w:szCs w:val="15"/>
                <w:color w:val="auto"/>
              </w:rPr>
            </w:pPr>
          </w:p>
        </w:tc>
        <w:tc>
          <w:tcPr>
            <w:tcW w:w="48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2720" w:type="dxa"/>
            <w:vAlign w:val="bottom"/>
          </w:tcPr>
          <w:p>
            <w:pPr>
              <w:ind w:left="560"/>
              <w:spacing w:after="0" w:line="181" w:lineRule="exact"/>
              <w:rPr>
                <w:sz w:val="20"/>
                <w:szCs w:val="20"/>
                <w:color w:val="auto"/>
              </w:rPr>
            </w:pPr>
            <w:r>
              <w:rPr>
                <w:rFonts w:ascii="Times New Roman" w:cs="Times New Roman" w:eastAsia="Times New Roman" w:hAnsi="Times New Roman"/>
                <w:sz w:val="17"/>
                <w:szCs w:val="17"/>
                <w:color w:val="auto"/>
              </w:rPr>
              <w:t>March 4, 2026</w:t>
            </w:r>
          </w:p>
        </w:tc>
      </w:tr>
      <w:tr>
        <w:trPr>
          <w:trHeight w:val="221"/>
        </w:trPr>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2720" w:type="dxa"/>
            <w:vAlign w:val="bottom"/>
          </w:tcPr>
          <w:p>
            <w:pPr>
              <w:spacing w:after="0"/>
              <w:rPr>
                <w:sz w:val="19"/>
                <w:szCs w:val="19"/>
                <w:color w:val="auto"/>
              </w:rPr>
            </w:pPr>
          </w:p>
        </w:tc>
      </w:tr>
      <w:tr>
        <w:trPr>
          <w:trHeight w:val="520"/>
        </w:trPr>
        <w:tc>
          <w:tcPr>
            <w:tcW w:w="12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Mark A. McKechnie</w:t>
            </w: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80"/>
        </w:trPr>
        <w:tc>
          <w:tcPr>
            <w:tcW w:w="120" w:type="dxa"/>
            <w:vAlign w:val="bottom"/>
          </w:tcPr>
          <w:p>
            <w:pPr>
              <w:spacing w:after="0"/>
              <w:rPr>
                <w:sz w:val="15"/>
                <w:szCs w:val="15"/>
                <w:color w:val="auto"/>
              </w:rPr>
            </w:pPr>
          </w:p>
        </w:tc>
        <w:tc>
          <w:tcPr>
            <w:tcW w:w="28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Mark A. McKechnie</w:t>
            </w:r>
          </w:p>
        </w:tc>
        <w:tc>
          <w:tcPr>
            <w:tcW w:w="80" w:type="dxa"/>
            <w:vAlign w:val="bottom"/>
          </w:tcPr>
          <w:p>
            <w:pPr>
              <w:spacing w:after="0"/>
              <w:rPr>
                <w:sz w:val="15"/>
                <w:szCs w:val="15"/>
                <w:color w:val="auto"/>
              </w:rPr>
            </w:pPr>
          </w:p>
        </w:tc>
        <w:tc>
          <w:tcPr>
            <w:tcW w:w="48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Chief Financial Officer, Executive Vice President and Treasurer</w:t>
            </w:r>
          </w:p>
        </w:tc>
        <w:tc>
          <w:tcPr>
            <w:tcW w:w="2720" w:type="dxa"/>
            <w:vAlign w:val="bottom"/>
          </w:tcPr>
          <w:p>
            <w:pPr>
              <w:ind w:left="560"/>
              <w:spacing w:after="0" w:line="181" w:lineRule="exact"/>
              <w:rPr>
                <w:sz w:val="20"/>
                <w:szCs w:val="20"/>
                <w:color w:val="auto"/>
              </w:rPr>
            </w:pPr>
            <w:r>
              <w:rPr>
                <w:rFonts w:ascii="Times New Roman" w:cs="Times New Roman" w:eastAsia="Times New Roman" w:hAnsi="Times New Roman"/>
                <w:sz w:val="17"/>
                <w:szCs w:val="17"/>
                <w:color w:val="auto"/>
              </w:rPr>
              <w:t>March 4, 2026</w:t>
            </w:r>
          </w:p>
        </w:tc>
      </w:tr>
      <w:tr>
        <w:trPr>
          <w:trHeight w:val="221"/>
        </w:trPr>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2720" w:type="dxa"/>
            <w:vAlign w:val="bottom"/>
          </w:tcPr>
          <w:p>
            <w:pPr>
              <w:spacing w:after="0"/>
              <w:rPr>
                <w:sz w:val="19"/>
                <w:szCs w:val="19"/>
                <w:color w:val="auto"/>
              </w:rPr>
            </w:pPr>
          </w:p>
        </w:tc>
      </w:tr>
      <w:tr>
        <w:trPr>
          <w:trHeight w:val="520"/>
        </w:trPr>
        <w:tc>
          <w:tcPr>
            <w:tcW w:w="12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Haiping Dun</w:t>
            </w: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Haiping Dun</w:t>
            </w:r>
          </w:p>
        </w:tc>
        <w:tc>
          <w:tcPr>
            <w:tcW w:w="8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r>
        <w:trPr>
          <w:trHeight w:val="507"/>
        </w:trPr>
        <w:tc>
          <w:tcPr>
            <w:tcW w:w="12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Charlie Pappis</w:t>
            </w: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Charlie Pappis</w:t>
            </w:r>
          </w:p>
        </w:tc>
        <w:tc>
          <w:tcPr>
            <w:tcW w:w="8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r>
        <w:trPr>
          <w:trHeight w:val="507"/>
        </w:trPr>
        <w:tc>
          <w:tcPr>
            <w:tcW w:w="120" w:type="dxa"/>
            <w:vAlign w:val="bottom"/>
          </w:tcPr>
          <w:p>
            <w:pPr>
              <w:spacing w:after="0"/>
              <w:rPr>
                <w:sz w:val="24"/>
                <w:szCs w:val="24"/>
                <w:color w:val="auto"/>
              </w:rPr>
            </w:pP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Tracy Liu</w:t>
            </w: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6"/>
        </w:trPr>
        <w:tc>
          <w:tcPr>
            <w:tcW w:w="2940" w:type="dxa"/>
            <w:vAlign w:val="bottom"/>
            <w:gridSpan w:val="2"/>
          </w:tcPr>
          <w:p>
            <w:pPr>
              <w:spacing w:after="0"/>
              <w:rPr>
                <w:sz w:val="20"/>
                <w:szCs w:val="20"/>
                <w:color w:val="auto"/>
              </w:rPr>
            </w:pPr>
            <w:r>
              <w:rPr>
                <w:rFonts w:ascii="Arial" w:cs="Arial" w:eastAsia="Arial" w:hAnsi="Arial"/>
                <w:sz w:val="13"/>
                <w:szCs w:val="13"/>
                <w:color w:val="auto"/>
              </w:rPr>
              <w:t>1606542025</w:t>
            </w:r>
            <w:r>
              <w:rPr>
                <w:rFonts w:ascii="Times New Roman" w:cs="Times New Roman" w:eastAsia="Times New Roman" w:hAnsi="Times New Roman"/>
                <w:sz w:val="16"/>
                <w:szCs w:val="16"/>
                <w:b w:val="1"/>
                <w:bCs w:val="1"/>
                <w:color w:val="auto"/>
              </w:rPr>
              <w:t>TracyLiu</w:t>
            </w:r>
            <w:r>
              <w:rPr>
                <w:rFonts w:ascii="Arial" w:cs="Arial" w:eastAsia="Arial" w:hAnsi="Arial"/>
                <w:sz w:val="13"/>
                <w:szCs w:val="13"/>
                <w:color w:val="auto"/>
              </w:rPr>
              <w:t>.2</w:t>
            </w:r>
          </w:p>
        </w:tc>
        <w:tc>
          <w:tcPr>
            <w:tcW w:w="8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bl>
    <w:p>
      <w:pPr>
        <w:sectPr>
          <w:pgSz w:w="11900" w:h="16838" w:orient="portrait"/>
          <w:cols w:equalWidth="0" w:num="1">
            <w:col w:w="11100"/>
          </w:cols>
          <w:pgMar w:left="340" w:top="960"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5"/>
          <w:szCs w:val="15"/>
          <w:b w:val="1"/>
          <w:bCs w:val="1"/>
          <w:color w:val="auto"/>
        </w:rPr>
        <w:t>EXHIBIT 107</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Calculation of Filing Fee Table Form S-8</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Type)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ACM Research,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Table 1-Newly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046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Proposed Maximum</w:t>
            </w:r>
          </w:p>
        </w:tc>
        <w:tc>
          <w:tcPr>
            <w:tcW w:w="144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Proposed</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9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200" w:type="dxa"/>
            <w:vAlign w:val="bottom"/>
          </w:tcPr>
          <w:p>
            <w:pPr>
              <w:spacing w:after="0"/>
              <w:rPr>
                <w:sz w:val="7"/>
                <w:szCs w:val="7"/>
                <w:color w:val="auto"/>
              </w:rPr>
            </w:pPr>
          </w:p>
        </w:tc>
        <w:tc>
          <w:tcPr>
            <w:tcW w:w="2080" w:type="dxa"/>
            <w:vAlign w:val="bottom"/>
            <w:gridSpan w:val="5"/>
            <w:vMerge w:val="restart"/>
          </w:tcPr>
          <w:p>
            <w:pPr>
              <w:jc w:val="center"/>
              <w:ind w:right="1500"/>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0" w:type="dxa"/>
            <w:vAlign w:val="bottom"/>
          </w:tcPr>
          <w:p>
            <w:pPr>
              <w:spacing w:after="0"/>
              <w:rPr>
                <w:sz w:val="1"/>
                <w:szCs w:val="1"/>
                <w:color w:val="auto"/>
              </w:rPr>
            </w:pPr>
          </w:p>
        </w:tc>
      </w:tr>
      <w:tr>
        <w:trPr>
          <w:trHeight w:val="88"/>
        </w:trPr>
        <w:tc>
          <w:tcPr>
            <w:tcW w:w="9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5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4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9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Fee Calculation</w:t>
            </w:r>
          </w:p>
        </w:tc>
        <w:tc>
          <w:tcPr>
            <w:tcW w:w="150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Amount Registered</w:t>
            </w:r>
          </w:p>
        </w:tc>
        <w:tc>
          <w:tcPr>
            <w:tcW w:w="1500" w:type="dxa"/>
            <w:vAlign w:val="bottom"/>
            <w:vMerge w:val="continue"/>
          </w:tcPr>
          <w:p>
            <w:pPr>
              <w:spacing w:after="0"/>
              <w:rPr>
                <w:sz w:val="4"/>
                <w:szCs w:val="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0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92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20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5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Price Per Share (2)</w:t>
            </w:r>
          </w:p>
        </w:tc>
        <w:tc>
          <w:tcPr>
            <w:tcW w:w="14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280"/>
              <w:spacing w:after="0" w:line="12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39"/>
        </w:trPr>
        <w:tc>
          <w:tcPr>
            <w:tcW w:w="920" w:type="dxa"/>
            <w:vAlign w:val="bottom"/>
            <w:vMerge w:val="continue"/>
          </w:tcPr>
          <w:p>
            <w:pPr>
              <w:spacing w:after="0"/>
              <w:rPr>
                <w:sz w:val="12"/>
                <w:szCs w:val="12"/>
                <w:color w:val="auto"/>
              </w:rPr>
            </w:pPr>
          </w:p>
        </w:tc>
        <w:tc>
          <w:tcPr>
            <w:tcW w:w="20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Security Class Title</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3"/>
                <w:szCs w:val="13"/>
                <w:b w:val="1"/>
                <w:bCs w:val="1"/>
                <w:color w:val="auto"/>
              </w:rPr>
              <w:t>Rule</w:t>
            </w:r>
          </w:p>
        </w:tc>
        <w:tc>
          <w:tcPr>
            <w:tcW w:w="1500" w:type="dxa"/>
            <w:vAlign w:val="bottom"/>
            <w:vMerge w:val="restart"/>
          </w:tcPr>
          <w:p>
            <w:pPr>
              <w:jc w:val="right"/>
              <w:ind w:right="1153"/>
              <w:spacing w:after="0"/>
              <w:rPr>
                <w:sz w:val="20"/>
                <w:szCs w:val="20"/>
                <w:color w:val="auto"/>
              </w:rPr>
            </w:pPr>
            <w:r>
              <w:rPr>
                <w:rFonts w:ascii="Times New Roman" w:cs="Times New Roman" w:eastAsia="Times New Roman" w:hAnsi="Times New Roman"/>
                <w:sz w:val="13"/>
                <w:szCs w:val="13"/>
                <w:b w:val="1"/>
                <w:bCs w:val="1"/>
                <w:color w:val="auto"/>
              </w:rPr>
              <w:t>(1)</w:t>
            </w:r>
          </w:p>
        </w:tc>
        <w:tc>
          <w:tcPr>
            <w:tcW w:w="1500" w:type="dxa"/>
            <w:vAlign w:val="bottom"/>
          </w:tcPr>
          <w:p>
            <w:pPr>
              <w:spacing w:after="0"/>
              <w:rPr>
                <w:sz w:val="12"/>
                <w:szCs w:val="12"/>
                <w:color w:val="auto"/>
              </w:rPr>
            </w:pPr>
          </w:p>
        </w:tc>
        <w:tc>
          <w:tcPr>
            <w:tcW w:w="14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Offering Price (2)</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Registration Fee</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20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9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shd w:val="clear" w:color="auto" w:fill="CCEDFF"/>
          </w:tcPr>
          <w:p>
            <w:pPr>
              <w:jc w:val="center"/>
              <w:ind w:left="13"/>
              <w:spacing w:after="0"/>
              <w:rPr>
                <w:sz w:val="20"/>
                <w:szCs w:val="20"/>
                <w:color w:val="auto"/>
              </w:rPr>
            </w:pPr>
            <w:r>
              <w:rPr>
                <w:rFonts w:ascii="Times New Roman" w:cs="Times New Roman" w:eastAsia="Times New Roman" w:hAnsi="Times New Roman"/>
                <w:sz w:val="13"/>
                <w:szCs w:val="13"/>
                <w:color w:val="auto"/>
              </w:rPr>
              <w:t>Equity</w:t>
            </w:r>
          </w:p>
        </w:tc>
        <w:tc>
          <w:tcPr>
            <w:tcW w:w="200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3"/>
                <w:szCs w:val="13"/>
                <w:color w:val="auto"/>
              </w:rPr>
              <w:t>Class A common stock,</w:t>
            </w:r>
          </w:p>
        </w:tc>
        <w:tc>
          <w:tcPr>
            <w:tcW w:w="1460" w:type="dxa"/>
            <w:vAlign w:val="bottom"/>
            <w:vMerge w:val="restart"/>
            <w:shd w:val="clear" w:color="auto" w:fill="CCEDFF"/>
          </w:tcPr>
          <w:p>
            <w:pPr>
              <w:ind w:left="40"/>
              <w:spacing w:after="0"/>
              <w:rPr>
                <w:sz w:val="20"/>
                <w:szCs w:val="20"/>
                <w:color w:val="auto"/>
              </w:rPr>
            </w:pPr>
            <w:r>
              <w:rPr>
                <w:rFonts w:ascii="Times New Roman" w:cs="Times New Roman" w:eastAsia="Times New Roman" w:hAnsi="Times New Roman"/>
                <w:sz w:val="13"/>
                <w:szCs w:val="13"/>
                <w:color w:val="auto"/>
              </w:rPr>
              <w:t>Rules 457(c) and 457(h)</w:t>
            </w:r>
          </w:p>
        </w:tc>
        <w:tc>
          <w:tcPr>
            <w:tcW w:w="1500" w:type="dxa"/>
            <w:vAlign w:val="bottom"/>
            <w:shd w:val="clear" w:color="auto" w:fill="CCEDFF"/>
          </w:tcPr>
          <w:p>
            <w:pPr>
              <w:spacing w:after="0"/>
              <w:rPr>
                <w:sz w:val="17"/>
                <w:szCs w:val="17"/>
                <w:color w:val="auto"/>
              </w:rPr>
            </w:pPr>
          </w:p>
        </w:tc>
        <w:tc>
          <w:tcPr>
            <w:tcW w:w="1500" w:type="dxa"/>
            <w:vAlign w:val="bottom"/>
            <w:shd w:val="clear" w:color="auto" w:fill="CCEDFF"/>
          </w:tcPr>
          <w:p>
            <w:pPr>
              <w:spacing w:after="0"/>
              <w:rPr>
                <w:sz w:val="17"/>
                <w:szCs w:val="17"/>
                <w:color w:val="auto"/>
              </w:rPr>
            </w:pPr>
          </w:p>
        </w:tc>
        <w:tc>
          <w:tcPr>
            <w:tcW w:w="144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580" w:type="dxa"/>
            <w:vAlign w:val="bottom"/>
            <w:shd w:val="clear" w:color="auto" w:fill="CCEDFF"/>
          </w:tcPr>
          <w:p>
            <w:pPr>
              <w:spacing w:after="0"/>
              <w:rPr>
                <w:sz w:val="17"/>
                <w:szCs w:val="17"/>
                <w:color w:val="auto"/>
              </w:rPr>
            </w:pPr>
          </w:p>
        </w:tc>
        <w:tc>
          <w:tcPr>
            <w:tcW w:w="200" w:type="dxa"/>
            <w:vAlign w:val="bottom"/>
            <w:shd w:val="clear" w:color="auto" w:fill="CCED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shd w:val="clear" w:color="auto" w:fill="CCEEFF"/>
              </w:rPr>
              <w:t>$24,638.65</w:t>
            </w: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920" w:type="dxa"/>
            <w:vAlign w:val="bottom"/>
            <w:vMerge w:val="continue"/>
            <w:shd w:val="clear" w:color="auto" w:fill="CCEDFF"/>
          </w:tcPr>
          <w:p>
            <w:pPr>
              <w:spacing w:after="0"/>
              <w:rPr>
                <w:sz w:val="5"/>
                <w:szCs w:val="5"/>
                <w:color w:val="auto"/>
              </w:rPr>
            </w:pPr>
          </w:p>
        </w:tc>
        <w:tc>
          <w:tcPr>
            <w:tcW w:w="2000" w:type="dxa"/>
            <w:vAlign w:val="bottom"/>
            <w:vMerge w:val="restart"/>
            <w:shd w:val="clear" w:color="auto" w:fill="CCEDFF"/>
          </w:tcPr>
          <w:p>
            <w:pPr>
              <w:ind w:left="180"/>
              <w:spacing w:after="0"/>
              <w:rPr>
                <w:sz w:val="20"/>
                <w:szCs w:val="20"/>
                <w:color w:val="auto"/>
              </w:rPr>
            </w:pPr>
            <w:r>
              <w:rPr>
                <w:rFonts w:ascii="Times New Roman" w:cs="Times New Roman" w:eastAsia="Times New Roman" w:hAnsi="Times New Roman"/>
                <w:sz w:val="13"/>
                <w:szCs w:val="13"/>
                <w:color w:val="auto"/>
              </w:rPr>
              <w:t>$0.0001 par value per share</w:t>
            </w:r>
          </w:p>
        </w:tc>
        <w:tc>
          <w:tcPr>
            <w:tcW w:w="1460" w:type="dxa"/>
            <w:vAlign w:val="bottom"/>
            <w:vMerge w:val="continue"/>
            <w:shd w:val="clear" w:color="auto" w:fill="CCEDFF"/>
          </w:tcPr>
          <w:p>
            <w:pPr>
              <w:spacing w:after="0"/>
              <w:rPr>
                <w:sz w:val="5"/>
                <w:szCs w:val="5"/>
                <w:color w:val="auto"/>
              </w:rPr>
            </w:pPr>
          </w:p>
        </w:tc>
        <w:tc>
          <w:tcPr>
            <w:tcW w:w="1500" w:type="dxa"/>
            <w:vAlign w:val="bottom"/>
            <w:vMerge w:val="restart"/>
            <w:shd w:val="clear" w:color="auto" w:fill="CCEDFF"/>
          </w:tcPr>
          <w:p>
            <w:pPr>
              <w:jc w:val="right"/>
              <w:ind w:right="553"/>
              <w:spacing w:after="0"/>
              <w:rPr>
                <w:sz w:val="20"/>
                <w:szCs w:val="20"/>
                <w:color w:val="auto"/>
              </w:rPr>
            </w:pPr>
            <w:r>
              <w:rPr>
                <w:rFonts w:ascii="Times New Roman" w:cs="Times New Roman" w:eastAsia="Times New Roman" w:hAnsi="Times New Roman"/>
                <w:sz w:val="13"/>
                <w:szCs w:val="13"/>
                <w:color w:val="auto"/>
              </w:rPr>
              <w:t>2,624,473</w:t>
            </w:r>
          </w:p>
        </w:tc>
        <w:tc>
          <w:tcPr>
            <w:tcW w:w="1500" w:type="dxa"/>
            <w:vAlign w:val="bottom"/>
            <w:vMerge w:val="restart"/>
            <w:shd w:val="clear" w:color="auto" w:fill="CCEDFF"/>
          </w:tcPr>
          <w:p>
            <w:pPr>
              <w:jc w:val="center"/>
              <w:spacing w:after="0"/>
              <w:rPr>
                <w:sz w:val="20"/>
                <w:szCs w:val="20"/>
                <w:color w:val="auto"/>
              </w:rPr>
            </w:pPr>
            <w:r>
              <w:rPr>
                <w:rFonts w:ascii="Times New Roman" w:cs="Times New Roman" w:eastAsia="Times New Roman" w:hAnsi="Times New Roman"/>
                <w:sz w:val="13"/>
                <w:szCs w:val="13"/>
                <w:color w:val="auto"/>
              </w:rPr>
              <w:t>$  67.98</w:t>
            </w:r>
          </w:p>
        </w:tc>
        <w:tc>
          <w:tcPr>
            <w:tcW w:w="1440" w:type="dxa"/>
            <w:vAlign w:val="bottom"/>
            <w:vMerge w:val="restart"/>
            <w:shd w:val="clear" w:color="auto" w:fill="CCEDFF"/>
          </w:tcPr>
          <w:p>
            <w:pPr>
              <w:ind w:left="20"/>
              <w:spacing w:after="0"/>
              <w:rPr>
                <w:sz w:val="20"/>
                <w:szCs w:val="20"/>
                <w:color w:val="auto"/>
              </w:rPr>
            </w:pPr>
            <w:r>
              <w:rPr>
                <w:rFonts w:ascii="Times New Roman" w:cs="Times New Roman" w:eastAsia="Times New Roman" w:hAnsi="Times New Roman"/>
                <w:sz w:val="13"/>
                <w:szCs w:val="13"/>
                <w:color w:val="auto"/>
              </w:rPr>
              <w:t>$ 178,411,674.54</w:t>
            </w:r>
          </w:p>
        </w:tc>
        <w:tc>
          <w:tcPr>
            <w:tcW w:w="200" w:type="dxa"/>
            <w:vAlign w:val="bottom"/>
            <w:shd w:val="clear" w:color="auto" w:fill="CCEDFF"/>
          </w:tcPr>
          <w:p>
            <w:pPr>
              <w:spacing w:after="0"/>
              <w:rPr>
                <w:sz w:val="5"/>
                <w:szCs w:val="5"/>
                <w:color w:val="auto"/>
              </w:rPr>
            </w:pPr>
          </w:p>
        </w:tc>
        <w:tc>
          <w:tcPr>
            <w:tcW w:w="580" w:type="dxa"/>
            <w:vAlign w:val="bottom"/>
            <w:shd w:val="clear" w:color="auto" w:fill="CCEDFF"/>
          </w:tcPr>
          <w:p>
            <w:pPr>
              <w:spacing w:after="0"/>
              <w:rPr>
                <w:sz w:val="5"/>
                <w:szCs w:val="5"/>
                <w:color w:val="auto"/>
              </w:rPr>
            </w:pPr>
          </w:p>
        </w:tc>
        <w:tc>
          <w:tcPr>
            <w:tcW w:w="200" w:type="dxa"/>
            <w:vAlign w:val="bottom"/>
            <w:shd w:val="clear" w:color="auto" w:fill="CCED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920" w:type="dxa"/>
            <w:vAlign w:val="bottom"/>
            <w:tcBorders>
              <w:bottom w:val="single" w:sz="8" w:color="CCEDFF"/>
            </w:tcBorders>
            <w:shd w:val="clear" w:color="auto" w:fill="CCEDFF"/>
          </w:tcPr>
          <w:p>
            <w:pPr>
              <w:spacing w:after="0"/>
              <w:rPr>
                <w:sz w:val="15"/>
                <w:szCs w:val="15"/>
                <w:color w:val="auto"/>
              </w:rPr>
            </w:pPr>
          </w:p>
        </w:tc>
        <w:tc>
          <w:tcPr>
            <w:tcW w:w="2000" w:type="dxa"/>
            <w:vAlign w:val="bottom"/>
            <w:tcBorders>
              <w:bottom w:val="single" w:sz="8" w:color="CCEDFF"/>
            </w:tcBorders>
            <w:vMerge w:val="continue"/>
            <w:shd w:val="clear" w:color="auto" w:fill="CCEDFF"/>
          </w:tcPr>
          <w:p>
            <w:pPr>
              <w:spacing w:after="0"/>
              <w:rPr>
                <w:sz w:val="15"/>
                <w:szCs w:val="15"/>
                <w:color w:val="auto"/>
              </w:rPr>
            </w:pPr>
          </w:p>
        </w:tc>
        <w:tc>
          <w:tcPr>
            <w:tcW w:w="1460" w:type="dxa"/>
            <w:vAlign w:val="bottom"/>
            <w:tcBorders>
              <w:bottom w:val="single" w:sz="8" w:color="CCEDFF"/>
            </w:tcBorders>
            <w:shd w:val="clear" w:color="auto" w:fill="CCEDFF"/>
          </w:tcPr>
          <w:p>
            <w:pPr>
              <w:spacing w:after="0"/>
              <w:rPr>
                <w:sz w:val="15"/>
                <w:szCs w:val="15"/>
                <w:color w:val="auto"/>
              </w:rPr>
            </w:pPr>
          </w:p>
        </w:tc>
        <w:tc>
          <w:tcPr>
            <w:tcW w:w="1500" w:type="dxa"/>
            <w:vAlign w:val="bottom"/>
            <w:tcBorders>
              <w:bottom w:val="single" w:sz="8" w:color="CCEDFF"/>
            </w:tcBorders>
            <w:vMerge w:val="continue"/>
            <w:shd w:val="clear" w:color="auto" w:fill="CCEDFF"/>
          </w:tcPr>
          <w:p>
            <w:pPr>
              <w:spacing w:after="0"/>
              <w:rPr>
                <w:sz w:val="15"/>
                <w:szCs w:val="15"/>
                <w:color w:val="auto"/>
              </w:rPr>
            </w:pPr>
          </w:p>
        </w:tc>
        <w:tc>
          <w:tcPr>
            <w:tcW w:w="1500" w:type="dxa"/>
            <w:vAlign w:val="bottom"/>
            <w:tcBorders>
              <w:bottom w:val="single" w:sz="8" w:color="CCEDFF"/>
            </w:tcBorders>
            <w:vMerge w:val="continue"/>
            <w:shd w:val="clear" w:color="auto" w:fill="CCEDFF"/>
          </w:tcPr>
          <w:p>
            <w:pPr>
              <w:spacing w:after="0"/>
              <w:rPr>
                <w:sz w:val="15"/>
                <w:szCs w:val="15"/>
                <w:color w:val="auto"/>
              </w:rPr>
            </w:pPr>
          </w:p>
        </w:tc>
        <w:tc>
          <w:tcPr>
            <w:tcW w:w="1440" w:type="dxa"/>
            <w:vAlign w:val="bottom"/>
            <w:tcBorders>
              <w:bottom w:val="single" w:sz="8" w:color="CCEDFF"/>
            </w:tcBorders>
            <w:vMerge w:val="continue"/>
            <w:shd w:val="clear" w:color="auto" w:fill="CCEDFF"/>
          </w:tcPr>
          <w:p>
            <w:pPr>
              <w:spacing w:after="0"/>
              <w:rPr>
                <w:sz w:val="15"/>
                <w:szCs w:val="15"/>
                <w:color w:val="auto"/>
              </w:rPr>
            </w:pPr>
          </w:p>
        </w:tc>
        <w:tc>
          <w:tcPr>
            <w:tcW w:w="200" w:type="dxa"/>
            <w:vAlign w:val="bottom"/>
            <w:tcBorders>
              <w:bottom w:val="single" w:sz="8" w:color="CCEDFF"/>
            </w:tcBorders>
            <w:shd w:val="clear" w:color="auto" w:fill="CCEDFF"/>
          </w:tcPr>
          <w:p>
            <w:pPr>
              <w:spacing w:after="0"/>
              <w:rPr>
                <w:sz w:val="15"/>
                <w:szCs w:val="15"/>
                <w:color w:val="auto"/>
              </w:rPr>
            </w:pPr>
          </w:p>
        </w:tc>
        <w:tc>
          <w:tcPr>
            <w:tcW w:w="580" w:type="dxa"/>
            <w:vAlign w:val="bottom"/>
            <w:tcBorders>
              <w:bottom w:val="single" w:sz="8" w:color="CCEDFF"/>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shd w:val="clear" w:color="auto" w:fill="CCEEFF"/>
              </w:rPr>
              <w:t>0.0001381</w:t>
            </w:r>
          </w:p>
        </w:tc>
        <w:tc>
          <w:tcPr>
            <w:tcW w:w="200" w:type="dxa"/>
            <w:vAlign w:val="bottom"/>
            <w:tcBorders>
              <w:bottom w:val="single" w:sz="8" w:color="CCEDFF"/>
            </w:tcBorders>
            <w:shd w:val="clear" w:color="auto" w:fill="CCED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460" w:type="dxa"/>
            <w:vAlign w:val="bottom"/>
            <w:gridSpan w:val="2"/>
          </w:tcPr>
          <w:p>
            <w:pPr>
              <w:ind w:left="1000"/>
              <w:spacing w:after="0"/>
              <w:rPr>
                <w:sz w:val="20"/>
                <w:szCs w:val="20"/>
                <w:color w:val="auto"/>
              </w:rPr>
            </w:pPr>
            <w:r>
              <w:rPr>
                <w:rFonts w:ascii="Times New Roman" w:cs="Times New Roman" w:eastAsia="Times New Roman" w:hAnsi="Times New Roman"/>
                <w:sz w:val="13"/>
                <w:szCs w:val="13"/>
                <w:b w:val="1"/>
                <w:bCs w:val="1"/>
                <w:color w:val="auto"/>
              </w:rPr>
              <w:t>Total Offering Amounts</w:t>
            </w: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$ 178,411,674.54</w:t>
            </w:r>
          </w:p>
        </w:tc>
        <w:tc>
          <w:tcPr>
            <w:tcW w:w="980" w:type="dxa"/>
            <w:vAlign w:val="bottom"/>
            <w:gridSpan w:val="3"/>
          </w:tcPr>
          <w:p>
            <w:pPr>
              <w:spacing w:after="0"/>
              <w:rPr>
                <w:sz w:val="14"/>
                <w:szCs w:val="14"/>
                <w:color w:val="auto"/>
              </w:rPr>
            </w:pPr>
          </w:p>
        </w:tc>
        <w:tc>
          <w:tcPr>
            <w:tcW w:w="7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w w:val="99"/>
              </w:rPr>
              <w:t>$24,638.65</w:t>
            </w: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920" w:type="dxa"/>
            <w:vAlign w:val="bottom"/>
          </w:tcPr>
          <w:p>
            <w:pPr>
              <w:spacing w:after="0"/>
              <w:rPr>
                <w:sz w:val="3"/>
                <w:szCs w:val="3"/>
                <w:color w:val="auto"/>
              </w:rPr>
            </w:pPr>
          </w:p>
        </w:tc>
        <w:tc>
          <w:tcPr>
            <w:tcW w:w="200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b w:val="1"/>
                <w:bCs w:val="1"/>
                <w:color w:val="auto"/>
              </w:rPr>
              <w:t>Total Fee Offsets</w:t>
            </w:r>
          </w:p>
        </w:tc>
        <w:tc>
          <w:tcPr>
            <w:tcW w:w="1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0</w:t>
            </w:r>
          </w:p>
        </w:tc>
        <w:tc>
          <w:tcPr>
            <w:tcW w:w="6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2000" w:type="dxa"/>
            <w:vAlign w:val="bottom"/>
          </w:tcPr>
          <w:p>
            <w:pPr>
              <w:ind w:left="1000"/>
              <w:spacing w:after="0"/>
              <w:rPr>
                <w:sz w:val="20"/>
                <w:szCs w:val="20"/>
                <w:color w:val="auto"/>
              </w:rPr>
            </w:pPr>
            <w:r>
              <w:rPr>
                <w:rFonts w:ascii="Times New Roman" w:cs="Times New Roman" w:eastAsia="Times New Roman" w:hAnsi="Times New Roman"/>
                <w:sz w:val="13"/>
                <w:szCs w:val="13"/>
                <w:b w:val="1"/>
                <w:bCs w:val="1"/>
                <w:color w:val="auto"/>
              </w:rPr>
              <w:t>Net Fee Due</w:t>
            </w: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w w:val="99"/>
              </w:rPr>
              <w:t>$24,638.65</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9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right="220" w:hanging="245"/>
        <w:spacing w:after="0" w:line="291" w:lineRule="auto"/>
        <w:tabs>
          <w:tab w:leader="none" w:pos="37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additional shares available for issuance under the registrant’s 2016 Omnibus Incentive Plan as the result of an annual increase effective as of January 1, 2026. In accordance with Rule 416 under the Securities Act of 1933, this registration statement shall be deemed to cover any additional securities that may from time to time be offered or issued to prevent dilution resulting from stock splits, stock dividends or similar transactions.</w:t>
      </w:r>
    </w:p>
    <w:p>
      <w:pPr>
        <w:spacing w:after="0" w:line="196" w:lineRule="exact"/>
        <w:rPr>
          <w:rFonts w:ascii="Times New Roman" w:cs="Times New Roman" w:eastAsia="Times New Roman" w:hAnsi="Times New Roman"/>
          <w:sz w:val="13"/>
          <w:szCs w:val="13"/>
          <w:color w:val="auto"/>
        </w:rPr>
      </w:pPr>
    </w:p>
    <w:p>
      <w:pPr>
        <w:ind w:left="380" w:right="520" w:hanging="245"/>
        <w:spacing w:after="0" w:line="320" w:lineRule="auto"/>
        <w:tabs>
          <w:tab w:leader="none" w:pos="37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pursuant to Rules 457(c) and (h) under the Securities Act of 1933 and based upon the average of the high and low prices of the registrant’s Class A common stock as reported on The NASDAQ Global Market on February 25, 2026.</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1606542025.2</w:t>
      </w:r>
    </w:p>
    <w:p>
      <w:pPr>
        <w:sectPr>
          <w:pgSz w:w="11900" w:h="16838" w:orient="portrait"/>
          <w:cols w:equalWidth="0" w:num="1">
            <w:col w:w="11240"/>
          </w:cols>
          <w:pgMar w:left="320" w:top="1128" w:right="339" w:bottom="1440" w:gutter="0" w:footer="0" w:header="0"/>
        </w:sectPr>
      </w:pPr>
    </w:p>
    <w:bookmarkStart w:id="4" w:name="page5"/>
    <w:bookmarkEnd w:id="4"/>
    <w:p>
      <w:pPr>
        <w:spacing w:after="0" w:line="1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3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5"/>
          <w:szCs w:val="15"/>
          <w:color w:val="auto"/>
        </w:rPr>
        <w:t>K&amp;L Gates LLP</w:t>
      </w:r>
    </w:p>
    <w:p>
      <w:pPr>
        <w:spacing w:after="0" w:line="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1 Park Plaza, Twelfth Floor</w:t>
      </w:r>
    </w:p>
    <w:p>
      <w:pPr>
        <w:spacing w:after="0" w:line="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5"/>
          <w:szCs w:val="15"/>
          <w:color w:val="auto"/>
        </w:rPr>
        <w:t>Irvine, California 92614</w:t>
      </w:r>
    </w:p>
    <w:p>
      <w:pPr>
        <w:spacing w:after="0" w:line="2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color w:val="auto"/>
        </w:rPr>
        <w:t>March 4, 2026</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ACM Research,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42307 Osgood Road, Suite I Fremont, California 94539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240" w:lineRule="exact"/>
        <w:rPr>
          <w:sz w:val="20"/>
          <w:szCs w:val="20"/>
          <w:color w:val="auto"/>
        </w:rPr>
      </w:pPr>
    </w:p>
    <w:p>
      <w:pPr>
        <w:jc w:val="both"/>
        <w:ind w:right="120" w:firstLine="253"/>
        <w:spacing w:after="0" w:line="279" w:lineRule="auto"/>
        <w:rPr>
          <w:sz w:val="20"/>
          <w:szCs w:val="20"/>
          <w:color w:val="auto"/>
        </w:rPr>
      </w:pPr>
      <w:r>
        <w:rPr>
          <w:rFonts w:ascii="Times New Roman" w:cs="Times New Roman" w:eastAsia="Times New Roman" w:hAnsi="Times New Roman"/>
          <w:sz w:val="15"/>
          <w:szCs w:val="15"/>
          <w:color w:val="auto"/>
        </w:rPr>
        <w:t>We have acted as counsel to ACM Research, Inc., a Delaware corporation (the “</w:t>
      </w: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in connection with the preparation of the Registration Statement on Form S-8 (the “</w:t>
      </w:r>
      <w:r>
        <w:rPr>
          <w:rFonts w:ascii="Times New Roman" w:cs="Times New Roman" w:eastAsia="Times New Roman" w:hAnsi="Times New Roman"/>
          <w:sz w:val="15"/>
          <w:szCs w:val="15"/>
          <w:i w:val="1"/>
          <w:iCs w:val="1"/>
          <w:color w:val="auto"/>
        </w:rPr>
        <w:t>Registration Statement</w:t>
      </w:r>
      <w:r>
        <w:rPr>
          <w:rFonts w:ascii="Times New Roman" w:cs="Times New Roman" w:eastAsia="Times New Roman" w:hAnsi="Times New Roman"/>
          <w:sz w:val="15"/>
          <w:szCs w:val="15"/>
          <w:color w:val="auto"/>
        </w:rPr>
        <w:t>”) to be filed by the Company with the Securities and Exchange Commission for the registration under the Securities Act of 1933, as amended (the “</w:t>
      </w:r>
      <w:r>
        <w:rPr>
          <w:rFonts w:ascii="Times New Roman" w:cs="Times New Roman" w:eastAsia="Times New Roman" w:hAnsi="Times New Roman"/>
          <w:sz w:val="15"/>
          <w:szCs w:val="15"/>
          <w:i w:val="1"/>
          <w:iCs w:val="1"/>
          <w:color w:val="auto"/>
        </w:rPr>
        <w:t>Securities Act</w:t>
      </w:r>
      <w:r>
        <w:rPr>
          <w:rFonts w:ascii="Times New Roman" w:cs="Times New Roman" w:eastAsia="Times New Roman" w:hAnsi="Times New Roman"/>
          <w:sz w:val="15"/>
          <w:szCs w:val="15"/>
          <w:color w:val="auto"/>
        </w:rPr>
        <w:t>”), of 2,624,473 shares (the “</w:t>
      </w:r>
      <w:r>
        <w:rPr>
          <w:rFonts w:ascii="Times New Roman" w:cs="Times New Roman" w:eastAsia="Times New Roman" w:hAnsi="Times New Roman"/>
          <w:sz w:val="15"/>
          <w:szCs w:val="15"/>
          <w:i w:val="1"/>
          <w:iCs w:val="1"/>
          <w:color w:val="auto"/>
        </w:rPr>
        <w:t>Shares</w:t>
      </w:r>
      <w:r>
        <w:rPr>
          <w:rFonts w:ascii="Times New Roman" w:cs="Times New Roman" w:eastAsia="Times New Roman" w:hAnsi="Times New Roman"/>
          <w:sz w:val="15"/>
          <w:szCs w:val="15"/>
          <w:color w:val="auto"/>
        </w:rPr>
        <w:t>”) of the Company’s Class A common stock, $0.0001 par value per share, which are to be issued from time to time in connection with the Company’s 2016 Omnibus Incentive Plan (the “</w:t>
      </w:r>
      <w:r>
        <w:rPr>
          <w:rFonts w:ascii="Times New Roman" w:cs="Times New Roman" w:eastAsia="Times New Roman" w:hAnsi="Times New Roman"/>
          <w:sz w:val="15"/>
          <w:szCs w:val="15"/>
          <w:i w:val="1"/>
          <w:iCs w:val="1"/>
          <w:color w:val="auto"/>
        </w:rPr>
        <w:t>Plan</w:t>
      </w:r>
      <w:r>
        <w:rPr>
          <w:rFonts w:ascii="Times New Roman" w:cs="Times New Roman" w:eastAsia="Times New Roman" w:hAnsi="Times New Roman"/>
          <w:sz w:val="15"/>
          <w:szCs w:val="15"/>
          <w:color w:val="auto"/>
        </w:rPr>
        <w:t>”).</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This opinion is being delivered in accordance with the requirements of Item 601(b)(5) of Regulation S-K under the Securities Act.</w:t>
      </w:r>
    </w:p>
    <w:p>
      <w:pPr>
        <w:spacing w:after="0" w:line="254" w:lineRule="exact"/>
        <w:rPr>
          <w:sz w:val="20"/>
          <w:szCs w:val="20"/>
          <w:color w:val="auto"/>
        </w:rPr>
      </w:pPr>
    </w:p>
    <w:p>
      <w:pPr>
        <w:jc w:val="both"/>
        <w:ind w:right="120" w:firstLine="253"/>
        <w:spacing w:after="0" w:line="278" w:lineRule="auto"/>
        <w:rPr>
          <w:sz w:val="20"/>
          <w:szCs w:val="20"/>
          <w:color w:val="auto"/>
        </w:rPr>
      </w:pPr>
      <w:r>
        <w:rPr>
          <w:rFonts w:ascii="Times New Roman" w:cs="Times New Roman" w:eastAsia="Times New Roman" w:hAnsi="Times New Roman"/>
          <w:sz w:val="15"/>
          <w:szCs w:val="15"/>
          <w:color w:val="auto"/>
        </w:rPr>
        <w:t>You have requested our opinion as to the matters set forth below in connection with the Registration Statement. For purposes of rendering that opinion, we have examined copies of the Plan, the Registration Statement, the Company’s Restated Certificate of Incorporation (as amended to date) and Restated Bylaws, and the corporate actions of the Company that provide for the issuance of the Shares, and we have made such other investigation as we have deemed appropriate. We also have examined and relied upon certificates of public officials and, in rendering our opinion, we have made the assumptions that are customary in opinion letters of this kind. We have not verified any of those assumptions.</w:t>
      </w:r>
    </w:p>
    <w:p>
      <w:pPr>
        <w:spacing w:after="0" w:line="205" w:lineRule="exact"/>
        <w:rPr>
          <w:sz w:val="20"/>
          <w:szCs w:val="20"/>
          <w:color w:val="auto"/>
        </w:rPr>
      </w:pPr>
    </w:p>
    <w:p>
      <w:pPr>
        <w:jc w:val="both"/>
        <w:ind w:right="140" w:firstLine="253"/>
        <w:spacing w:after="0" w:line="294" w:lineRule="auto"/>
        <w:rPr>
          <w:sz w:val="20"/>
          <w:szCs w:val="20"/>
          <w:color w:val="auto"/>
        </w:rPr>
      </w:pPr>
      <w:r>
        <w:rPr>
          <w:rFonts w:ascii="Times New Roman" w:cs="Times New Roman" w:eastAsia="Times New Roman" w:hAnsi="Times New Roman"/>
          <w:sz w:val="15"/>
          <w:szCs w:val="15"/>
          <w:color w:val="auto"/>
        </w:rPr>
        <w:t>Based upon and subject to the foregoing and the additional qualifications and other matters set forth below, we are of the opinion that the Shares have been duly and validly authorized and reserved for issuance and that the Shares, when issued in accordance with the terms of the Plan, will be validly issued, fully paid and nonassessable.</w:t>
      </w:r>
    </w:p>
    <w:p>
      <w:pPr>
        <w:spacing w:after="0" w:line="192" w:lineRule="exact"/>
        <w:rPr>
          <w:sz w:val="20"/>
          <w:szCs w:val="20"/>
          <w:color w:val="auto"/>
        </w:rPr>
      </w:pPr>
    </w:p>
    <w:p>
      <w:pPr>
        <w:jc w:val="both"/>
        <w:ind w:right="140" w:firstLine="253"/>
        <w:spacing w:after="0" w:line="312" w:lineRule="auto"/>
        <w:rPr>
          <w:sz w:val="20"/>
          <w:szCs w:val="20"/>
          <w:color w:val="auto"/>
        </w:rPr>
      </w:pPr>
      <w:r>
        <w:rPr>
          <w:rFonts w:ascii="Times New Roman" w:cs="Times New Roman" w:eastAsia="Times New Roman" w:hAnsi="Times New Roman"/>
          <w:sz w:val="15"/>
          <w:szCs w:val="15"/>
          <w:color w:val="auto"/>
        </w:rPr>
        <w:t>The opinion expressed in this opinion letter is limited to the laws of the State of Delaware. The foregoing opinion is rendered as of the date of this letter. We assume no obligation to update or supplement such opinion in order to reflect any changes of law or fact that may occur.</w:t>
      </w:r>
    </w:p>
    <w:p>
      <w:pPr>
        <w:spacing w:after="0" w:line="167" w:lineRule="exact"/>
        <w:rPr>
          <w:sz w:val="20"/>
          <w:szCs w:val="20"/>
          <w:color w:val="auto"/>
        </w:rPr>
      </w:pPr>
    </w:p>
    <w:p>
      <w:pPr>
        <w:jc w:val="both"/>
        <w:ind w:right="140" w:firstLine="253"/>
        <w:spacing w:after="0" w:line="284" w:lineRule="auto"/>
        <w:rPr>
          <w:sz w:val="20"/>
          <w:szCs w:val="20"/>
          <w:color w:val="auto"/>
        </w:rPr>
      </w:pPr>
      <w:r>
        <w:rPr>
          <w:rFonts w:ascii="Times New Roman" w:cs="Times New Roman" w:eastAsia="Times New Roman" w:hAnsi="Times New Roman"/>
          <w:sz w:val="15"/>
          <w:szCs w:val="15"/>
          <w:color w:val="auto"/>
        </w:rPr>
        <w:t>We are furnishing this opinion letter to you solely in connection with the Registration Statement. You may not rely on this opinion letter in any other connection, and it may not be furnished to or relied upon by any other person for any purpose, without our specific prior written consent. We hereby consent to the filing of this opinion as Exhibit 5.1 to the Registration Statement. In giving our consent we do not thereby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color w:val="auto"/>
        </w:rPr>
        <w:t>Yours truly,</w:t>
      </w:r>
    </w:p>
    <w:p>
      <w:pPr>
        <w:spacing w:after="0" w:line="2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color w:val="auto"/>
        </w:rPr>
        <w:t>/s/ K&amp;L Gates LLP</w:t>
      </w:r>
    </w:p>
    <w:p>
      <w:pPr>
        <w:spacing w:after="0" w:line="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color w:val="auto"/>
        </w:rPr>
        <w:t>K&amp;L Gates LLP</w:t>
      </w:r>
    </w:p>
    <w:p>
      <w:pPr>
        <w:sectPr>
          <w:pgSz w:w="11900" w:h="16838" w:orient="portrait"/>
          <w:cols w:equalWidth="0" w:num="1">
            <w:col w:w="11100"/>
          </w:cols>
          <w:pgMar w:left="460" w:top="1440" w:right="339" w:bottom="1440" w:gutter="0" w:footer="0" w:header="0"/>
        </w:sectPr>
      </w:pPr>
    </w:p>
    <w:bookmarkStart w:id="5" w:name="page6"/>
    <w:bookmarkEnd w:id="5"/>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60" w:lineRule="exact"/>
        <w:rPr>
          <w:sz w:val="20"/>
          <w:szCs w:val="20"/>
          <w:color w:val="auto"/>
        </w:rPr>
      </w:pPr>
    </w:p>
    <w:p>
      <w:pPr>
        <w:jc w:val="both"/>
        <w:ind w:left="140" w:right="80"/>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2016 Omnibus Incentive Plan of ACM Research, Inc. of our reports dated March 2, 2026, with respect to the consolidated financial statements of ACM Research, Inc. and the effectiveness of internal control over financial reporting of ACM Research, Inc., included in its Annual Report (Form 10-K) for the year ended December 31, 2025, filed with the Securities and Exchange Commission.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Hua Ming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the People’s Republic of China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4, 2026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w:t>
      </w:r>
    </w:p>
    <w:p>
      <w:pPr>
        <w:sectPr>
          <w:pgSz w:w="11900" w:h="16838" w:orient="portrait"/>
          <w:cols w:equalWidth="0" w:num="1">
            <w:col w:w="11120"/>
          </w:cols>
          <w:pgMar w:left="320" w:top="144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311"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as of March 4, 2026.</w:t>
      </w:r>
    </w:p>
    <w:p>
      <w:pPr>
        <w:spacing w:after="0" w:line="1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16510</wp:posOffset>
            </wp:positionV>
            <wp:extent cx="2622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622550" cy="8255"/>
                    </a:xfrm>
                    <a:prstGeom prst="rect">
                      <a:avLst/>
                    </a:prstGeom>
                    <a:noFill/>
                  </pic:spPr>
                </pic:pic>
              </a:graphicData>
            </a:graphic>
          </wp:anchor>
        </w:drawing>
      </w:r>
    </w:p>
    <w:p>
      <w:pPr>
        <w:spacing w:after="0" w:line="1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/s/ Mark A. McKechnie</w:t>
      </w:r>
    </w:p>
    <w:p>
      <w:pPr>
        <w:spacing w:after="0" w:line="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Mark A. McKechnie</w:t>
      </w:r>
    </w:p>
    <w:p>
      <w:pPr>
        <w:ind w:left="4140"/>
        <w:spacing w:after="0" w:line="187" w:lineRule="auto"/>
        <w:rPr>
          <w:sz w:val="20"/>
          <w:szCs w:val="20"/>
          <w:color w:val="auto"/>
        </w:rPr>
      </w:pPr>
      <w:r>
        <w:rPr>
          <w:rFonts w:ascii="Times New Roman" w:cs="Times New Roman" w:eastAsia="Times New Roman" w:hAnsi="Times New Roman"/>
          <w:sz w:val="14"/>
          <w:szCs w:val="14"/>
          <w:color w:val="auto"/>
        </w:rPr>
        <w:t>Chief Financial Officer, Executive Vice President and</w:t>
      </w:r>
    </w:p>
    <w:p>
      <w:pPr>
        <w:ind w:left="4140"/>
        <w:spacing w:after="0"/>
        <w:rPr>
          <w:sz w:val="20"/>
          <w:szCs w:val="20"/>
          <w:color w:val="auto"/>
        </w:rPr>
      </w:pPr>
      <w:r>
        <w:rPr>
          <w:rFonts w:ascii="Times New Roman" w:cs="Times New Roman" w:eastAsia="Times New Roman" w:hAnsi="Times New Roman"/>
          <w:sz w:val="17"/>
          <w:szCs w:val="17"/>
          <w:color w:val="auto"/>
        </w:rPr>
        <w:t>Treasurer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POWER </w:t>
      </w:r>
      <w:r>
        <w:rPr>
          <w:rFonts w:ascii="Times New Roman" w:cs="Times New Roman" w:eastAsia="Times New Roman" w:hAnsi="Times New Roman"/>
          <w:sz w:val="16"/>
          <w:szCs w:val="16"/>
          <w:b w:val="1"/>
          <w:bCs w:val="1"/>
          <w:color w:val="auto"/>
        </w:rPr>
        <w:t>OF ATTORNEY AND SIGNATURES</w:t>
      </w:r>
    </w:p>
    <w:p>
      <w:pPr>
        <w:spacing w:after="0" w:line="3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David H. Wang and Mark A. McKechnie, or any of them, as his or her true and lawful attorneys-in-fact and agents, with full power of substitution and resubstitution, for him or her and in his or her name, place and stead, in any and all capacities, to file and sign any and all amendments, including post-effective amendments and any registration statement for the same offering that is to be effective under Rule 462(b) of the Securities Act of 1933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20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below by the following persons on behalf of the registrant in the capacities and on the dates indicated.</w:t>
      </w:r>
    </w:p>
    <w:p>
      <w:pPr>
        <w:sectPr>
          <w:pgSz w:w="11900" w:h="16838" w:orient="portrait"/>
          <w:cols w:equalWidth="0" w:num="1">
            <w:col w:w="10980"/>
          </w:cols>
          <w:pgMar w:left="460" w:top="1010" w:right="459" w:bottom="1440" w:gutter="0" w:footer="0" w:header="0"/>
        </w:sectPr>
      </w:pP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111760</wp:posOffset>
            </wp:positionV>
            <wp:extent cx="178562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178562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David H. Wang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178562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Mark A. McKechnie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178562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Haiping Dun</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Charlie Pappis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178562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Charlie Pappis</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178562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85620" cy="15875"/>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Tracy Liu</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Data</w:t>
            </w:r>
          </w:p>
        </w:tc>
      </w:tr>
      <w:tr>
        <w:trPr>
          <w:trHeight w:val="156"/>
        </w:trPr>
        <w:tc>
          <w:tcPr>
            <w:tcW w:w="48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r>
      <w:tr>
        <w:trPr>
          <w:trHeight w:val="85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2720" w:type="dxa"/>
            <w:vAlign w:val="bottom"/>
          </w:tcPr>
          <w:p>
            <w:pPr>
              <w:spacing w:after="0"/>
              <w:rPr>
                <w:sz w:val="24"/>
                <w:szCs w:val="24"/>
                <w:color w:val="auto"/>
              </w:rPr>
            </w:pPr>
          </w:p>
        </w:tc>
      </w:tr>
      <w:tr>
        <w:trPr>
          <w:trHeight w:val="326"/>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r>
        <w:trPr>
          <w:trHeight w:val="1017"/>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Executive Vice President and Treasurer</w:t>
            </w:r>
          </w:p>
        </w:tc>
        <w:tc>
          <w:tcPr>
            <w:tcW w:w="2720" w:type="dxa"/>
            <w:vAlign w:val="bottom"/>
          </w:tcPr>
          <w:p>
            <w:pPr>
              <w:spacing w:after="0"/>
              <w:rPr>
                <w:sz w:val="24"/>
                <w:szCs w:val="24"/>
                <w:color w:val="auto"/>
              </w:rPr>
            </w:pPr>
          </w:p>
        </w:tc>
      </w:tr>
      <w:tr>
        <w:trPr>
          <w:trHeight w:val="326"/>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r>
        <w:trPr>
          <w:trHeight w:val="10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r>
        <w:trPr>
          <w:trHeight w:val="10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r>
        <w:trPr>
          <w:trHeight w:val="10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72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March 4, 2026</w:t>
            </w:r>
          </w:p>
        </w:tc>
      </w:tr>
    </w:tbl>
    <w:p>
      <w:pPr>
        <w:spacing w:after="0" w:line="1" w:lineRule="exact"/>
        <w:rPr>
          <w:sz w:val="20"/>
          <w:szCs w:val="20"/>
          <w:color w:val="auto"/>
        </w:rPr>
      </w:pPr>
    </w:p>
    <w:sectPr>
      <w:pgSz w:w="11900" w:h="16838" w:orient="portrait"/>
      <w:cols w:equalWidth="0" w:num="2">
        <w:col w:w="2180" w:space="720"/>
        <w:col w:w="8080"/>
      </w:cols>
      <w:pgMar w:left="460" w:top="101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jpe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jpe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5" Type="http://schemas.openxmlformats.org/officeDocument/2006/relationships/hyperlink" Target="https://www.sec.gov/Archives/edgar/data/1680062/000119312517342650/d407541dex301.htm" TargetMode="External"/><Relationship Id="rId16" Type="http://schemas.openxmlformats.org/officeDocument/2006/relationships/hyperlink" Target="https://www.sec.gov/Archives/edgar/data/1680062/000114036121024240/brhc10026736_ex3-01.htm" TargetMode="External"/><Relationship Id="rId17" Type="http://schemas.openxmlformats.org/officeDocument/2006/relationships/hyperlink" Target="https://www.sec.gov/Archives/edgar/data/1680062/000119312517342650/d407541dex302.htm" TargetMode="External"/><Relationship Id="rId18" Type="http://schemas.openxmlformats.org/officeDocument/2006/relationships/hyperlink" Target="https://www.sec.gov/Archives/edgar/data/1680062/000119312517364926/d481028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2026-03-04T10:54:02Z</dcterms:created>
  <dcterms:modified xsi:type="dcterms:W3CDTF">2026-03-04T10:54:02Z</dcterms:modified>
</cp:coreProperties>
</file>