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42784x1_def14a_100-regcov_pg1"/>
        <w:bookmarkStart w:id="1" w:name="ny20042784x1_def14a.htm"/>
        <w:bookmarkStart w:id="2" w:name="ksny20042784x1_def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Arial;Helvetica;sans-serif" w:hAnsi="Arial;Helvetica;sans-serif"/>
          <w:b/>
          <w:color w:val="000000"/>
          <w:sz w:val="28"/>
        </w:rPr>
      </w:pPr>
      <w:r>
        <w:rPr>
          <w:rFonts w:ascii="Arial;Helvetica;sans-serif" w:hAnsi="Arial;Helvetica;sans-serif"/>
          <w:b/>
          <w:color w:val="000000"/>
          <w:sz w:val="28"/>
        </w:rPr>
        <w:t xml:space="preserve">UNITED STATES SECURITIES AND EXCHANGE COMMISSION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Washington, D.C. 20549 </w:t>
      </w:r>
    </w:p>
    <w:p>
      <w:pPr>
        <w:pStyle w:val="TextBody"/>
        <w:bidi w:val="0"/>
        <w:spacing w:before="210" w:after="283"/>
        <w:jc w:val="center"/>
        <w:rPr>
          <w:rFonts w:ascii="Arial;Helvetica;sans-serif" w:hAnsi="Arial;Helvetica;sans-serif"/>
          <w:b/>
          <w:color w:val="000000"/>
          <w:sz w:val="32"/>
        </w:rPr>
      </w:pPr>
      <w:r>
        <w:rPr>
          <w:rFonts w:ascii="Arial;Helvetica;sans-serif" w:hAnsi="Arial;Helvetica;sans-serif"/>
          <w:b/>
          <w:color w:val="000000"/>
          <w:sz w:val="32"/>
        </w:rPr>
        <w:t xml:space="preserve">SCHEDULE 14A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Proxy Statement Pursuant to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Section 14(a) of the Securities Exchange Act of 1934 </w:t>
      </w:r>
    </w:p>
    <w:tbl>
      <w:tblPr>
        <w:tblW w:w="6575" w:type="dxa"/>
        <w:jc w:val="left"/>
        <w:tblInd w:w="0" w:type="dxa"/>
        <w:tblLayout w:type="fixed"/>
        <w:tblCellMar>
          <w:top w:w="0" w:type="dxa"/>
          <w:left w:w="0" w:type="dxa"/>
          <w:bottom w:w="0" w:type="dxa"/>
          <w:right w:w="0" w:type="dxa"/>
        </w:tblCellMar>
      </w:tblPr>
      <w:tblGrid>
        <w:gridCol w:w="2270"/>
        <w:gridCol w:w="170"/>
        <w:gridCol w:w="170"/>
        <w:gridCol w:w="3965"/>
      </w:tblGrid>
      <w:tr>
        <w:trPr/>
        <w:tc>
          <w:tcPr>
            <w:tcW w:w="22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65" w:type="dxa"/>
            <w:tcBorders/>
            <w:vAlign w:val="center"/>
          </w:tcPr>
          <w:p>
            <w:pPr>
              <w:pStyle w:val="TableContents"/>
              <w:bidi w:val="0"/>
              <w:spacing w:before="0" w:after="0"/>
              <w:jc w:val="left"/>
              <w:rPr/>
            </w:pPr>
            <w:r>
              <w:rPr/>
              <w:t> </w:t>
            </w:r>
          </w:p>
        </w:tc>
      </w:tr>
      <w:tr>
        <w:trPr/>
        <w:tc>
          <w:tcPr>
            <w:tcW w:w="227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Filed by the Registrant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65" w:type="dxa"/>
            <w:tcBorders/>
            <w:vAlign w:val="center"/>
          </w:tcPr>
          <w:p>
            <w:pPr>
              <w:pStyle w:val="TableContents"/>
              <w:bidi w:val="0"/>
              <w:spacing w:before="0" w:after="283"/>
              <w:jc w:val="right"/>
              <w:rPr>
                <w:rFonts w:ascii="Arial;Helvetica;sans-serif" w:hAnsi="Arial;Helvetica;sans-serif"/>
                <w:color w:val="000000"/>
                <w:sz w:val="20"/>
              </w:rPr>
            </w:pPr>
            <w:r>
              <w:rPr>
                <w:rFonts w:ascii="Arial;Helvetica;sans-serif" w:hAnsi="Arial;Helvetica;sans-serif"/>
                <w:color w:val="000000"/>
                <w:sz w:val="20"/>
              </w:rPr>
              <w:t>Filed by a Party other than the Registrant  ☐</w:t>
            </w:r>
          </w:p>
        </w:tc>
      </w:tr>
      <w:tr>
        <w:trPr/>
        <w:tc>
          <w:tcPr>
            <w:tcW w:w="22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65"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Check the appropriate box: </w:t>
      </w:r>
    </w:p>
    <w:tbl>
      <w:tblPr>
        <w:tblW w:w="8135" w:type="dxa"/>
        <w:jc w:val="left"/>
        <w:tblInd w:w="0" w:type="dxa"/>
        <w:tblLayout w:type="fixed"/>
        <w:tblCellMar>
          <w:top w:w="0" w:type="dxa"/>
          <w:left w:w="0" w:type="dxa"/>
          <w:bottom w:w="0" w:type="dxa"/>
          <w:right w:w="0" w:type="dxa"/>
        </w:tblCellMar>
      </w:tblPr>
      <w:tblGrid>
        <w:gridCol w:w="320"/>
        <w:gridCol w:w="170"/>
        <w:gridCol w:w="170"/>
        <w:gridCol w:w="7475"/>
      </w:tblGrid>
      <w:tr>
        <w:trPr/>
        <w:tc>
          <w:tcPr>
            <w:tcW w:w="3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75"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7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Preliminary Proxy Statement </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75" w:type="dxa"/>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Confidential, for Use of the Commission Only (as permitted by Rule 14a-6(e)(2)) </w:t>
            </w:r>
          </w:p>
        </w:tc>
      </w:tr>
      <w:tr>
        <w:trPr/>
        <w:tc>
          <w:tcPr>
            <w:tcW w:w="32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7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Definitive Proxy Statement </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7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Definitive Additional Materials </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7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Soliciting Material Pursuant to §240.14a-12</w:t>
            </w:r>
          </w:p>
        </w:tc>
      </w:tr>
      <w:tr>
        <w:trPr/>
        <w:tc>
          <w:tcPr>
            <w:tcW w:w="3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75" w:type="dxa"/>
            <w:tcBorders/>
            <w:vAlign w:val="center"/>
          </w:tcPr>
          <w:p>
            <w:pPr>
              <w:pStyle w:val="TableContents"/>
              <w:bidi w:val="0"/>
              <w:spacing w:before="0" w:after="0"/>
              <w:jc w:val="left"/>
              <w:rPr/>
            </w:pPr>
            <w:r>
              <w:rPr/>
              <w:t> </w:t>
            </w:r>
          </w:p>
        </w:tc>
      </w:tr>
    </w:tbl>
    <w:p>
      <w:pPr>
        <w:pStyle w:val="TextBody"/>
        <w:bidi w:val="0"/>
        <w:spacing w:before="265" w:after="283"/>
        <w:jc w:val="center"/>
        <w:rPr>
          <w:color w:val="000000"/>
        </w:rPr>
      </w:pPr>
      <w:r>
        <w:rPr>
          <w:color w:val="000000"/>
        </w:rPr>
        <w:drawing>
          <wp:inline distT="0" distB="0" distL="0" distR="0">
            <wp:extent cx="1123950" cy="704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23950" cy="7048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50" w:after="283"/>
        <w:jc w:val="center"/>
        <w:rPr>
          <w:rFonts w:ascii="Arial;Helvetica;sans-serif" w:hAnsi="Arial;Helvetica;sans-serif"/>
          <w:b/>
          <w:color w:val="000000"/>
          <w:sz w:val="20"/>
        </w:rPr>
      </w:pPr>
      <w:r>
        <w:rPr>
          <w:rFonts w:ascii="Arial;Helvetica;sans-serif" w:hAnsi="Arial;Helvetica;sans-serif"/>
          <w:b/>
          <w:color w:val="000000"/>
          <w:sz w:val="20"/>
        </w:rPr>
        <w:t xml:space="preserve">ACM Research, Inc.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val="false"/>
          <w:i/>
          <w:color w:val="000000"/>
          <w:sz w:val="20"/>
        </w:rPr>
        <w:t>(Name of Registrant as Specified In Its Charter)</w:t>
      </w:r>
      <w:r>
        <w:rPr>
          <w:rFonts w:ascii="Arial;Helvetica;sans-serif" w:hAnsi="Arial;Helvetica;sans-serif"/>
          <w:b/>
          <w:color w:val="000000"/>
          <w:sz w:val="20"/>
        </w:rPr>
        <w:t xml:space="preserve"> </w:t>
      </w:r>
    </w:p>
    <w:p>
      <w:pPr>
        <w:pStyle w:val="TextBody"/>
        <w:bidi w:val="0"/>
        <w:spacing w:before="13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Payment of Filing Fee (Check the appropriate box): </w:t>
      </w:r>
    </w:p>
    <w:tbl>
      <w:tblPr>
        <w:tblW w:w="9530" w:type="dxa"/>
        <w:jc w:val="left"/>
        <w:tblInd w:w="0" w:type="dxa"/>
        <w:tblLayout w:type="fixed"/>
        <w:tblCellMar>
          <w:top w:w="0" w:type="dxa"/>
          <w:left w:w="0" w:type="dxa"/>
          <w:bottom w:w="0" w:type="dxa"/>
          <w:right w:w="0" w:type="dxa"/>
        </w:tblCellMar>
      </w:tblPr>
      <w:tblGrid>
        <w:gridCol w:w="320"/>
        <w:gridCol w:w="170"/>
        <w:gridCol w:w="170"/>
        <w:gridCol w:w="8870"/>
      </w:tblGrid>
      <w:tr>
        <w:trPr/>
        <w:tc>
          <w:tcPr>
            <w:tcW w:w="3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7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7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No fee required. </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7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Fee paid previously with preliminary materials.</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7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Fee computed on table in exhibit required by Item 25(b) per Exchange Act Rules 14a-6(i)(1) and 0-11.</w:t>
            </w:r>
          </w:p>
        </w:tc>
      </w:tr>
      <w:tr>
        <w:trPr/>
        <w:tc>
          <w:tcPr>
            <w:tcW w:w="3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7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 w:name="ny20042784x1_def14a_101-cov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center"/>
        <w:rPr>
          <w:color w:val="000000"/>
        </w:rPr>
      </w:pPr>
      <w:r>
        <w:rPr>
          <w:color w:val="000000"/>
        </w:rPr>
        <w:drawing>
          <wp:inline distT="0" distB="0" distL="0" distR="0">
            <wp:extent cx="1409700" cy="876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09700" cy="876300"/>
                    </a:xfrm>
                    <a:prstGeom prst="rect">
                      <a:avLst/>
                    </a:prstGeom>
                  </pic:spPr>
                </pic:pic>
              </a:graphicData>
            </a:graphic>
          </wp:inline>
        </w:drawing>
      </w:r>
    </w:p>
    <w:p>
      <w:pPr>
        <w:pStyle w:val="TextBody"/>
        <w:bidi w:val="0"/>
        <w:spacing w:before="0" w:after="0"/>
        <w:ind w:left="0" w:right="0" w:hanging="0"/>
        <w:jc w:val="center"/>
        <w:rPr>
          <w:rFonts w:ascii="Arial;Helvetica;sans-serif" w:hAnsi="Arial;Helvetica;sans-serif"/>
          <w:color w:val="FFFFFF"/>
          <w:sz w:val="64"/>
          <w:shd w:fill="0079C1" w:val="clear"/>
        </w:rPr>
      </w:pPr>
      <w:r>
        <w:rPr>
          <w:rFonts w:ascii="Arial;Helvetica;sans-serif" w:hAnsi="Arial;Helvetica;sans-serif"/>
          <w:color w:val="FFFFFF"/>
          <w:sz w:val="64"/>
          <w:shd w:fill="0079C1" w:val="clear"/>
        </w:rPr>
        <w:t>NOTICE OF</w:t>
      </w:r>
    </w:p>
    <w:p>
      <w:pPr>
        <w:pStyle w:val="TextBody"/>
        <w:bidi w:val="0"/>
        <w:spacing w:before="0" w:after="283"/>
        <w:jc w:val="center"/>
        <w:rPr>
          <w:rFonts w:ascii="Arial;Helvetica;sans-serif" w:hAnsi="Arial;Helvetica;sans-serif"/>
          <w:color w:val="FFFFFF"/>
          <w:sz w:val="64"/>
          <w:shd w:fill="0079C1" w:val="clear"/>
        </w:rPr>
      </w:pPr>
      <w:r>
        <w:rPr>
          <w:rFonts w:ascii="Arial;Helvetica;sans-serif" w:hAnsi="Arial;Helvetica;sans-serif"/>
          <w:color w:val="FFFFFF"/>
          <w:sz w:val="64"/>
          <w:shd w:fill="0079C1" w:val="clear"/>
        </w:rPr>
        <w:t>2025 ANNUAL MEETING</w:t>
      </w:r>
    </w:p>
    <w:p>
      <w:pPr>
        <w:pStyle w:val="TextBody"/>
        <w:bidi w:val="0"/>
        <w:spacing w:before="0" w:after="283"/>
        <w:jc w:val="center"/>
        <w:rPr>
          <w:rFonts w:ascii="Arial;Helvetica;sans-serif" w:hAnsi="Arial;Helvetica;sans-serif"/>
          <w:color w:val="FFFFFF"/>
          <w:sz w:val="64"/>
          <w:shd w:fill="0079C1" w:val="clear"/>
        </w:rPr>
      </w:pPr>
      <w:r>
        <w:rPr>
          <w:rFonts w:ascii="Arial;Helvetica;sans-serif" w:hAnsi="Arial;Helvetica;sans-serif"/>
          <w:color w:val="FFFFFF"/>
          <w:sz w:val="64"/>
          <w:shd w:fill="0079C1" w:val="clear"/>
        </w:rPr>
        <w:t>OF STOCKHOLDERS</w:t>
      </w:r>
    </w:p>
    <w:p>
      <w:pPr>
        <w:pStyle w:val="TextBody"/>
        <w:bidi w:val="0"/>
        <w:spacing w:before="1240" w:after="283"/>
        <w:jc w:val="center"/>
        <w:rPr>
          <w:rFonts w:ascii="Arial;Helvetica;sans-serif" w:hAnsi="Arial;Helvetica;sans-serif"/>
          <w:i/>
          <w:color w:val="FFFFFF"/>
          <w:sz w:val="36"/>
          <w:shd w:fill="0079C1" w:val="clear"/>
        </w:rPr>
      </w:pPr>
      <w:r>
        <w:rPr>
          <w:rFonts w:ascii="Arial;Helvetica;sans-serif" w:hAnsi="Arial;Helvetica;sans-serif"/>
          <w:i/>
          <w:color w:val="FFFFFF"/>
          <w:sz w:val="36"/>
          <w:shd w:fill="0079C1" w:val="clear"/>
        </w:rPr>
        <w:t>and</w:t>
      </w:r>
    </w:p>
    <w:p>
      <w:pPr>
        <w:pStyle w:val="TextBody"/>
        <w:bidi w:val="0"/>
        <w:spacing w:before="1200" w:after="283"/>
        <w:jc w:val="center"/>
        <w:rPr>
          <w:rFonts w:ascii="Arial;Helvetica;sans-serif" w:hAnsi="Arial;Helvetica;sans-serif"/>
          <w:color w:val="FFFFFF"/>
          <w:sz w:val="56"/>
          <w:shd w:fill="0079C1" w:val="clear"/>
        </w:rPr>
      </w:pPr>
      <w:r>
        <w:rPr>
          <w:rFonts w:ascii="Arial;Helvetica;sans-serif" w:hAnsi="Arial;Helvetica;sans-serif"/>
          <w:color w:val="FFFFFF"/>
          <w:sz w:val="56"/>
          <w:shd w:fill="0079C1" w:val="clear"/>
        </w:rPr>
        <w:t>PROXY STATEMENT</w:t>
      </w:r>
    </w:p>
    <w:tbl>
      <w:tblPr>
        <w:tblW w:w="10205" w:type="dxa"/>
        <w:jc w:val="left"/>
        <w:tblInd w:w="0" w:type="dxa"/>
        <w:tblLayout w:type="fixed"/>
        <w:tblCellMar>
          <w:top w:w="0" w:type="dxa"/>
          <w:left w:w="0" w:type="dxa"/>
          <w:bottom w:w="0" w:type="dxa"/>
          <w:right w:w="0" w:type="dxa"/>
        </w:tblCellMar>
      </w:tblPr>
      <w:tblGrid>
        <w:gridCol w:w="185"/>
        <w:gridCol w:w="4241"/>
        <w:gridCol w:w="170"/>
        <w:gridCol w:w="170"/>
        <w:gridCol w:w="465"/>
        <w:gridCol w:w="170"/>
        <w:gridCol w:w="170"/>
        <w:gridCol w:w="4418"/>
        <w:gridCol w:w="216"/>
      </w:tblGrid>
      <w:tr>
        <w:trPr/>
        <w:tc>
          <w:tcPr>
            <w:tcW w:w="185" w:type="dxa"/>
            <w:tcBorders/>
            <w:vAlign w:val="center"/>
          </w:tcPr>
          <w:p>
            <w:pPr>
              <w:pStyle w:val="TableContents"/>
              <w:bidi w:val="0"/>
              <w:spacing w:before="0" w:after="0"/>
              <w:jc w:val="left"/>
              <w:rPr/>
            </w:pPr>
            <w:r>
              <w:rPr/>
              <w:t> </w:t>
            </w:r>
          </w:p>
        </w:tc>
        <w:tc>
          <w:tcPr>
            <w:tcW w:w="424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223" w:type="dxa"/>
            <w:gridSpan w:val="4"/>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241" w:type="dxa"/>
            <w:tcBorders/>
            <w:vAlign w:val="center"/>
          </w:tcPr>
          <w:p>
            <w:pPr>
              <w:pStyle w:val="TableContents"/>
              <w:bidi w:val="0"/>
              <w:spacing w:before="0" w:after="283"/>
              <w:ind w:left="520" w:right="0" w:hanging="0"/>
              <w:jc w:val="left"/>
              <w:rPr>
                <w:rFonts w:ascii="Arial;Helvetica;sans-serif" w:hAnsi="Arial;Helvetica;sans-serif"/>
                <w:b/>
                <w:color w:val="FFFFFF"/>
                <w:sz w:val="32"/>
                <w:u w:val="single"/>
              </w:rPr>
            </w:pPr>
            <w:r>
              <w:rPr>
                <w:rFonts w:ascii="Arial;Helvetica;sans-serif" w:hAnsi="Arial;Helvetica;sans-serif"/>
                <w:b/>
                <w:color w:val="FFFFFF"/>
                <w:sz w:val="32"/>
                <w:u w:val="single"/>
              </w:rPr>
              <w:t>2025 Annual Meeting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223" w:type="dxa"/>
            <w:gridSpan w:val="4"/>
            <w:tcBorders/>
            <w:vAlign w:val="center"/>
          </w:tcPr>
          <w:p>
            <w:pPr>
              <w:pStyle w:val="TableContents"/>
              <w:bidi w:val="0"/>
              <w:spacing w:before="0" w:after="283"/>
              <w:ind w:left="0" w:right="0" w:hanging="0"/>
              <w:jc w:val="left"/>
              <w:rPr>
                <w:rFonts w:ascii="Arial;Helvetica;sans-serif" w:hAnsi="Arial;Helvetica;sans-serif"/>
                <w:b/>
                <w:color w:val="FFFFFF"/>
                <w:sz w:val="32"/>
                <w:u w:val="single"/>
              </w:rPr>
            </w:pPr>
            <w:r>
              <w:rPr>
                <w:rFonts w:ascii="Arial;Helvetica;sans-serif" w:hAnsi="Arial;Helvetica;sans-serif"/>
                <w:b/>
                <w:color w:val="FFFFFF"/>
                <w:sz w:val="32"/>
                <w:u w:val="single"/>
              </w:rPr>
              <w:t>Inside</w:t>
            </w:r>
          </w:p>
        </w:tc>
        <w:tc>
          <w:tcPr>
            <w:tcW w:w="216" w:type="dxa"/>
            <w:tcBorders/>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4241" w:type="dxa"/>
            <w:vMerge w:val="restart"/>
            <w:tcBorders/>
            <w:vAlign w:val="center"/>
          </w:tcPr>
          <w:p>
            <w:pPr>
              <w:pStyle w:val="TableContents"/>
              <w:bidi w:val="0"/>
              <w:spacing w:before="480" w:after="283"/>
              <w:ind w:left="520" w:right="0" w:hanging="0"/>
              <w:jc w:val="left"/>
              <w:rPr>
                <w:rFonts w:ascii="Arial;Helvetica;sans-serif" w:hAnsi="Arial;Helvetica;sans-serif"/>
                <w:color w:val="FFFFFF"/>
                <w:sz w:val="24"/>
              </w:rPr>
            </w:pPr>
            <w:r>
              <w:rPr>
                <w:rFonts w:ascii="Arial;Helvetica;sans-serif" w:hAnsi="Arial;Helvetica;sans-serif"/>
                <w:color w:val="FFFFFF"/>
                <w:sz w:val="24"/>
              </w:rPr>
              <w:t>June 12, 2025</w:t>
            </w:r>
          </w:p>
          <w:p>
            <w:pPr>
              <w:pStyle w:val="TableContents"/>
              <w:bidi w:val="0"/>
              <w:spacing w:before="0" w:after="283"/>
              <w:ind w:left="520" w:right="0" w:hanging="0"/>
              <w:jc w:val="left"/>
              <w:rPr>
                <w:rFonts w:ascii="Arial;Helvetica;sans-serif" w:hAnsi="Arial;Helvetica;sans-serif"/>
                <w:color w:val="FFFFFF"/>
                <w:sz w:val="24"/>
              </w:rPr>
            </w:pPr>
            <w:r>
              <w:rPr>
                <w:rFonts w:ascii="Arial;Helvetica;sans-serif" w:hAnsi="Arial;Helvetica;sans-serif"/>
                <w:color w:val="FFFFFF"/>
                <w:sz w:val="24"/>
              </w:rPr>
              <w:t xml:space="preserve">7 a.m., Pacific time </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223" w:type="dxa"/>
            <w:gridSpan w:val="4"/>
            <w:tcBorders/>
            <w:vAlign w:val="center"/>
          </w:tcPr>
          <w:p>
            <w:pPr>
              <w:pStyle w:val="TableContents"/>
              <w:bidi w:val="0"/>
              <w:spacing w:before="0" w:after="283"/>
              <w:ind w:left="0" w:right="0" w:hanging="0"/>
              <w:jc w:val="left"/>
              <w:rPr>
                <w:rFonts w:ascii="Arial;Helvetica;sans-serif" w:hAnsi="Arial;Helvetica;sans-serif"/>
                <w:color w:val="FFFFFF"/>
                <w:sz w:val="24"/>
              </w:rPr>
            </w:pPr>
            <w:r>
              <w:rPr>
                <w:rFonts w:ascii="Arial;Helvetica;sans-serif" w:hAnsi="Arial;Helvetica;sans-serif"/>
                <w:color w:val="FFFFFF"/>
                <w:sz w:val="24"/>
              </w:rPr>
              <w:t>CEO’s letter to stockholders</w:t>
            </w:r>
          </w:p>
        </w:tc>
        <w:tc>
          <w:tcPr>
            <w:tcW w:w="216"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4241"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223" w:type="dxa"/>
            <w:gridSpan w:val="4"/>
            <w:tcBorders/>
            <w:vAlign w:val="center"/>
          </w:tcPr>
          <w:p>
            <w:pPr>
              <w:pStyle w:val="TableContents"/>
              <w:bidi w:val="0"/>
              <w:spacing w:before="0" w:after="283"/>
              <w:ind w:left="0" w:right="0" w:hanging="0"/>
              <w:jc w:val="left"/>
              <w:rPr>
                <w:rFonts w:ascii="Arial;Helvetica;sans-serif" w:hAnsi="Arial;Helvetica;sans-serif"/>
                <w:color w:val="FFFFFF"/>
                <w:sz w:val="24"/>
              </w:rPr>
            </w:pPr>
            <w:r>
              <w:rPr>
                <w:rFonts w:ascii="Arial;Helvetica;sans-serif" w:hAnsi="Arial;Helvetica;sans-serif"/>
                <w:color w:val="FFFFFF"/>
                <w:sz w:val="24"/>
              </w:rPr>
              <w:t>Information on voting proposals:</w:t>
            </w:r>
          </w:p>
        </w:tc>
        <w:tc>
          <w:tcPr>
            <w:tcW w:w="216"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4241"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65" w:type="dxa"/>
            <w:tcBorders/>
            <w:vAlign w:val="center"/>
          </w:tcPr>
          <w:p>
            <w:pPr>
              <w:pStyle w:val="TableContents"/>
              <w:bidi w:val="0"/>
              <w:spacing w:before="0" w:after="283"/>
              <w:ind w:left="0" w:right="0" w:hanging="0"/>
              <w:jc w:val="left"/>
              <w:rPr>
                <w:color w:val="FFFFFF"/>
              </w:rPr>
            </w:pPr>
            <w:r>
              <w:rPr>
                <w:color w:val="FFFFFF"/>
              </w:rPr>
              <w:drawing>
                <wp:inline distT="0" distB="0" distL="0" distR="0">
                  <wp:extent cx="276225" cy="2762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7622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18" w:type="dxa"/>
            <w:tcBorders/>
            <w:vAlign w:val="center"/>
          </w:tcPr>
          <w:p>
            <w:pPr>
              <w:pStyle w:val="TableContents"/>
              <w:bidi w:val="0"/>
              <w:spacing w:before="0" w:after="283"/>
              <w:ind w:left="0" w:right="0" w:hanging="0"/>
              <w:jc w:val="left"/>
              <w:rPr>
                <w:rFonts w:ascii="Arial;Helvetica;sans-serif" w:hAnsi="Arial;Helvetica;sans-serif"/>
                <w:color w:val="FFFFFF"/>
                <w:sz w:val="18"/>
              </w:rPr>
            </w:pPr>
            <w:r>
              <w:rPr>
                <w:rFonts w:ascii="Arial;Helvetica;sans-serif" w:hAnsi="Arial;Helvetica;sans-serif"/>
                <w:color w:val="FFFFFF"/>
                <w:sz w:val="18"/>
              </w:rPr>
              <w:t>Election of four directors</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241" w:type="dxa"/>
            <w:tcBorders/>
            <w:vAlign w:val="center"/>
          </w:tcPr>
          <w:p>
            <w:pPr>
              <w:pStyle w:val="TableContents"/>
              <w:bidi w:val="0"/>
              <w:spacing w:before="0" w:after="283"/>
              <w:ind w:left="520" w:right="0" w:hanging="0"/>
              <w:jc w:val="left"/>
              <w:rPr>
                <w:rFonts w:ascii="Arial;Helvetica;sans-serif" w:hAnsi="Arial;Helvetica;sans-serif"/>
                <w:color w:val="FFFFFF"/>
                <w:sz w:val="22"/>
              </w:rPr>
            </w:pPr>
            <w:r>
              <w:rPr>
                <w:rFonts w:ascii="Arial;Helvetica;sans-serif" w:hAnsi="Arial;Helvetica;sans-serif"/>
                <w:color w:val="FFFFFF"/>
                <w:sz w:val="22"/>
              </w:rPr>
              <w:t>Virtual-only meeting, with webcast access at</w:t>
            </w:r>
          </w:p>
          <w:p>
            <w:pPr>
              <w:pStyle w:val="TableContents"/>
              <w:bidi w:val="0"/>
              <w:spacing w:before="0" w:after="283"/>
              <w:ind w:left="520" w:right="0" w:hanging="0"/>
              <w:jc w:val="left"/>
              <w:rPr>
                <w:rFonts w:ascii="Arial;Helvetica;sans-serif" w:hAnsi="Arial;Helvetica;sans-serif"/>
                <w:i/>
                <w:color w:val="FFFFFF"/>
                <w:sz w:val="22"/>
              </w:rPr>
            </w:pPr>
            <w:r>
              <w:rPr>
                <w:rFonts w:ascii="Arial;Helvetica;sans-serif" w:hAnsi="Arial;Helvetica;sans-serif"/>
                <w:i/>
                <w:color w:val="FFFFFF"/>
                <w:sz w:val="22"/>
              </w:rPr>
              <w:t>virtualshareholdermeeting.com/ACMR2025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5" w:type="dxa"/>
            <w:tcBorders/>
            <w:vAlign w:val="center"/>
          </w:tcPr>
          <w:p>
            <w:pPr>
              <w:pStyle w:val="TableContents"/>
              <w:bidi w:val="0"/>
              <w:spacing w:before="0" w:after="283"/>
              <w:ind w:left="0" w:right="0" w:hanging="0"/>
              <w:jc w:val="left"/>
              <w:rPr>
                <w:color w:val="FFFFFF"/>
              </w:rPr>
            </w:pPr>
            <w:r>
              <w:rPr>
                <w:color w:val="FFFFFF"/>
              </w:rPr>
              <w:drawing>
                <wp:inline distT="0" distB="0" distL="0" distR="0">
                  <wp:extent cx="276225" cy="2762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7622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18" w:type="dxa"/>
            <w:tcBorders/>
            <w:vAlign w:val="center"/>
          </w:tcPr>
          <w:p>
            <w:pPr>
              <w:pStyle w:val="TableContents"/>
              <w:bidi w:val="0"/>
              <w:spacing w:before="0" w:after="283"/>
              <w:ind w:left="0" w:right="0" w:hanging="0"/>
              <w:jc w:val="left"/>
              <w:rPr>
                <w:rFonts w:ascii="Arial;Helvetica;sans-serif" w:hAnsi="Arial;Helvetica;sans-serif"/>
                <w:color w:val="FFFFFF"/>
                <w:sz w:val="18"/>
              </w:rPr>
            </w:pPr>
            <w:r>
              <w:rPr>
                <w:rFonts w:ascii="Arial;Helvetica;sans-serif" w:hAnsi="Arial;Helvetica;sans-serif"/>
                <w:color w:val="FFFFFF"/>
                <w:sz w:val="18"/>
              </w:rPr>
              <w:t>Ratification of appointment of independent auditor for 2025</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24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18"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 w:name="ny20042784x1_def14a_102-letter_pg1"/>
        <w:bookmarkEnd w:id="4"/>
        <w:r>
          <w:rPr>
            <w:rStyle w:val="InternetLink"/>
            <w:rFonts w:ascii="Times New Roman;Times;Serif" w:hAnsi="Times New Roman;Times;Serif"/>
            <w:b/>
            <w:caps w:val="false"/>
            <w:smallCaps w:val="false"/>
            <w:color w:val="000000"/>
            <w:sz w:val="16"/>
          </w:rPr>
          <w:t>TABLE OF CONTENTS</w:t>
        </w:r>
      </w:hyperlink>
    </w:p>
    <w:tbl>
      <w:tblPr>
        <w:tblW w:w="5610" w:type="dxa"/>
        <w:jc w:val="left"/>
        <w:tblInd w:w="0" w:type="dxa"/>
        <w:tblLayout w:type="fixed"/>
        <w:tblCellMar>
          <w:top w:w="0" w:type="dxa"/>
          <w:left w:w="0" w:type="dxa"/>
          <w:bottom w:w="0" w:type="dxa"/>
          <w:right w:w="0" w:type="dxa"/>
        </w:tblCellMar>
      </w:tblPr>
      <w:tblGrid>
        <w:gridCol w:w="2265"/>
        <w:gridCol w:w="170"/>
        <w:gridCol w:w="170"/>
        <w:gridCol w:w="3005"/>
      </w:tblGrid>
      <w:tr>
        <w:trPr/>
        <w:tc>
          <w:tcPr>
            <w:tcW w:w="22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05" w:type="dxa"/>
            <w:tcBorders/>
            <w:vAlign w:val="center"/>
          </w:tcPr>
          <w:p>
            <w:pPr>
              <w:pStyle w:val="TableContents"/>
              <w:bidi w:val="0"/>
              <w:spacing w:before="0" w:after="0"/>
              <w:jc w:val="left"/>
              <w:rPr/>
            </w:pPr>
            <w:r>
              <w:rPr/>
              <w:t> </w:t>
            </w:r>
          </w:p>
        </w:tc>
      </w:tr>
      <w:tr>
        <w:trPr/>
        <w:tc>
          <w:tcPr>
            <w:tcW w:w="2265" w:type="dxa"/>
            <w:tcBorders/>
            <w:vAlign w:val="center"/>
          </w:tcPr>
          <w:p>
            <w:pPr>
              <w:pStyle w:val="TableContents"/>
              <w:bidi w:val="0"/>
              <w:spacing w:before="0" w:after="283"/>
              <w:ind w:left="0" w:right="0" w:hanging="0"/>
              <w:jc w:val="left"/>
              <w:rPr>
                <w:color w:val="4C4C4C"/>
              </w:rPr>
            </w:pPr>
            <w:r>
              <w:rPr>
                <w:color w:val="4C4C4C"/>
              </w:rPr>
              <w:drawing>
                <wp:inline distT="0" distB="0" distL="0" distR="0">
                  <wp:extent cx="1409700" cy="8763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09700" cy="876300"/>
                          </a:xfrm>
                          <a:prstGeom prst="rect">
                            <a:avLst/>
                          </a:prstGeom>
                        </pic:spPr>
                      </pic:pic>
                    </a:graphicData>
                  </a:graphic>
                </wp:inline>
              </w:drawing>
            </w:r>
          </w:p>
          <w:p>
            <w:pPr>
              <w:pStyle w:val="TableContents"/>
              <w:bidi w:val="0"/>
              <w:spacing w:before="0" w:after="283"/>
              <w:ind w:left="0" w:right="0" w:hanging="0"/>
              <w:jc w:val="left"/>
              <w:rPr>
                <w:color w:val="4C4C4C"/>
              </w:rPr>
            </w:pPr>
            <w:r>
              <w:rPr>
                <w:color w:val="4C4C4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05" w:type="dxa"/>
            <w:tcBorders/>
            <w:vAlign w:val="center"/>
          </w:tcPr>
          <w:p>
            <w:pPr>
              <w:pStyle w:val="TableContents"/>
              <w:bidi w:val="0"/>
              <w:spacing w:before="0" w:after="283"/>
              <w:jc w:val="right"/>
              <w:rPr>
                <w:rFonts w:ascii="Arial;Helvetica;sans-serif" w:hAnsi="Arial;Helvetica;sans-serif"/>
                <w:b/>
                <w:color w:val="4C4C4C"/>
                <w:sz w:val="24"/>
              </w:rPr>
            </w:pPr>
            <w:r>
              <w:rPr>
                <w:rFonts w:ascii="Arial;Helvetica;sans-serif" w:hAnsi="Arial;Helvetica;sans-serif"/>
                <w:b/>
                <w:color w:val="4C4C4C"/>
                <w:sz w:val="24"/>
              </w:rPr>
              <w:t>42307 Osgood Rd, Suite I</w:t>
            </w:r>
          </w:p>
          <w:p>
            <w:pPr>
              <w:pStyle w:val="TableContents"/>
              <w:bidi w:val="0"/>
              <w:spacing w:before="0" w:after="283"/>
              <w:jc w:val="right"/>
              <w:rPr>
                <w:rFonts w:ascii="Arial;Helvetica;sans-serif" w:hAnsi="Arial;Helvetica;sans-serif"/>
                <w:b/>
                <w:color w:val="4C4C4C"/>
                <w:sz w:val="24"/>
              </w:rPr>
            </w:pPr>
            <w:r>
              <w:rPr>
                <w:rFonts w:ascii="Arial;Helvetica;sans-serif" w:hAnsi="Arial;Helvetica;sans-serif"/>
                <w:b/>
                <w:color w:val="4C4C4C"/>
                <w:sz w:val="24"/>
              </w:rPr>
              <w:t>Fremont, California 94539</w:t>
            </w:r>
          </w:p>
        </w:tc>
      </w:tr>
      <w:tr>
        <w:trPr/>
        <w:tc>
          <w:tcPr>
            <w:tcW w:w="22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05" w:type="dxa"/>
            <w:tcBorders/>
            <w:vAlign w:val="center"/>
          </w:tcPr>
          <w:p>
            <w:pPr>
              <w:pStyle w:val="TableContents"/>
              <w:bidi w:val="0"/>
              <w:spacing w:before="0" w:after="0"/>
              <w:jc w:val="left"/>
              <w:rPr/>
            </w:pPr>
            <w:r>
              <w:rPr/>
              <w:t> </w:t>
            </w:r>
          </w:p>
        </w:tc>
      </w:tr>
    </w:tbl>
    <w:p>
      <w:pPr>
        <w:pStyle w:val="TextBody"/>
        <w:bidi w:val="0"/>
        <w:spacing w:before="735" w:after="283"/>
        <w:ind w:left="0" w:right="0" w:hanging="0"/>
        <w:jc w:val="left"/>
        <w:rPr>
          <w:rFonts w:ascii="Arial;Helvetica;sans-serif" w:hAnsi="Arial;Helvetica;sans-serif"/>
          <w:color w:val="4C4C4C"/>
          <w:sz w:val="20"/>
        </w:rPr>
      </w:pPr>
      <w:r>
        <w:rPr>
          <w:rFonts w:ascii="Arial;Helvetica;sans-serif" w:hAnsi="Arial;Helvetica;sans-serif"/>
          <w:color w:val="4C4C4C"/>
          <w:sz w:val="20"/>
        </w:rPr>
        <w:t>April 29, 2025</w:t>
      </w:r>
    </w:p>
    <w:p>
      <w:pPr>
        <w:pStyle w:val="TextBody"/>
        <w:bidi w:val="0"/>
        <w:spacing w:before="720" w:after="283"/>
        <w:ind w:left="0" w:right="0" w:hanging="0"/>
        <w:jc w:val="left"/>
        <w:rPr>
          <w:rFonts w:ascii="Arial;Helvetica;sans-serif" w:hAnsi="Arial;Helvetica;sans-serif"/>
          <w:color w:val="4C4C4C"/>
          <w:sz w:val="20"/>
        </w:rPr>
      </w:pPr>
      <w:r>
        <w:rPr>
          <w:rFonts w:ascii="Arial;Helvetica;sans-serif" w:hAnsi="Arial;Helvetica;sans-serif"/>
          <w:color w:val="4C4C4C"/>
          <w:sz w:val="20"/>
        </w:rPr>
        <w:t>Dear Fellow Stockholder:</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It is my pleasure to invite you to attend the Annual Meeting of Stockholders of ACM Research, Inc. to be held on June 12, 2025, at 7 a.m., Pacific time. This year’s Annual Meeting will be a “virtual meeting” conducted via live audio webcast, consistent with our prior practice. Each holder of Class A or Class B common stock as of 5 p.m., Eastern time, on the record date of April 15, 2025, will be able to participate in the Annual Meeting by accessing a live webcast at </w:t>
      </w:r>
      <w:r>
        <w:rPr>
          <w:rFonts w:ascii="Arial;Helvetica;sans-serif" w:hAnsi="Arial;Helvetica;sans-serif"/>
          <w:i/>
          <w:color w:val="4C4C4C"/>
          <w:sz w:val="20"/>
        </w:rPr>
        <w:t>virtualshareholdermeeting.com/ACMR2025</w:t>
      </w:r>
      <w:r>
        <w:rPr>
          <w:rFonts w:ascii="Arial;Helvetica;sans-serif" w:hAnsi="Arial;Helvetica;sans-serif"/>
          <w:color w:val="4C4C4C"/>
          <w:sz w:val="20"/>
        </w:rPr>
        <w:t xml:space="preserve"> and entering the control number included on the stockholder’s Notice of Internet Availability of Proxy Materials or proxy card. Stockholders will also be able to vote their shares and submit questions via the Internet during the meeting by participating in the webcast.</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During the Annual Meeting, stockholders will be asked to elect the entire board of directors and to ratify the appointment of Ernst &amp; Young Hua Ming LLP as our independent auditor for 2025. </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We are furnishing proxy materials to our stockholders over the Internet. This process expedites the delivery of proxy materials to our stockholders, lowers our costs and reduces the environmental impact of the Annual Meeting. Today we are sending to each of our stockholders a Notice of Internet Availability of Proxy Materials containing instructions on how to access our Proxy Statement for the Annual Meeting and our 2024 Annual Report to Stockholders, as well as how to vote via proxy either by telephone or over the Internet.</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It is important that you vote your shares of Class A and Class B common stock virtually or by proxy, regardless of the number of shares you own. You will find the instructions for voting on your Notice of Internet Availability of Proxy Materials or proxy card. We appreciate your prompt attention.</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board invites you to participate in the Annual Meeting so that management can listen to your suggestions, answer your questions, and discuss business developments and trends with you. Thank you for your support, and we look forward to joining you at the Annual Meeting.</w:t>
      </w:r>
    </w:p>
    <w:p>
      <w:pPr>
        <w:pStyle w:val="TextBody"/>
        <w:bidi w:val="0"/>
        <w:spacing w:before="240" w:after="283"/>
        <w:ind w:left="0" w:right="0" w:hanging="0"/>
        <w:jc w:val="left"/>
        <w:rPr>
          <w:rFonts w:ascii="Arial;Helvetica;sans-serif" w:hAnsi="Arial;Helvetica;sans-serif"/>
          <w:color w:val="4C4C4C"/>
          <w:sz w:val="20"/>
        </w:rPr>
      </w:pPr>
      <w:r>
        <w:rPr>
          <w:rFonts w:ascii="Arial;Helvetica;sans-serif" w:hAnsi="Arial;Helvetica;sans-serif"/>
          <w:color w:val="4C4C4C"/>
          <w:sz w:val="20"/>
        </w:rPr>
        <w:t>Sincerely,</w:t>
      </w:r>
    </w:p>
    <w:p>
      <w:pPr>
        <w:pStyle w:val="TextBody"/>
        <w:bidi w:val="0"/>
        <w:spacing w:before="480" w:after="283"/>
        <w:ind w:left="0" w:right="0" w:hanging="0"/>
        <w:jc w:val="left"/>
        <w:rPr>
          <w:rFonts w:ascii="Arial;Helvetica;sans-serif" w:hAnsi="Arial;Helvetica;sans-serif"/>
          <w:color w:val="4C4C4C"/>
          <w:sz w:val="20"/>
        </w:rPr>
      </w:pPr>
      <w:r>
        <w:rPr>
          <w:rFonts w:ascii="Arial;Helvetica;sans-serif" w:hAnsi="Arial;Helvetica;sans-serif"/>
          <w:color w:val="4C4C4C"/>
          <w:sz w:val="20"/>
        </w:rPr>
        <w:t>David H. Wang</w:t>
      </w:r>
    </w:p>
    <w:p>
      <w:pPr>
        <w:pStyle w:val="TextBody"/>
        <w:bidi w:val="0"/>
        <w:spacing w:before="0" w:after="283"/>
        <w:ind w:left="0" w:right="0" w:hanging="0"/>
        <w:jc w:val="left"/>
        <w:rPr>
          <w:rFonts w:ascii="Arial;Helvetica;sans-serif" w:hAnsi="Arial;Helvetica;sans-serif"/>
          <w:i/>
          <w:color w:val="4C4C4C"/>
          <w:sz w:val="20"/>
        </w:rPr>
      </w:pPr>
      <w:r>
        <w:rPr>
          <w:rFonts w:ascii="Arial;Helvetica;sans-serif" w:hAnsi="Arial;Helvetica;sans-serif"/>
          <w:i/>
          <w:color w:val="4C4C4C"/>
          <w:sz w:val="20"/>
        </w:rPr>
        <w:t>Chief Executive Officer and President</w:t>
      </w:r>
    </w:p>
    <w:p>
      <w:pPr>
        <w:pStyle w:val="HorizontalLine"/>
        <w:bidi w:val="0"/>
        <w:spacing w:before="200" w:after="200"/>
        <w:jc w:val="left"/>
        <w:rPr/>
      </w:pPr>
      <w:r>
        <w:rPr/>
      </w:r>
    </w:p>
    <w:p>
      <w:pPr>
        <w:pStyle w:val="TextBody"/>
        <w:bidi w:val="0"/>
        <w:jc w:val="left"/>
        <w:rPr/>
      </w:pPr>
      <w:hyperlink w:anchor="TOC">
        <w:bookmarkStart w:id="5" w:name="ny20042784x1_def14a_103-notice_pg1"/>
        <w:bookmarkEnd w:id="5"/>
        <w:r>
          <w:rPr>
            <w:rStyle w:val="InternetLink"/>
            <w:rFonts w:ascii="Times New Roman;Times;Serif" w:hAnsi="Times New Roman;Times;Serif"/>
            <w:b/>
            <w:caps w:val="false"/>
            <w:smallCaps w:val="false"/>
            <w:color w:val="000000"/>
            <w:sz w:val="16"/>
          </w:rPr>
          <w:t>TABLE OF CONTENTS</w:t>
        </w:r>
      </w:hyperlink>
    </w:p>
    <w:tbl>
      <w:tblPr>
        <w:tblW w:w="8010" w:type="dxa"/>
        <w:jc w:val="left"/>
        <w:tblInd w:w="0" w:type="dxa"/>
        <w:tblLayout w:type="fixed"/>
        <w:tblCellMar>
          <w:top w:w="0" w:type="dxa"/>
          <w:left w:w="0" w:type="dxa"/>
          <w:bottom w:w="0" w:type="dxa"/>
          <w:right w:w="0" w:type="dxa"/>
        </w:tblCellMar>
      </w:tblPr>
      <w:tblGrid>
        <w:gridCol w:w="2265"/>
        <w:gridCol w:w="170"/>
        <w:gridCol w:w="170"/>
        <w:gridCol w:w="5405"/>
      </w:tblGrid>
      <w:tr>
        <w:trPr/>
        <w:tc>
          <w:tcPr>
            <w:tcW w:w="22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05" w:type="dxa"/>
            <w:tcBorders/>
            <w:vAlign w:val="center"/>
          </w:tcPr>
          <w:p>
            <w:pPr>
              <w:pStyle w:val="TableContents"/>
              <w:bidi w:val="0"/>
              <w:spacing w:before="0" w:after="0"/>
              <w:jc w:val="left"/>
              <w:rPr/>
            </w:pPr>
            <w:r>
              <w:rPr/>
              <w:t> </w:t>
            </w:r>
          </w:p>
        </w:tc>
      </w:tr>
      <w:tr>
        <w:trPr/>
        <w:tc>
          <w:tcPr>
            <w:tcW w:w="2265" w:type="dxa"/>
            <w:tcBorders/>
            <w:vAlign w:val="center"/>
          </w:tcPr>
          <w:p>
            <w:pPr>
              <w:pStyle w:val="TableContents"/>
              <w:bidi w:val="0"/>
              <w:spacing w:before="0" w:after="283"/>
              <w:ind w:left="0" w:right="0" w:hanging="0"/>
              <w:jc w:val="left"/>
              <w:rPr>
                <w:color w:val="4C4C4C"/>
              </w:rPr>
            </w:pPr>
            <w:r>
              <w:rPr>
                <w:color w:val="4C4C4C"/>
              </w:rPr>
              <w:drawing>
                <wp:inline distT="0" distB="0" distL="0" distR="0">
                  <wp:extent cx="1409700" cy="8763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409700" cy="876300"/>
                          </a:xfrm>
                          <a:prstGeom prst="rect">
                            <a:avLst/>
                          </a:prstGeom>
                        </pic:spPr>
                      </pic:pic>
                    </a:graphicData>
                  </a:graphic>
                </wp:inline>
              </w:drawing>
            </w:r>
          </w:p>
          <w:p>
            <w:pPr>
              <w:pStyle w:val="TableContents"/>
              <w:bidi w:val="0"/>
              <w:spacing w:before="0" w:after="283"/>
              <w:ind w:left="0" w:right="0" w:hanging="0"/>
              <w:jc w:val="left"/>
              <w:rPr>
                <w:color w:val="4C4C4C"/>
              </w:rPr>
            </w:pPr>
            <w:r>
              <w:rPr>
                <w:color w:val="4C4C4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05" w:type="dxa"/>
            <w:tcBorders/>
            <w:vAlign w:val="center"/>
          </w:tcPr>
          <w:p>
            <w:pPr>
              <w:pStyle w:val="TableContents"/>
              <w:bidi w:val="0"/>
              <w:spacing w:before="0" w:after="283"/>
              <w:jc w:val="right"/>
              <w:rPr>
                <w:rFonts w:ascii="Arial;Helvetica;sans-serif" w:hAnsi="Arial;Helvetica;sans-serif"/>
                <w:b/>
                <w:i/>
                <w:color w:val="4C4C4C"/>
                <w:sz w:val="24"/>
              </w:rPr>
            </w:pPr>
            <w:r>
              <w:rPr>
                <w:rFonts w:ascii="Arial;Helvetica;sans-serif" w:hAnsi="Arial;Helvetica;sans-serif"/>
                <w:b/>
                <w:i/>
                <w:color w:val="4C4C4C"/>
                <w:sz w:val="24"/>
              </w:rPr>
              <w:t>NOTICE OF</w:t>
            </w:r>
          </w:p>
          <w:p>
            <w:pPr>
              <w:pStyle w:val="TableContents"/>
              <w:bidi w:val="0"/>
              <w:spacing w:before="0" w:after="283"/>
              <w:jc w:val="right"/>
              <w:rPr>
                <w:rFonts w:ascii="Arial;Helvetica;sans-serif" w:hAnsi="Arial;Helvetica;sans-serif"/>
                <w:b/>
                <w:i/>
                <w:color w:val="4C4C4C"/>
                <w:sz w:val="24"/>
              </w:rPr>
            </w:pPr>
            <w:r>
              <w:rPr>
                <w:rFonts w:ascii="Arial;Helvetica;sans-serif" w:hAnsi="Arial;Helvetica;sans-serif"/>
                <w:b/>
                <w:i/>
                <w:color w:val="4C4C4C"/>
                <w:sz w:val="24"/>
              </w:rPr>
              <w:t>2025 ANNUAL MEETING OF STOCKHOLDERS</w:t>
            </w:r>
          </w:p>
        </w:tc>
      </w:tr>
      <w:tr>
        <w:trPr/>
        <w:tc>
          <w:tcPr>
            <w:tcW w:w="22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r>
        <mc:AlternateContent>
          <mc:Choice Requires="wps">
            <w:drawing>
              <wp:anchor behindDoc="0" distT="0" distB="0" distL="152400" distR="0" simplePos="0" locked="0" layoutInCell="1" allowOverlap="1" relativeHeight="23">
                <wp:simplePos x="0" y="0"/>
                <wp:positionH relativeFrom="column">
                  <wp:align>left</wp:align>
                </wp:positionH>
                <wp:positionV relativeFrom="line">
                  <wp:posOffset>635</wp:posOffset>
                </wp:positionV>
                <wp:extent cx="2743200" cy="9972040"/>
                <wp:effectExtent l="0" t="0" r="0" b="0"/>
                <wp:wrapSquare wrapText="right"/>
                <wp:docPr id="7" name="Frame2"/>
                <a:graphic xmlns:a="http://schemas.openxmlformats.org/drawingml/2006/main">
                  <a:graphicData uri="http://schemas.microsoft.com/office/word/2010/wordprocessingShape">
                    <wps:wsp>
                      <wps:cNvSpPr txBox="1"/>
                      <wps:spPr>
                        <a:xfrm>
                          <a:off x="0" y="0"/>
                          <a:ext cx="2743200" cy="9972040"/>
                        </a:xfrm>
                        <a:prstGeom prst="rect"/>
                        <a:solidFill>
                          <a:srgbClr val="FFFFFF"/>
                        </a:solidFill>
                      </wps:spPr>
                      <wps:txbx>
                        <w:txbxContent>
                          <w:tbl>
                            <w:tblPr>
                              <w:tblW w:w="4395" w:type="dxa"/>
                              <w:jc w:val="left"/>
                              <w:tblInd w:w="0" w:type="dxa"/>
                              <w:tblLayout w:type="fixed"/>
                              <w:tblCellMar>
                                <w:top w:w="0" w:type="dxa"/>
                                <w:left w:w="0" w:type="dxa"/>
                                <w:bottom w:w="0" w:type="dxa"/>
                                <w:right w:w="0" w:type="dxa"/>
                              </w:tblCellMar>
                            </w:tblPr>
                            <w:tblGrid>
                              <w:gridCol w:w="185"/>
                              <w:gridCol w:w="3995"/>
                              <w:gridCol w:w="215"/>
                            </w:tblGrid>
                            <w:tr>
                              <w:trPr/>
                              <w:tc>
                                <w:tcPr>
                                  <w:tcW w:w="185" w:type="dxa"/>
                                  <w:tcBorders/>
                                  <w:shd w:fill="BAE2F8" w:val="clear"/>
                                  <w:vAlign w:val="center"/>
                                </w:tcPr>
                                <w:p>
                                  <w:pPr>
                                    <w:pStyle w:val="TableContents"/>
                                    <w:bidi w:val="0"/>
                                    <w:spacing w:before="0" w:after="0"/>
                                    <w:jc w:val="left"/>
                                    <w:rPr/>
                                  </w:pPr>
                                  <w:r>
                                    <w:rPr/>
                                    <w:t> </w:t>
                                  </w:r>
                                </w:p>
                              </w:tc>
                              <w:tc>
                                <w:tcPr>
                                  <w:tcW w:w="3995" w:type="dxa"/>
                                  <w:tcBorders/>
                                  <w:shd w:fill="BAE2F8" w:val="clear"/>
                                  <w:vAlign w:val="center"/>
                                </w:tcPr>
                                <w:p>
                                  <w:pPr>
                                    <w:pStyle w:val="TableContents"/>
                                    <w:bidi w:val="0"/>
                                    <w:spacing w:before="0" w:after="0"/>
                                    <w:jc w:val="left"/>
                                    <w:rPr/>
                                  </w:pPr>
                                  <w:r>
                                    <w:rPr/>
                                    <w:t> </w:t>
                                  </w:r>
                                </w:p>
                              </w:tc>
                              <w:tc>
                                <w:tcPr>
                                  <w:tcW w:w="215" w:type="dxa"/>
                                  <w:tcBorders/>
                                  <w:shd w:fill="BAE2F8" w:val="clear"/>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3995" w:type="dxa"/>
                                  <w:tcBorders/>
                                  <w:shd w:fill="BAE2F8" w:val="clear"/>
                                  <w:vAlign w:val="center"/>
                                </w:tcPr>
                                <w:p>
                                  <w:pPr>
                                    <w:pStyle w:val="TableContents"/>
                                    <w:bidi w:val="0"/>
                                    <w:spacing w:before="0" w:after="283"/>
                                    <w:ind w:left="60" w:right="0" w:hanging="0"/>
                                    <w:jc w:val="left"/>
                                    <w:rPr>
                                      <w:rFonts w:ascii="Arial;Helvetica;sans-serif" w:hAnsi="Arial;Helvetica;sans-serif"/>
                                      <w:b/>
                                      <w:color w:val="3F609D"/>
                                      <w:sz w:val="24"/>
                                    </w:rPr>
                                  </w:pPr>
                                  <w:r>
                                    <w:rPr>
                                      <w:rFonts w:ascii="Arial;Helvetica;sans-serif" w:hAnsi="Arial;Helvetica;sans-serif"/>
                                      <w:b/>
                                      <w:color w:val="3F609D"/>
                                      <w:sz w:val="24"/>
                                    </w:rPr>
                                    <w:t>When</w:t>
                                  </w:r>
                                </w:p>
                                <w:p>
                                  <w:pPr>
                                    <w:pStyle w:val="TableContents"/>
                                    <w:bidi w:val="0"/>
                                    <w:spacing w:before="0" w:after="283"/>
                                    <w:ind w:left="60" w:right="0" w:hanging="0"/>
                                    <w:jc w:val="left"/>
                                    <w:rPr>
                                      <w:rFonts w:ascii="Arial;Helvetica;sans-serif" w:hAnsi="Arial;Helvetica;sans-serif"/>
                                      <w:b w:val="false"/>
                                      <w:color w:val="3F609D"/>
                                      <w:sz w:val="20"/>
                                    </w:rPr>
                                  </w:pPr>
                                  <w:r>
                                    <w:rPr>
                                      <w:rFonts w:ascii="Arial;Helvetica;sans-serif" w:hAnsi="Arial;Helvetica;sans-serif"/>
                                      <w:b w:val="false"/>
                                      <w:color w:val="3F609D"/>
                                      <w:sz w:val="20"/>
                                    </w:rPr>
                                    <w:t>7 a.m., Pacific time, on June 12, 2025</w:t>
                                  </w:r>
                                </w:p>
                                <w:p>
                                  <w:pPr>
                                    <w:pStyle w:val="TableContents"/>
                                    <w:bidi w:val="0"/>
                                    <w:spacing w:before="180" w:after="283"/>
                                    <w:ind w:left="60" w:right="0" w:hanging="0"/>
                                    <w:jc w:val="left"/>
                                    <w:rPr>
                                      <w:rFonts w:ascii="Arial;Helvetica;sans-serif" w:hAnsi="Arial;Helvetica;sans-serif"/>
                                      <w:b/>
                                      <w:color w:val="3F609D"/>
                                      <w:sz w:val="24"/>
                                    </w:rPr>
                                  </w:pPr>
                                  <w:r>
                                    <w:rPr>
                                      <w:rFonts w:ascii="Arial;Helvetica;sans-serif" w:hAnsi="Arial;Helvetica;sans-serif"/>
                                      <w:b/>
                                      <w:color w:val="3F609D"/>
                                      <w:sz w:val="24"/>
                                    </w:rPr>
                                    <w:t>Where</w:t>
                                  </w:r>
                                </w:p>
                                <w:p>
                                  <w:pPr>
                                    <w:pStyle w:val="TableContents"/>
                                    <w:bidi w:val="0"/>
                                    <w:spacing w:before="0" w:after="283"/>
                                    <w:ind w:left="60" w:right="0" w:hanging="0"/>
                                    <w:jc w:val="left"/>
                                    <w:rPr>
                                      <w:rFonts w:ascii="Arial;Helvetica;sans-serif" w:hAnsi="Arial;Helvetica;sans-serif"/>
                                      <w:b w:val="false"/>
                                      <w:color w:val="3F609D"/>
                                      <w:sz w:val="20"/>
                                    </w:rPr>
                                  </w:pPr>
                                  <w:r>
                                    <w:rPr>
                                      <w:rFonts w:ascii="Arial;Helvetica;sans-serif" w:hAnsi="Arial;Helvetica;sans-serif"/>
                                      <w:b w:val="false"/>
                                      <w:color w:val="3F609D"/>
                                      <w:sz w:val="20"/>
                                    </w:rPr>
                                    <w:t>Webcast only, access at:</w:t>
                                  </w:r>
                                </w:p>
                                <w:p>
                                  <w:pPr>
                                    <w:pStyle w:val="TableContents"/>
                                    <w:bidi w:val="0"/>
                                    <w:spacing w:before="0" w:after="283"/>
                                    <w:ind w:left="60" w:right="0" w:hanging="0"/>
                                    <w:jc w:val="left"/>
                                    <w:rPr>
                                      <w:color w:val="3F609D"/>
                                    </w:rPr>
                                  </w:pPr>
                                  <w:r>
                                    <w:rPr>
                                      <w:color w:val="3F609D"/>
                                    </w:rPr>
                                    <w:t> </w:t>
                                  </w:r>
                                  <w:r>
                                    <w:rPr>
                                      <w:rFonts w:ascii="Arial;Helvetica;sans-serif" w:hAnsi="Arial;Helvetica;sans-serif"/>
                                      <w:b w:val="false"/>
                                      <w:i/>
                                      <w:color w:val="3F609D"/>
                                      <w:sz w:val="20"/>
                                    </w:rPr>
                                    <w:t>virtualshareholdermeeting.com/ACMR2025</w:t>
                                  </w:r>
                                </w:p>
                              </w:tc>
                              <w:tc>
                                <w:tcPr>
                                  <w:tcW w:w="215" w:type="dxa"/>
                                  <w:tcBorders/>
                                  <w:shd w:fill="BAE2F8" w:val="clear"/>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3995" w:type="dxa"/>
                                  <w:tcBorders/>
                                  <w:shd w:fill="BAE2F8" w:val="clear"/>
                                  <w:vAlign w:val="center"/>
                                </w:tcPr>
                                <w:p>
                                  <w:pPr>
                                    <w:pStyle w:val="TableContents"/>
                                    <w:bidi w:val="0"/>
                                    <w:spacing w:before="0" w:after="0"/>
                                    <w:jc w:val="left"/>
                                    <w:rPr/>
                                  </w:pPr>
                                  <w:r>
                                    <w:rPr/>
                                    <w:t> </w:t>
                                  </w:r>
                                </w:p>
                              </w:tc>
                              <w:tc>
                                <w:tcPr>
                                  <w:tcW w:w="215" w:type="dxa"/>
                                  <w:tcBorders/>
                                  <w:shd w:fill="BAE2F8"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9805"/>
                              <w:gridCol w:w="215"/>
                            </w:tblGrid>
                            <w:tr>
                              <w:trPr/>
                              <w:tc>
                                <w:tcPr>
                                  <w:tcW w:w="185" w:type="dxa"/>
                                  <w:tcBorders/>
                                  <w:shd w:fill="0079C1" w:val="clear"/>
                                  <w:vAlign w:val="center"/>
                                </w:tcPr>
                                <w:p>
                                  <w:pPr>
                                    <w:pStyle w:val="TableContents"/>
                                    <w:bidi w:val="0"/>
                                    <w:spacing w:before="0" w:after="0"/>
                                    <w:jc w:val="left"/>
                                    <w:rPr/>
                                  </w:pPr>
                                  <w:r>
                                    <w:rPr/>
                                    <w:t> </w:t>
                                  </w:r>
                                </w:p>
                              </w:tc>
                              <w:tc>
                                <w:tcPr>
                                  <w:tcW w:w="9805" w:type="dxa"/>
                                  <w:tcBorders/>
                                  <w:shd w:fill="0079C1" w:val="clear"/>
                                  <w:vAlign w:val="center"/>
                                </w:tcPr>
                                <w:p>
                                  <w:pPr>
                                    <w:pStyle w:val="TableContents"/>
                                    <w:bidi w:val="0"/>
                                    <w:spacing w:before="0" w:after="0"/>
                                    <w:jc w:val="left"/>
                                    <w:rPr/>
                                  </w:pPr>
                                  <w:r>
                                    <w:rPr/>
                                    <w:t> </w:t>
                                  </w:r>
                                </w:p>
                              </w:tc>
                              <w:tc>
                                <w:tcPr>
                                  <w:tcW w:w="215" w:type="dxa"/>
                                  <w:tcBorders/>
                                  <w:shd w:fill="0079C1" w:val="clear"/>
                                  <w:vAlign w:val="center"/>
                                </w:tcPr>
                                <w:p>
                                  <w:pPr>
                                    <w:pStyle w:val="TableContents"/>
                                    <w:bidi w:val="0"/>
                                    <w:spacing w:before="0" w:after="0"/>
                                    <w:jc w:val="left"/>
                                    <w:rPr/>
                                  </w:pPr>
                                  <w:r>
                                    <w:rPr/>
                                    <w:t> </w:t>
                                  </w:r>
                                </w:p>
                              </w:tc>
                            </w:tr>
                            <w:tr>
                              <w:trPr/>
                              <w:tc>
                                <w:tcPr>
                                  <w:tcW w:w="185" w:type="dxa"/>
                                  <w:tcBorders/>
                                  <w:shd w:fill="0079C1" w:val="clear"/>
                                  <w:vAlign w:val="center"/>
                                </w:tcPr>
                                <w:p>
                                  <w:pPr>
                                    <w:pStyle w:val="TableContents"/>
                                    <w:bidi w:val="0"/>
                                    <w:spacing w:before="0" w:after="0"/>
                                    <w:jc w:val="left"/>
                                    <w:rPr/>
                                  </w:pPr>
                                  <w:r>
                                    <w:rPr/>
                                    <w:t> </w:t>
                                  </w:r>
                                </w:p>
                              </w:tc>
                              <w:tc>
                                <w:tcPr>
                                  <w:tcW w:w="9805" w:type="dxa"/>
                                  <w:tcBorders/>
                                  <w:shd w:fill="0079C1" w:val="clear"/>
                                  <w:vAlign w:val="center"/>
                                </w:tcPr>
                                <w:p>
                                  <w:pPr>
                                    <w:pStyle w:val="TableContents"/>
                                    <w:bidi w:val="0"/>
                                    <w:spacing w:before="0" w:after="283"/>
                                    <w:ind w:left="60" w:right="0" w:hanging="0"/>
                                    <w:jc w:val="both"/>
                                    <w:rPr>
                                      <w:rFonts w:ascii="Arial;Helvetica;sans-serif" w:hAnsi="Arial;Helvetica;sans-serif"/>
                                      <w:b/>
                                      <w:color w:val="FFFFFF"/>
                                      <w:sz w:val="18"/>
                                    </w:rPr>
                                  </w:pPr>
                                  <w:r>
                                    <w:rPr>
                                      <w:rFonts w:ascii="Arial;Helvetica;sans-serif" w:hAnsi="Arial;Helvetica;sans-serif"/>
                                      <w:b/>
                                      <w:color w:val="FFFFFF"/>
                                      <w:sz w:val="18"/>
                                    </w:rPr>
                                    <w:t>IMPORTANT NOTICE REGARDING THE AVAILABILITY OF PROXY MATERIALS FOR THE ANNUAL MEETING OF STOCKHOLDERS TO BE HELD ON June 12, 2025:</w:t>
                                  </w:r>
                                </w:p>
                                <w:p>
                                  <w:pPr>
                                    <w:pStyle w:val="TableContents"/>
                                    <w:bidi w:val="0"/>
                                    <w:spacing w:before="100" w:after="283"/>
                                    <w:ind w:left="60" w:right="0" w:hanging="0"/>
                                    <w:jc w:val="both"/>
                                    <w:rPr>
                                      <w:rFonts w:ascii="Arial;Helvetica;sans-serif" w:hAnsi="Arial;Helvetica;sans-serif"/>
                                      <w:b/>
                                      <w:color w:val="FFFFFF"/>
                                      <w:sz w:val="18"/>
                                    </w:rPr>
                                  </w:pPr>
                                  <w:r>
                                    <w:rPr>
                                      <w:rFonts w:ascii="Arial;Helvetica;sans-serif" w:hAnsi="Arial;Helvetica;sans-serif"/>
                                      <w:b/>
                                      <w:color w:val="FFFFFF"/>
                                      <w:sz w:val="18"/>
                                    </w:rPr>
                                    <w:t>The Notice of 2025 Annual Meeting of Stockholders, the Proxy Statement, the 2024 Annual Report to Stockholders and instructions for voting via the Internet can be accessed at proxyvote.com.</w:t>
                                  </w:r>
                                </w:p>
                              </w:tc>
                              <w:tc>
                                <w:tcPr>
                                  <w:tcW w:w="215" w:type="dxa"/>
                                  <w:tcBorders/>
                                  <w:shd w:fill="0079C1" w:val="clear"/>
                                  <w:vAlign w:val="center"/>
                                </w:tcPr>
                                <w:p>
                                  <w:pPr>
                                    <w:pStyle w:val="TableContents"/>
                                    <w:bidi w:val="0"/>
                                    <w:spacing w:before="0" w:after="0"/>
                                    <w:jc w:val="left"/>
                                    <w:rPr/>
                                  </w:pPr>
                                  <w:r>
                                    <w:rPr/>
                                    <w:t> </w:t>
                                  </w:r>
                                </w:p>
                              </w:tc>
                            </w:tr>
                            <w:tr>
                              <w:trPr/>
                              <w:tc>
                                <w:tcPr>
                                  <w:tcW w:w="185" w:type="dxa"/>
                                  <w:tcBorders/>
                                  <w:shd w:fill="0079C1" w:val="clear"/>
                                  <w:vAlign w:val="center"/>
                                </w:tcPr>
                                <w:p>
                                  <w:pPr>
                                    <w:pStyle w:val="TableContents"/>
                                    <w:bidi w:val="0"/>
                                    <w:spacing w:before="0" w:after="0"/>
                                    <w:jc w:val="left"/>
                                    <w:rPr/>
                                  </w:pPr>
                                  <w:r>
                                    <w:rPr/>
                                    <w:t> </w:t>
                                  </w:r>
                                </w:p>
                              </w:tc>
                              <w:tc>
                                <w:tcPr>
                                  <w:tcW w:w="9805" w:type="dxa"/>
                                  <w:tcBorders/>
                                  <w:shd w:fill="0079C1" w:val="clear"/>
                                  <w:vAlign w:val="center"/>
                                </w:tcPr>
                                <w:p>
                                  <w:pPr>
                                    <w:pStyle w:val="TableContents"/>
                                    <w:bidi w:val="0"/>
                                    <w:spacing w:before="0" w:after="0"/>
                                    <w:jc w:val="left"/>
                                    <w:rPr/>
                                  </w:pPr>
                                  <w:r>
                                    <w:rPr/>
                                    <w:t> </w:t>
                                  </w:r>
                                </w:p>
                              </w:tc>
                              <w:tc>
                                <w:tcPr>
                                  <w:tcW w:w="215" w:type="dxa"/>
                                  <w:tcBorders/>
                                  <w:shd w:fill="0079C1"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9805"/>
                              <w:gridCol w:w="215"/>
                            </w:tblGrid>
                            <w:tr>
                              <w:trPr/>
                              <w:tc>
                                <w:tcPr>
                                  <w:tcW w:w="185" w:type="dxa"/>
                                  <w:tcBorders/>
                                  <w:shd w:fill="0D3F64" w:val="clear"/>
                                  <w:vAlign w:val="center"/>
                                </w:tcPr>
                                <w:p>
                                  <w:pPr>
                                    <w:pStyle w:val="TableContents"/>
                                    <w:bidi w:val="0"/>
                                    <w:spacing w:before="0" w:after="0"/>
                                    <w:jc w:val="left"/>
                                    <w:rPr/>
                                  </w:pPr>
                                  <w:r>
                                    <w:rPr/>
                                    <w:t> </w:t>
                                  </w:r>
                                </w:p>
                              </w:tc>
                              <w:tc>
                                <w:tcPr>
                                  <w:tcW w:w="9805" w:type="dxa"/>
                                  <w:tcBorders/>
                                  <w:shd w:fill="0D3F64" w:val="clear"/>
                                  <w:vAlign w:val="center"/>
                                </w:tcPr>
                                <w:p>
                                  <w:pPr>
                                    <w:pStyle w:val="TableContents"/>
                                    <w:bidi w:val="0"/>
                                    <w:spacing w:before="0" w:after="0"/>
                                    <w:jc w:val="left"/>
                                    <w:rPr/>
                                  </w:pPr>
                                  <w:r>
                                    <w:rPr/>
                                    <w:t> </w:t>
                                  </w:r>
                                </w:p>
                              </w:tc>
                              <w:tc>
                                <w:tcPr>
                                  <w:tcW w:w="215" w:type="dxa"/>
                                  <w:tcBorders/>
                                  <w:shd w:fill="0D3F64" w:val="clear"/>
                                  <w:vAlign w:val="center"/>
                                </w:tcPr>
                                <w:p>
                                  <w:pPr>
                                    <w:pStyle w:val="TableContents"/>
                                    <w:bidi w:val="0"/>
                                    <w:spacing w:before="0" w:after="0"/>
                                    <w:jc w:val="left"/>
                                    <w:rPr/>
                                  </w:pPr>
                                  <w:r>
                                    <w:rPr/>
                                    <w:t> </w:t>
                                  </w:r>
                                </w:p>
                              </w:tc>
                            </w:tr>
                            <w:tr>
                              <w:trPr/>
                              <w:tc>
                                <w:tcPr>
                                  <w:tcW w:w="185" w:type="dxa"/>
                                  <w:tcBorders/>
                                  <w:shd w:fill="0D3F64" w:val="clear"/>
                                  <w:vAlign w:val="center"/>
                                </w:tcPr>
                                <w:p>
                                  <w:pPr>
                                    <w:pStyle w:val="TableContents"/>
                                    <w:bidi w:val="0"/>
                                    <w:spacing w:before="0" w:after="0"/>
                                    <w:jc w:val="left"/>
                                    <w:rPr/>
                                  </w:pPr>
                                  <w:r>
                                    <w:rPr/>
                                    <w:t> </w:t>
                                  </w:r>
                                </w:p>
                              </w:tc>
                              <w:tc>
                                <w:tcPr>
                                  <w:tcW w:w="9805" w:type="dxa"/>
                                  <w:tcBorders/>
                                  <w:shd w:fill="0D3F64" w:val="clear"/>
                                  <w:vAlign w:val="center"/>
                                </w:tcPr>
                                <w:p>
                                  <w:pPr>
                                    <w:pStyle w:val="TableContents"/>
                                    <w:bidi w:val="0"/>
                                    <w:spacing w:before="0" w:after="283"/>
                                    <w:ind w:left="60" w:right="0" w:hanging="0"/>
                                    <w:jc w:val="left"/>
                                    <w:rPr>
                                      <w:rFonts w:ascii="Arial;Helvetica;sans-serif" w:hAnsi="Arial;Helvetica;sans-serif"/>
                                      <w:b/>
                                      <w:color w:val="FFFFFF"/>
                                      <w:sz w:val="24"/>
                                    </w:rPr>
                                  </w:pPr>
                                  <w:r>
                                    <w:rPr>
                                      <w:rFonts w:ascii="Arial;Helvetica;sans-serif" w:hAnsi="Arial;Helvetica;sans-serif"/>
                                      <w:b/>
                                      <w:color w:val="FFFFFF"/>
                                      <w:sz w:val="24"/>
                                    </w:rPr>
                                    <w:t>How to Vote in Advance</w:t>
                                  </w:r>
                                </w:p>
                                <w:p>
                                  <w:pPr>
                                    <w:pStyle w:val="TableContents"/>
                                    <w:bidi w:val="0"/>
                                    <w:spacing w:lineRule="atLeast" w:line="190" w:before="0" w:after="283"/>
                                    <w:ind w:left="60" w:right="0" w:hanging="0"/>
                                    <w:jc w:val="both"/>
                                    <w:rPr>
                                      <w:rFonts w:ascii="Arial;Helvetica;sans-serif" w:hAnsi="Arial;Helvetica;sans-serif"/>
                                      <w:b w:val="false"/>
                                      <w:color w:val="FFFFFF"/>
                                      <w:sz w:val="18"/>
                                    </w:rPr>
                                  </w:pPr>
                                  <w:r>
                                    <w:rPr>
                                      <w:rFonts w:ascii="Arial;Helvetica;sans-serif" w:hAnsi="Arial;Helvetica;sans-serif"/>
                                      <w:b w:val="false"/>
                                      <w:color w:val="FFFFFF"/>
                                      <w:sz w:val="18"/>
                                    </w:rPr>
                                    <w:t>Your vote is important. Please vote as soon as possible by one of the methods shown below. Your Notice of Internet Availability of Proxy Materials, proxy card or voting instruction form should be readily available.</w:t>
                                  </w:r>
                                </w:p>
                                <w:p>
                                  <w:pPr>
                                    <w:pStyle w:val="TableContents"/>
                                    <w:bidi w:val="0"/>
                                    <w:spacing w:before="120" w:after="283"/>
                                    <w:ind w:left="60" w:right="0" w:hanging="0"/>
                                    <w:jc w:val="left"/>
                                    <w:rPr>
                                      <w:rFonts w:ascii="Arial;Helvetica;sans-serif" w:hAnsi="Arial;Helvetica;sans-serif"/>
                                      <w:b/>
                                      <w:color w:val="FFFFFF"/>
                                      <w:sz w:val="18"/>
                                    </w:rPr>
                                  </w:pPr>
                                  <w:r>
                                    <w:rPr>
                                      <w:rFonts w:ascii="Arial;Helvetica;sans-serif" w:hAnsi="Arial;Helvetica;sans-serif"/>
                                      <w:b w:val="false"/>
                                      <w:i/>
                                      <w:color w:val="FFFFFF"/>
                                      <w:sz w:val="18"/>
                                    </w:rPr>
                                    <w:t xml:space="preserve">Via </w:t>
                                  </w:r>
                                  <w:r>
                                    <w:rPr>
                                      <w:rFonts w:ascii="Arial;Helvetica;sans-serif" w:hAnsi="Arial;Helvetica;sans-serif"/>
                                      <w:b w:val="false"/>
                                      <w:color w:val="FFFFFF"/>
                                      <w:sz w:val="18"/>
                                    </w:rPr>
                                    <w:t xml:space="preserve">Internet </w:t>
                                  </w:r>
                                  <w:r>
                                    <w:rPr>
                                      <w:rFonts w:ascii="Arial;Helvetica;sans-serif" w:hAnsi="Arial;Helvetica;sans-serif"/>
                                      <w:b w:val="false"/>
                                      <w:i/>
                                      <w:color w:val="FFFFFF"/>
                                      <w:sz w:val="18"/>
                                    </w:rPr>
                                    <w:t>(Any Web-Enabled Device)</w:t>
                                  </w:r>
                                </w:p>
                                <w:p>
                                  <w:pPr>
                                    <w:pStyle w:val="TableContents"/>
                                    <w:bidi w:val="0"/>
                                    <w:spacing w:before="0" w:after="283"/>
                                    <w:ind w:left="60" w:right="0" w:hanging="0"/>
                                    <w:jc w:val="left"/>
                                    <w:rPr>
                                      <w:color w:val="FFFFFF"/>
                                    </w:rPr>
                                  </w:pPr>
                                  <w:r>
                                    <w:rPr>
                                      <w:color w:val="FFFFFF"/>
                                    </w:rPr>
                                    <w:drawing>
                                      <wp:inline distT="0" distB="0" distL="0" distR="0">
                                        <wp:extent cx="2590800" cy="571500"/>
                                        <wp:effectExtent l="0" t="0" r="0" b="0"/>
                                        <wp:docPr id="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 descr=""/>
                                                <pic:cNvPicPr>
                                                  <a:picLocks noChangeAspect="1" noChangeArrowheads="1"/>
                                                </pic:cNvPicPr>
                                              </pic:nvPicPr>
                                              <pic:blipFill>
                                                <a:blip r:embed="rId8"/>
                                                <a:stretch>
                                                  <a:fillRect/>
                                                </a:stretch>
                                              </pic:blipFill>
                                              <pic:spPr bwMode="auto">
                                                <a:xfrm>
                                                  <a:off x="0" y="0"/>
                                                  <a:ext cx="2590800" cy="571500"/>
                                                </a:xfrm>
                                                <a:prstGeom prst="rect">
                                                  <a:avLst/>
                                                </a:prstGeom>
                                              </pic:spPr>
                                            </pic:pic>
                                          </a:graphicData>
                                        </a:graphic>
                                      </wp:inline>
                                    </w:drawing>
                                  </w:r>
                                </w:p>
                                <w:p>
                                  <w:pPr>
                                    <w:pStyle w:val="TableContents"/>
                                    <w:bidi w:val="0"/>
                                    <w:spacing w:before="0" w:after="283"/>
                                    <w:ind w:left="60" w:right="0" w:hanging="0"/>
                                    <w:jc w:val="left"/>
                                    <w:rPr>
                                      <w:color w:val="FFFFFF"/>
                                    </w:rPr>
                                  </w:pPr>
                                  <w:r>
                                    <w:rPr>
                                      <w:color w:val="FFFFFF"/>
                                    </w:rPr>
                                    <w:t xml:space="preserve">  </w:t>
                                  </w:r>
                                </w:p>
                                <w:p>
                                  <w:pPr>
                                    <w:pStyle w:val="TableContents"/>
                                    <w:bidi w:val="0"/>
                                    <w:spacing w:before="0" w:after="283"/>
                                    <w:ind w:left="60" w:right="0" w:hanging="0"/>
                                    <w:jc w:val="left"/>
                                    <w:rPr>
                                      <w:rFonts w:ascii="Arial;Helvetica;sans-serif" w:hAnsi="Arial;Helvetica;sans-serif"/>
                                      <w:b w:val="false"/>
                                      <w:i/>
                                      <w:color w:val="FFFFFF"/>
                                      <w:sz w:val="18"/>
                                    </w:rPr>
                                  </w:pPr>
                                  <w:r>
                                    <w:rPr>
                                      <w:rFonts w:ascii="Arial;Helvetica;sans-serif" w:hAnsi="Arial;Helvetica;sans-serif"/>
                                      <w:b w:val="false"/>
                                      <w:i/>
                                      <w:color w:val="FFFFFF"/>
                                      <w:sz w:val="18"/>
                                    </w:rPr>
                                    <w:t>By Telephone (U.S. or Canada only)</w:t>
                                  </w:r>
                                </w:p>
                                <w:p>
                                  <w:pPr>
                                    <w:pStyle w:val="TableContents"/>
                                    <w:bidi w:val="0"/>
                                    <w:spacing w:before="0" w:after="283"/>
                                    <w:ind w:left="60" w:right="0" w:hanging="0"/>
                                    <w:jc w:val="left"/>
                                    <w:rPr>
                                      <w:color w:val="FFFFFF"/>
                                    </w:rPr>
                                  </w:pPr>
                                  <w:r>
                                    <w:rPr>
                                      <w:color w:val="FFFFFF"/>
                                    </w:rPr>
                                    <w:drawing>
                                      <wp:inline distT="0" distB="0" distL="0" distR="0">
                                        <wp:extent cx="2590800" cy="571500"/>
                                        <wp:effectExtent l="0" t="0" r="0" b="0"/>
                                        <wp:docPr id="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8" descr=""/>
                                                <pic:cNvPicPr>
                                                  <a:picLocks noChangeAspect="1" noChangeArrowheads="1"/>
                                                </pic:cNvPicPr>
                                              </pic:nvPicPr>
                                              <pic:blipFill>
                                                <a:blip r:embed="rId9"/>
                                                <a:stretch>
                                                  <a:fillRect/>
                                                </a:stretch>
                                              </pic:blipFill>
                                              <pic:spPr bwMode="auto">
                                                <a:xfrm>
                                                  <a:off x="0" y="0"/>
                                                  <a:ext cx="2590800" cy="571500"/>
                                                </a:xfrm>
                                                <a:prstGeom prst="rect">
                                                  <a:avLst/>
                                                </a:prstGeom>
                                              </pic:spPr>
                                            </pic:pic>
                                          </a:graphicData>
                                        </a:graphic>
                                      </wp:inline>
                                    </w:drawing>
                                  </w:r>
                                </w:p>
                                <w:p>
                                  <w:pPr>
                                    <w:pStyle w:val="TableContents"/>
                                    <w:bidi w:val="0"/>
                                    <w:spacing w:before="0" w:after="283"/>
                                    <w:ind w:left="60" w:right="0" w:hanging="0"/>
                                    <w:jc w:val="left"/>
                                    <w:rPr>
                                      <w:color w:val="FFFFFF"/>
                                    </w:rPr>
                                  </w:pPr>
                                  <w:r>
                                    <w:rPr>
                                      <w:color w:val="FFFFFF"/>
                                    </w:rPr>
                                    <w:t xml:space="preserve">  </w:t>
                                  </w:r>
                                </w:p>
                                <w:p>
                                  <w:pPr>
                                    <w:pStyle w:val="TableContents"/>
                                    <w:bidi w:val="0"/>
                                    <w:spacing w:before="0" w:after="283"/>
                                    <w:ind w:left="60" w:right="0" w:hanging="0"/>
                                    <w:jc w:val="left"/>
                                    <w:rPr>
                                      <w:rFonts w:ascii="Arial;Helvetica;sans-serif" w:hAnsi="Arial;Helvetica;sans-serif"/>
                                      <w:b w:val="false"/>
                                      <w:i/>
                                      <w:color w:val="FFFFFF"/>
                                      <w:sz w:val="18"/>
                                    </w:rPr>
                                  </w:pPr>
                                  <w:r>
                                    <w:rPr>
                                      <w:rFonts w:ascii="Arial;Helvetica;sans-serif" w:hAnsi="Arial;Helvetica;sans-serif"/>
                                      <w:b w:val="false"/>
                                      <w:i/>
                                      <w:color w:val="FFFFFF"/>
                                      <w:sz w:val="18"/>
                                    </w:rPr>
                                    <w:t>By Mail (Pursuant to Printed Materials)</w:t>
                                  </w:r>
                                </w:p>
                                <w:p>
                                  <w:pPr>
                                    <w:pStyle w:val="TableContents"/>
                                    <w:bidi w:val="0"/>
                                    <w:spacing w:before="0" w:after="283"/>
                                    <w:ind w:left="60" w:right="0" w:hanging="0"/>
                                    <w:jc w:val="left"/>
                                    <w:rPr>
                                      <w:color w:val="FFFFFF"/>
                                    </w:rPr>
                                  </w:pPr>
                                  <w:r>
                                    <w:rPr>
                                      <w:color w:val="FFFFFF"/>
                                    </w:rPr>
                                    <w:drawing>
                                      <wp:inline distT="0" distB="0" distL="0" distR="0">
                                        <wp:extent cx="2590800" cy="571500"/>
                                        <wp:effectExtent l="0" t="0" r="0" b="0"/>
                                        <wp:docPr id="1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9" descr=""/>
                                                <pic:cNvPicPr>
                                                  <a:picLocks noChangeAspect="1" noChangeArrowheads="1"/>
                                                </pic:cNvPicPr>
                                              </pic:nvPicPr>
                                              <pic:blipFill>
                                                <a:blip r:embed="rId10"/>
                                                <a:stretch>
                                                  <a:fillRect/>
                                                </a:stretch>
                                              </pic:blipFill>
                                              <pic:spPr bwMode="auto">
                                                <a:xfrm>
                                                  <a:off x="0" y="0"/>
                                                  <a:ext cx="2590800" cy="571500"/>
                                                </a:xfrm>
                                                <a:prstGeom prst="rect">
                                                  <a:avLst/>
                                                </a:prstGeom>
                                              </pic:spPr>
                                            </pic:pic>
                                          </a:graphicData>
                                        </a:graphic>
                                      </wp:inline>
                                    </w:drawing>
                                  </w:r>
                                </w:p>
                                <w:p>
                                  <w:pPr>
                                    <w:pStyle w:val="TableContents"/>
                                    <w:bidi w:val="0"/>
                                    <w:spacing w:before="0" w:after="283"/>
                                    <w:ind w:left="60" w:right="0" w:hanging="0"/>
                                    <w:jc w:val="left"/>
                                    <w:rPr>
                                      <w:color w:val="FFFFFF"/>
                                    </w:rPr>
                                  </w:pPr>
                                  <w:r>
                                    <w:rPr>
                                      <w:color w:val="FFFFFF"/>
                                    </w:rPr>
                                    <w:t xml:space="preserve">  </w:t>
                                  </w:r>
                                </w:p>
                                <w:p>
                                  <w:pPr>
                                    <w:pStyle w:val="TableContents"/>
                                    <w:bidi w:val="0"/>
                                    <w:spacing w:lineRule="atLeast" w:line="190" w:before="0" w:after="283"/>
                                    <w:ind w:left="60" w:right="0" w:hanging="0"/>
                                    <w:jc w:val="both"/>
                                    <w:rPr>
                                      <w:rFonts w:ascii="Arial;Helvetica;sans-serif" w:hAnsi="Arial;Helvetica;sans-serif"/>
                                      <w:b/>
                                      <w:color w:val="FFFFFF"/>
                                      <w:sz w:val="18"/>
                                    </w:rPr>
                                  </w:pPr>
                                  <w:r>
                                    <w:rPr>
                                      <w:rFonts w:ascii="Arial;Helvetica;sans-serif" w:hAnsi="Arial;Helvetica;sans-serif"/>
                                      <w:b w:val="false"/>
                                      <w:color w:val="FFFFFF"/>
                                      <w:sz w:val="18"/>
                                    </w:rPr>
                                    <w:t xml:space="preserve">We will maintain a list of stockholders of record as of the record date at our corporate headquarters located at 42307 Osgood Road, Suite I, Fremont, California 94539 for a period of ten days prior to, and ending at the close of, the Annual Meeting. In order for us to make the list available to you quickly and safety, we recommend that you notify us by emailing </w:t>
                                  </w:r>
                                  <w:r>
                                    <w:rPr>
                                      <w:rFonts w:ascii="Arial;Helvetica;sans-serif" w:hAnsi="Arial;Helvetica;sans-serif"/>
                                      <w:b w:val="false"/>
                                      <w:i/>
                                      <w:color w:val="FFFFFF"/>
                                      <w:sz w:val="18"/>
                                    </w:rPr>
                                    <w:t>investor.relations@acmr.com</w:t>
                                  </w:r>
                                  <w:r>
                                    <w:rPr>
                                      <w:rFonts w:ascii="Arial;Helvetica;sans-serif" w:hAnsi="Arial;Helvetica;sans-serif"/>
                                      <w:b/>
                                      <w:color w:val="FFFFFF"/>
                                      <w:sz w:val="18"/>
                                    </w:rPr>
                                    <w:t xml:space="preserve"> </w:t>
                                  </w:r>
                                  <w:r>
                                    <w:rPr>
                                      <w:rFonts w:ascii="Arial;Helvetica;sans-serif" w:hAnsi="Arial;Helvetica;sans-serif"/>
                                      <w:b w:val="false"/>
                                      <w:color w:val="FFFFFF"/>
                                      <w:sz w:val="18"/>
                                    </w:rPr>
                                    <w:t xml:space="preserve">one business day in advance of the day on which you intend to review the list. Beginning fifteen minutes prior to, and ending at the close of, the Annual Meeting, the list of our stockholders of record will be available for viewing by stockholders for any purpose germane to the meeting at </w:t>
                                  </w:r>
                                  <w:r>
                                    <w:rPr>
                                      <w:rFonts w:ascii="Arial;Helvetica;sans-serif" w:hAnsi="Arial;Helvetica;sans-serif"/>
                                      <w:b w:val="false"/>
                                      <w:i/>
                                      <w:color w:val="FFFFFF"/>
                                      <w:sz w:val="18"/>
                                    </w:rPr>
                                    <w:t>virtualshareholdermeeting.com/ACMR2025.</w:t>
                                  </w:r>
                                </w:p>
                              </w:tc>
                              <w:tc>
                                <w:tcPr>
                                  <w:tcW w:w="215" w:type="dxa"/>
                                  <w:tcBorders/>
                                  <w:shd w:fill="0D3F64" w:val="clear"/>
                                  <w:vAlign w:val="center"/>
                                </w:tcPr>
                                <w:p>
                                  <w:pPr>
                                    <w:pStyle w:val="TableContents"/>
                                    <w:bidi w:val="0"/>
                                    <w:spacing w:before="0" w:after="0"/>
                                    <w:jc w:val="left"/>
                                    <w:rPr/>
                                  </w:pPr>
                                  <w:r>
                                    <w:rPr/>
                                    <w:t> </w:t>
                                  </w:r>
                                </w:p>
                              </w:tc>
                            </w:tr>
                            <w:tr>
                              <w:trPr/>
                              <w:tc>
                                <w:tcPr>
                                  <w:tcW w:w="185" w:type="dxa"/>
                                  <w:tcBorders/>
                                  <w:shd w:fill="0D3F64" w:val="clear"/>
                                  <w:vAlign w:val="center"/>
                                </w:tcPr>
                                <w:p>
                                  <w:pPr>
                                    <w:pStyle w:val="TableContents"/>
                                    <w:bidi w:val="0"/>
                                    <w:spacing w:before="0" w:after="0"/>
                                    <w:jc w:val="left"/>
                                    <w:rPr/>
                                  </w:pPr>
                                  <w:r>
                                    <w:rPr/>
                                    <w:t> </w:t>
                                  </w:r>
                                </w:p>
                              </w:tc>
                              <w:tc>
                                <w:tcPr>
                                  <w:tcW w:w="9805" w:type="dxa"/>
                                  <w:tcBorders/>
                                  <w:shd w:fill="0D3F64" w:val="clear"/>
                                  <w:vAlign w:val="center"/>
                                </w:tcPr>
                                <w:p>
                                  <w:pPr>
                                    <w:pStyle w:val="TableContents"/>
                                    <w:bidi w:val="0"/>
                                    <w:spacing w:before="0" w:after="0"/>
                                    <w:jc w:val="left"/>
                                    <w:rPr/>
                                  </w:pPr>
                                  <w:r>
                                    <w:rPr/>
                                    <w:t> </w:t>
                                  </w:r>
                                </w:p>
                              </w:tc>
                              <w:tc>
                                <w:tcPr>
                                  <w:tcW w:w="215" w:type="dxa"/>
                                  <w:tcBorders/>
                                  <w:shd w:fill="0D3F64" w:val="clear"/>
                                  <w:vAlign w:val="center"/>
                                </w:tcPr>
                                <w:p>
                                  <w:pPr>
                                    <w:pStyle w:val="TableContents"/>
                                    <w:bidi w:val="0"/>
                                    <w:spacing w:before="0" w:after="0"/>
                                    <w:jc w:val="left"/>
                                    <w:rPr/>
                                  </w:pPr>
                                  <w:r>
                                    <w:rPr/>
                                    <w:t> </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16pt;height:785.2pt;mso-wrap-distance-left:12pt;mso-wrap-distance-right:0pt;mso-wrap-distance-top:0pt;mso-wrap-distance-bottom:0pt;margin-top:0pt;mso-position-vertical:top;mso-position-vertical-relative:text;margin-left:12pt;mso-position-horizontal:left;mso-position-horizontal-relative:text">
                <v:textbox>
                  <w:txbxContent>
                    <w:tbl>
                      <w:tblPr>
                        <w:tblW w:w="4395" w:type="dxa"/>
                        <w:jc w:val="left"/>
                        <w:tblInd w:w="0" w:type="dxa"/>
                        <w:tblLayout w:type="fixed"/>
                        <w:tblCellMar>
                          <w:top w:w="0" w:type="dxa"/>
                          <w:left w:w="0" w:type="dxa"/>
                          <w:bottom w:w="0" w:type="dxa"/>
                          <w:right w:w="0" w:type="dxa"/>
                        </w:tblCellMar>
                      </w:tblPr>
                      <w:tblGrid>
                        <w:gridCol w:w="185"/>
                        <w:gridCol w:w="3995"/>
                        <w:gridCol w:w="215"/>
                      </w:tblGrid>
                      <w:tr>
                        <w:trPr/>
                        <w:tc>
                          <w:tcPr>
                            <w:tcW w:w="185" w:type="dxa"/>
                            <w:tcBorders/>
                            <w:shd w:fill="BAE2F8" w:val="clear"/>
                            <w:vAlign w:val="center"/>
                          </w:tcPr>
                          <w:p>
                            <w:pPr>
                              <w:pStyle w:val="TableContents"/>
                              <w:bidi w:val="0"/>
                              <w:spacing w:before="0" w:after="0"/>
                              <w:jc w:val="left"/>
                              <w:rPr/>
                            </w:pPr>
                            <w:r>
                              <w:rPr/>
                              <w:t> </w:t>
                            </w:r>
                          </w:p>
                        </w:tc>
                        <w:tc>
                          <w:tcPr>
                            <w:tcW w:w="3995" w:type="dxa"/>
                            <w:tcBorders/>
                            <w:shd w:fill="BAE2F8" w:val="clear"/>
                            <w:vAlign w:val="center"/>
                          </w:tcPr>
                          <w:p>
                            <w:pPr>
                              <w:pStyle w:val="TableContents"/>
                              <w:bidi w:val="0"/>
                              <w:spacing w:before="0" w:after="0"/>
                              <w:jc w:val="left"/>
                              <w:rPr/>
                            </w:pPr>
                            <w:r>
                              <w:rPr/>
                              <w:t> </w:t>
                            </w:r>
                          </w:p>
                        </w:tc>
                        <w:tc>
                          <w:tcPr>
                            <w:tcW w:w="215" w:type="dxa"/>
                            <w:tcBorders/>
                            <w:shd w:fill="BAE2F8" w:val="clear"/>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3995" w:type="dxa"/>
                            <w:tcBorders/>
                            <w:shd w:fill="BAE2F8" w:val="clear"/>
                            <w:vAlign w:val="center"/>
                          </w:tcPr>
                          <w:p>
                            <w:pPr>
                              <w:pStyle w:val="TableContents"/>
                              <w:bidi w:val="0"/>
                              <w:spacing w:before="0" w:after="283"/>
                              <w:ind w:left="60" w:right="0" w:hanging="0"/>
                              <w:jc w:val="left"/>
                              <w:rPr>
                                <w:rFonts w:ascii="Arial;Helvetica;sans-serif" w:hAnsi="Arial;Helvetica;sans-serif"/>
                                <w:b/>
                                <w:color w:val="3F609D"/>
                                <w:sz w:val="24"/>
                              </w:rPr>
                            </w:pPr>
                            <w:r>
                              <w:rPr>
                                <w:rFonts w:ascii="Arial;Helvetica;sans-serif" w:hAnsi="Arial;Helvetica;sans-serif"/>
                                <w:b/>
                                <w:color w:val="3F609D"/>
                                <w:sz w:val="24"/>
                              </w:rPr>
                              <w:t>When</w:t>
                            </w:r>
                          </w:p>
                          <w:p>
                            <w:pPr>
                              <w:pStyle w:val="TableContents"/>
                              <w:bidi w:val="0"/>
                              <w:spacing w:before="0" w:after="283"/>
                              <w:ind w:left="60" w:right="0" w:hanging="0"/>
                              <w:jc w:val="left"/>
                              <w:rPr>
                                <w:rFonts w:ascii="Arial;Helvetica;sans-serif" w:hAnsi="Arial;Helvetica;sans-serif"/>
                                <w:b w:val="false"/>
                                <w:color w:val="3F609D"/>
                                <w:sz w:val="20"/>
                              </w:rPr>
                            </w:pPr>
                            <w:r>
                              <w:rPr>
                                <w:rFonts w:ascii="Arial;Helvetica;sans-serif" w:hAnsi="Arial;Helvetica;sans-serif"/>
                                <w:b w:val="false"/>
                                <w:color w:val="3F609D"/>
                                <w:sz w:val="20"/>
                              </w:rPr>
                              <w:t>7 a.m., Pacific time, on June 12, 2025</w:t>
                            </w:r>
                          </w:p>
                          <w:p>
                            <w:pPr>
                              <w:pStyle w:val="TableContents"/>
                              <w:bidi w:val="0"/>
                              <w:spacing w:before="180" w:after="283"/>
                              <w:ind w:left="60" w:right="0" w:hanging="0"/>
                              <w:jc w:val="left"/>
                              <w:rPr>
                                <w:rFonts w:ascii="Arial;Helvetica;sans-serif" w:hAnsi="Arial;Helvetica;sans-serif"/>
                                <w:b/>
                                <w:color w:val="3F609D"/>
                                <w:sz w:val="24"/>
                              </w:rPr>
                            </w:pPr>
                            <w:r>
                              <w:rPr>
                                <w:rFonts w:ascii="Arial;Helvetica;sans-serif" w:hAnsi="Arial;Helvetica;sans-serif"/>
                                <w:b/>
                                <w:color w:val="3F609D"/>
                                <w:sz w:val="24"/>
                              </w:rPr>
                              <w:t>Where</w:t>
                            </w:r>
                          </w:p>
                          <w:p>
                            <w:pPr>
                              <w:pStyle w:val="TableContents"/>
                              <w:bidi w:val="0"/>
                              <w:spacing w:before="0" w:after="283"/>
                              <w:ind w:left="60" w:right="0" w:hanging="0"/>
                              <w:jc w:val="left"/>
                              <w:rPr>
                                <w:rFonts w:ascii="Arial;Helvetica;sans-serif" w:hAnsi="Arial;Helvetica;sans-serif"/>
                                <w:b w:val="false"/>
                                <w:color w:val="3F609D"/>
                                <w:sz w:val="20"/>
                              </w:rPr>
                            </w:pPr>
                            <w:r>
                              <w:rPr>
                                <w:rFonts w:ascii="Arial;Helvetica;sans-serif" w:hAnsi="Arial;Helvetica;sans-serif"/>
                                <w:b w:val="false"/>
                                <w:color w:val="3F609D"/>
                                <w:sz w:val="20"/>
                              </w:rPr>
                              <w:t>Webcast only, access at:</w:t>
                            </w:r>
                          </w:p>
                          <w:p>
                            <w:pPr>
                              <w:pStyle w:val="TableContents"/>
                              <w:bidi w:val="0"/>
                              <w:spacing w:before="0" w:after="283"/>
                              <w:ind w:left="60" w:right="0" w:hanging="0"/>
                              <w:jc w:val="left"/>
                              <w:rPr>
                                <w:color w:val="3F609D"/>
                              </w:rPr>
                            </w:pPr>
                            <w:r>
                              <w:rPr>
                                <w:color w:val="3F609D"/>
                              </w:rPr>
                              <w:t> </w:t>
                            </w:r>
                            <w:r>
                              <w:rPr>
                                <w:rFonts w:ascii="Arial;Helvetica;sans-serif" w:hAnsi="Arial;Helvetica;sans-serif"/>
                                <w:b w:val="false"/>
                                <w:i/>
                                <w:color w:val="3F609D"/>
                                <w:sz w:val="20"/>
                              </w:rPr>
                              <w:t>virtualshareholdermeeting.com/ACMR2025</w:t>
                            </w:r>
                          </w:p>
                        </w:tc>
                        <w:tc>
                          <w:tcPr>
                            <w:tcW w:w="215" w:type="dxa"/>
                            <w:tcBorders/>
                            <w:shd w:fill="BAE2F8" w:val="clear"/>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3995" w:type="dxa"/>
                            <w:tcBorders/>
                            <w:shd w:fill="BAE2F8" w:val="clear"/>
                            <w:vAlign w:val="center"/>
                          </w:tcPr>
                          <w:p>
                            <w:pPr>
                              <w:pStyle w:val="TableContents"/>
                              <w:bidi w:val="0"/>
                              <w:spacing w:before="0" w:after="0"/>
                              <w:jc w:val="left"/>
                              <w:rPr/>
                            </w:pPr>
                            <w:r>
                              <w:rPr/>
                              <w:t> </w:t>
                            </w:r>
                          </w:p>
                        </w:tc>
                        <w:tc>
                          <w:tcPr>
                            <w:tcW w:w="215" w:type="dxa"/>
                            <w:tcBorders/>
                            <w:shd w:fill="BAE2F8"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9805"/>
                        <w:gridCol w:w="215"/>
                      </w:tblGrid>
                      <w:tr>
                        <w:trPr/>
                        <w:tc>
                          <w:tcPr>
                            <w:tcW w:w="185" w:type="dxa"/>
                            <w:tcBorders/>
                            <w:shd w:fill="0079C1" w:val="clear"/>
                            <w:vAlign w:val="center"/>
                          </w:tcPr>
                          <w:p>
                            <w:pPr>
                              <w:pStyle w:val="TableContents"/>
                              <w:bidi w:val="0"/>
                              <w:spacing w:before="0" w:after="0"/>
                              <w:jc w:val="left"/>
                              <w:rPr/>
                            </w:pPr>
                            <w:r>
                              <w:rPr/>
                              <w:t> </w:t>
                            </w:r>
                          </w:p>
                        </w:tc>
                        <w:tc>
                          <w:tcPr>
                            <w:tcW w:w="9805" w:type="dxa"/>
                            <w:tcBorders/>
                            <w:shd w:fill="0079C1" w:val="clear"/>
                            <w:vAlign w:val="center"/>
                          </w:tcPr>
                          <w:p>
                            <w:pPr>
                              <w:pStyle w:val="TableContents"/>
                              <w:bidi w:val="0"/>
                              <w:spacing w:before="0" w:after="0"/>
                              <w:jc w:val="left"/>
                              <w:rPr/>
                            </w:pPr>
                            <w:r>
                              <w:rPr/>
                              <w:t> </w:t>
                            </w:r>
                          </w:p>
                        </w:tc>
                        <w:tc>
                          <w:tcPr>
                            <w:tcW w:w="215" w:type="dxa"/>
                            <w:tcBorders/>
                            <w:shd w:fill="0079C1" w:val="clear"/>
                            <w:vAlign w:val="center"/>
                          </w:tcPr>
                          <w:p>
                            <w:pPr>
                              <w:pStyle w:val="TableContents"/>
                              <w:bidi w:val="0"/>
                              <w:spacing w:before="0" w:after="0"/>
                              <w:jc w:val="left"/>
                              <w:rPr/>
                            </w:pPr>
                            <w:r>
                              <w:rPr/>
                              <w:t> </w:t>
                            </w:r>
                          </w:p>
                        </w:tc>
                      </w:tr>
                      <w:tr>
                        <w:trPr/>
                        <w:tc>
                          <w:tcPr>
                            <w:tcW w:w="185" w:type="dxa"/>
                            <w:tcBorders/>
                            <w:shd w:fill="0079C1" w:val="clear"/>
                            <w:vAlign w:val="center"/>
                          </w:tcPr>
                          <w:p>
                            <w:pPr>
                              <w:pStyle w:val="TableContents"/>
                              <w:bidi w:val="0"/>
                              <w:spacing w:before="0" w:after="0"/>
                              <w:jc w:val="left"/>
                              <w:rPr/>
                            </w:pPr>
                            <w:r>
                              <w:rPr/>
                              <w:t> </w:t>
                            </w:r>
                          </w:p>
                        </w:tc>
                        <w:tc>
                          <w:tcPr>
                            <w:tcW w:w="9805" w:type="dxa"/>
                            <w:tcBorders/>
                            <w:shd w:fill="0079C1" w:val="clear"/>
                            <w:vAlign w:val="center"/>
                          </w:tcPr>
                          <w:p>
                            <w:pPr>
                              <w:pStyle w:val="TableContents"/>
                              <w:bidi w:val="0"/>
                              <w:spacing w:before="0" w:after="283"/>
                              <w:ind w:left="60" w:right="0" w:hanging="0"/>
                              <w:jc w:val="both"/>
                              <w:rPr>
                                <w:rFonts w:ascii="Arial;Helvetica;sans-serif" w:hAnsi="Arial;Helvetica;sans-serif"/>
                                <w:b/>
                                <w:color w:val="FFFFFF"/>
                                <w:sz w:val="18"/>
                              </w:rPr>
                            </w:pPr>
                            <w:r>
                              <w:rPr>
                                <w:rFonts w:ascii="Arial;Helvetica;sans-serif" w:hAnsi="Arial;Helvetica;sans-serif"/>
                                <w:b/>
                                <w:color w:val="FFFFFF"/>
                                <w:sz w:val="18"/>
                              </w:rPr>
                              <w:t>IMPORTANT NOTICE REGARDING THE AVAILABILITY OF PROXY MATERIALS FOR THE ANNUAL MEETING OF STOCKHOLDERS TO BE HELD ON June 12, 2025:</w:t>
                            </w:r>
                          </w:p>
                          <w:p>
                            <w:pPr>
                              <w:pStyle w:val="TableContents"/>
                              <w:bidi w:val="0"/>
                              <w:spacing w:before="100" w:after="283"/>
                              <w:ind w:left="60" w:right="0" w:hanging="0"/>
                              <w:jc w:val="both"/>
                              <w:rPr>
                                <w:rFonts w:ascii="Arial;Helvetica;sans-serif" w:hAnsi="Arial;Helvetica;sans-serif"/>
                                <w:b/>
                                <w:color w:val="FFFFFF"/>
                                <w:sz w:val="18"/>
                              </w:rPr>
                            </w:pPr>
                            <w:r>
                              <w:rPr>
                                <w:rFonts w:ascii="Arial;Helvetica;sans-serif" w:hAnsi="Arial;Helvetica;sans-serif"/>
                                <w:b/>
                                <w:color w:val="FFFFFF"/>
                                <w:sz w:val="18"/>
                              </w:rPr>
                              <w:t>The Notice of 2025 Annual Meeting of Stockholders, the Proxy Statement, the 2024 Annual Report to Stockholders and instructions for voting via the Internet can be accessed at proxyvote.com.</w:t>
                            </w:r>
                          </w:p>
                        </w:tc>
                        <w:tc>
                          <w:tcPr>
                            <w:tcW w:w="215" w:type="dxa"/>
                            <w:tcBorders/>
                            <w:shd w:fill="0079C1" w:val="clear"/>
                            <w:vAlign w:val="center"/>
                          </w:tcPr>
                          <w:p>
                            <w:pPr>
                              <w:pStyle w:val="TableContents"/>
                              <w:bidi w:val="0"/>
                              <w:spacing w:before="0" w:after="0"/>
                              <w:jc w:val="left"/>
                              <w:rPr/>
                            </w:pPr>
                            <w:r>
                              <w:rPr/>
                              <w:t> </w:t>
                            </w:r>
                          </w:p>
                        </w:tc>
                      </w:tr>
                      <w:tr>
                        <w:trPr/>
                        <w:tc>
                          <w:tcPr>
                            <w:tcW w:w="185" w:type="dxa"/>
                            <w:tcBorders/>
                            <w:shd w:fill="0079C1" w:val="clear"/>
                            <w:vAlign w:val="center"/>
                          </w:tcPr>
                          <w:p>
                            <w:pPr>
                              <w:pStyle w:val="TableContents"/>
                              <w:bidi w:val="0"/>
                              <w:spacing w:before="0" w:after="0"/>
                              <w:jc w:val="left"/>
                              <w:rPr/>
                            </w:pPr>
                            <w:r>
                              <w:rPr/>
                              <w:t> </w:t>
                            </w:r>
                          </w:p>
                        </w:tc>
                        <w:tc>
                          <w:tcPr>
                            <w:tcW w:w="9805" w:type="dxa"/>
                            <w:tcBorders/>
                            <w:shd w:fill="0079C1" w:val="clear"/>
                            <w:vAlign w:val="center"/>
                          </w:tcPr>
                          <w:p>
                            <w:pPr>
                              <w:pStyle w:val="TableContents"/>
                              <w:bidi w:val="0"/>
                              <w:spacing w:before="0" w:after="0"/>
                              <w:jc w:val="left"/>
                              <w:rPr/>
                            </w:pPr>
                            <w:r>
                              <w:rPr/>
                              <w:t> </w:t>
                            </w:r>
                          </w:p>
                        </w:tc>
                        <w:tc>
                          <w:tcPr>
                            <w:tcW w:w="215" w:type="dxa"/>
                            <w:tcBorders/>
                            <w:shd w:fill="0079C1"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9805"/>
                        <w:gridCol w:w="215"/>
                      </w:tblGrid>
                      <w:tr>
                        <w:trPr/>
                        <w:tc>
                          <w:tcPr>
                            <w:tcW w:w="185" w:type="dxa"/>
                            <w:tcBorders/>
                            <w:shd w:fill="0D3F64" w:val="clear"/>
                            <w:vAlign w:val="center"/>
                          </w:tcPr>
                          <w:p>
                            <w:pPr>
                              <w:pStyle w:val="TableContents"/>
                              <w:bidi w:val="0"/>
                              <w:spacing w:before="0" w:after="0"/>
                              <w:jc w:val="left"/>
                              <w:rPr/>
                            </w:pPr>
                            <w:r>
                              <w:rPr/>
                              <w:t> </w:t>
                            </w:r>
                          </w:p>
                        </w:tc>
                        <w:tc>
                          <w:tcPr>
                            <w:tcW w:w="9805" w:type="dxa"/>
                            <w:tcBorders/>
                            <w:shd w:fill="0D3F64" w:val="clear"/>
                            <w:vAlign w:val="center"/>
                          </w:tcPr>
                          <w:p>
                            <w:pPr>
                              <w:pStyle w:val="TableContents"/>
                              <w:bidi w:val="0"/>
                              <w:spacing w:before="0" w:after="0"/>
                              <w:jc w:val="left"/>
                              <w:rPr/>
                            </w:pPr>
                            <w:r>
                              <w:rPr/>
                              <w:t> </w:t>
                            </w:r>
                          </w:p>
                        </w:tc>
                        <w:tc>
                          <w:tcPr>
                            <w:tcW w:w="215" w:type="dxa"/>
                            <w:tcBorders/>
                            <w:shd w:fill="0D3F64" w:val="clear"/>
                            <w:vAlign w:val="center"/>
                          </w:tcPr>
                          <w:p>
                            <w:pPr>
                              <w:pStyle w:val="TableContents"/>
                              <w:bidi w:val="0"/>
                              <w:spacing w:before="0" w:after="0"/>
                              <w:jc w:val="left"/>
                              <w:rPr/>
                            </w:pPr>
                            <w:r>
                              <w:rPr/>
                              <w:t> </w:t>
                            </w:r>
                          </w:p>
                        </w:tc>
                      </w:tr>
                      <w:tr>
                        <w:trPr/>
                        <w:tc>
                          <w:tcPr>
                            <w:tcW w:w="185" w:type="dxa"/>
                            <w:tcBorders/>
                            <w:shd w:fill="0D3F64" w:val="clear"/>
                            <w:vAlign w:val="center"/>
                          </w:tcPr>
                          <w:p>
                            <w:pPr>
                              <w:pStyle w:val="TableContents"/>
                              <w:bidi w:val="0"/>
                              <w:spacing w:before="0" w:after="0"/>
                              <w:jc w:val="left"/>
                              <w:rPr/>
                            </w:pPr>
                            <w:r>
                              <w:rPr/>
                              <w:t> </w:t>
                            </w:r>
                          </w:p>
                        </w:tc>
                        <w:tc>
                          <w:tcPr>
                            <w:tcW w:w="9805" w:type="dxa"/>
                            <w:tcBorders/>
                            <w:shd w:fill="0D3F64" w:val="clear"/>
                            <w:vAlign w:val="center"/>
                          </w:tcPr>
                          <w:p>
                            <w:pPr>
                              <w:pStyle w:val="TableContents"/>
                              <w:bidi w:val="0"/>
                              <w:spacing w:before="0" w:after="283"/>
                              <w:ind w:left="60" w:right="0" w:hanging="0"/>
                              <w:jc w:val="left"/>
                              <w:rPr>
                                <w:rFonts w:ascii="Arial;Helvetica;sans-serif" w:hAnsi="Arial;Helvetica;sans-serif"/>
                                <w:b/>
                                <w:color w:val="FFFFFF"/>
                                <w:sz w:val="24"/>
                              </w:rPr>
                            </w:pPr>
                            <w:r>
                              <w:rPr>
                                <w:rFonts w:ascii="Arial;Helvetica;sans-serif" w:hAnsi="Arial;Helvetica;sans-serif"/>
                                <w:b/>
                                <w:color w:val="FFFFFF"/>
                                <w:sz w:val="24"/>
                              </w:rPr>
                              <w:t>How to Vote in Advance</w:t>
                            </w:r>
                          </w:p>
                          <w:p>
                            <w:pPr>
                              <w:pStyle w:val="TableContents"/>
                              <w:bidi w:val="0"/>
                              <w:spacing w:lineRule="atLeast" w:line="190" w:before="0" w:after="283"/>
                              <w:ind w:left="60" w:right="0" w:hanging="0"/>
                              <w:jc w:val="both"/>
                              <w:rPr>
                                <w:rFonts w:ascii="Arial;Helvetica;sans-serif" w:hAnsi="Arial;Helvetica;sans-serif"/>
                                <w:b w:val="false"/>
                                <w:color w:val="FFFFFF"/>
                                <w:sz w:val="18"/>
                              </w:rPr>
                            </w:pPr>
                            <w:r>
                              <w:rPr>
                                <w:rFonts w:ascii="Arial;Helvetica;sans-serif" w:hAnsi="Arial;Helvetica;sans-serif"/>
                                <w:b w:val="false"/>
                                <w:color w:val="FFFFFF"/>
                                <w:sz w:val="18"/>
                              </w:rPr>
                              <w:t>Your vote is important. Please vote as soon as possible by one of the methods shown below. Your Notice of Internet Availability of Proxy Materials, proxy card or voting instruction form should be readily available.</w:t>
                            </w:r>
                          </w:p>
                          <w:p>
                            <w:pPr>
                              <w:pStyle w:val="TableContents"/>
                              <w:bidi w:val="0"/>
                              <w:spacing w:before="120" w:after="283"/>
                              <w:ind w:left="60" w:right="0" w:hanging="0"/>
                              <w:jc w:val="left"/>
                              <w:rPr>
                                <w:rFonts w:ascii="Arial;Helvetica;sans-serif" w:hAnsi="Arial;Helvetica;sans-serif"/>
                                <w:b/>
                                <w:color w:val="FFFFFF"/>
                                <w:sz w:val="18"/>
                              </w:rPr>
                            </w:pPr>
                            <w:r>
                              <w:rPr>
                                <w:rFonts w:ascii="Arial;Helvetica;sans-serif" w:hAnsi="Arial;Helvetica;sans-serif"/>
                                <w:b w:val="false"/>
                                <w:i/>
                                <w:color w:val="FFFFFF"/>
                                <w:sz w:val="18"/>
                              </w:rPr>
                              <w:t xml:space="preserve">Via </w:t>
                            </w:r>
                            <w:r>
                              <w:rPr>
                                <w:rFonts w:ascii="Arial;Helvetica;sans-serif" w:hAnsi="Arial;Helvetica;sans-serif"/>
                                <w:b w:val="false"/>
                                <w:color w:val="FFFFFF"/>
                                <w:sz w:val="18"/>
                              </w:rPr>
                              <w:t xml:space="preserve">Internet </w:t>
                            </w:r>
                            <w:r>
                              <w:rPr>
                                <w:rFonts w:ascii="Arial;Helvetica;sans-serif" w:hAnsi="Arial;Helvetica;sans-serif"/>
                                <w:b w:val="false"/>
                                <w:i/>
                                <w:color w:val="FFFFFF"/>
                                <w:sz w:val="18"/>
                              </w:rPr>
                              <w:t>(Any Web-Enabled Device)</w:t>
                            </w:r>
                          </w:p>
                          <w:p>
                            <w:pPr>
                              <w:pStyle w:val="TableContents"/>
                              <w:bidi w:val="0"/>
                              <w:spacing w:before="0" w:after="283"/>
                              <w:ind w:left="60" w:right="0" w:hanging="0"/>
                              <w:jc w:val="left"/>
                              <w:rPr>
                                <w:color w:val="FFFFFF"/>
                              </w:rPr>
                            </w:pPr>
                            <w:r>
                              <w:rPr>
                                <w:color w:val="FFFFFF"/>
                              </w:rPr>
                              <w:drawing>
                                <wp:inline distT="0" distB="0" distL="0" distR="0">
                                  <wp:extent cx="2590800" cy="571500"/>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11"/>
                                          <a:stretch>
                                            <a:fillRect/>
                                          </a:stretch>
                                        </pic:blipFill>
                                        <pic:spPr bwMode="auto">
                                          <a:xfrm>
                                            <a:off x="0" y="0"/>
                                            <a:ext cx="2590800" cy="571500"/>
                                          </a:xfrm>
                                          <a:prstGeom prst="rect">
                                            <a:avLst/>
                                          </a:prstGeom>
                                        </pic:spPr>
                                      </pic:pic>
                                    </a:graphicData>
                                  </a:graphic>
                                </wp:inline>
                              </w:drawing>
                            </w:r>
                          </w:p>
                          <w:p>
                            <w:pPr>
                              <w:pStyle w:val="TableContents"/>
                              <w:bidi w:val="0"/>
                              <w:spacing w:before="0" w:after="283"/>
                              <w:ind w:left="60" w:right="0" w:hanging="0"/>
                              <w:jc w:val="left"/>
                              <w:rPr>
                                <w:color w:val="FFFFFF"/>
                              </w:rPr>
                            </w:pPr>
                            <w:r>
                              <w:rPr>
                                <w:color w:val="FFFFFF"/>
                              </w:rPr>
                              <w:t xml:space="preserve">  </w:t>
                            </w:r>
                          </w:p>
                          <w:p>
                            <w:pPr>
                              <w:pStyle w:val="TableContents"/>
                              <w:bidi w:val="0"/>
                              <w:spacing w:before="0" w:after="283"/>
                              <w:ind w:left="60" w:right="0" w:hanging="0"/>
                              <w:jc w:val="left"/>
                              <w:rPr>
                                <w:rFonts w:ascii="Arial;Helvetica;sans-serif" w:hAnsi="Arial;Helvetica;sans-serif"/>
                                <w:b w:val="false"/>
                                <w:i/>
                                <w:color w:val="FFFFFF"/>
                                <w:sz w:val="18"/>
                              </w:rPr>
                            </w:pPr>
                            <w:r>
                              <w:rPr>
                                <w:rFonts w:ascii="Arial;Helvetica;sans-serif" w:hAnsi="Arial;Helvetica;sans-serif"/>
                                <w:b w:val="false"/>
                                <w:i/>
                                <w:color w:val="FFFFFF"/>
                                <w:sz w:val="18"/>
                              </w:rPr>
                              <w:t>By Telephone (U.S. or Canada only)</w:t>
                            </w:r>
                          </w:p>
                          <w:p>
                            <w:pPr>
                              <w:pStyle w:val="TableContents"/>
                              <w:bidi w:val="0"/>
                              <w:spacing w:before="0" w:after="283"/>
                              <w:ind w:left="60" w:right="0" w:hanging="0"/>
                              <w:jc w:val="left"/>
                              <w:rPr>
                                <w:color w:val="FFFFFF"/>
                              </w:rPr>
                            </w:pPr>
                            <w:r>
                              <w:rPr>
                                <w:color w:val="FFFFFF"/>
                              </w:rPr>
                              <w:drawing>
                                <wp:inline distT="0" distB="0" distL="0" distR="0">
                                  <wp:extent cx="2590800" cy="571500"/>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12"/>
                                          <a:stretch>
                                            <a:fillRect/>
                                          </a:stretch>
                                        </pic:blipFill>
                                        <pic:spPr bwMode="auto">
                                          <a:xfrm>
                                            <a:off x="0" y="0"/>
                                            <a:ext cx="2590800" cy="571500"/>
                                          </a:xfrm>
                                          <a:prstGeom prst="rect">
                                            <a:avLst/>
                                          </a:prstGeom>
                                        </pic:spPr>
                                      </pic:pic>
                                    </a:graphicData>
                                  </a:graphic>
                                </wp:inline>
                              </w:drawing>
                            </w:r>
                          </w:p>
                          <w:p>
                            <w:pPr>
                              <w:pStyle w:val="TableContents"/>
                              <w:bidi w:val="0"/>
                              <w:spacing w:before="0" w:after="283"/>
                              <w:ind w:left="60" w:right="0" w:hanging="0"/>
                              <w:jc w:val="left"/>
                              <w:rPr>
                                <w:color w:val="FFFFFF"/>
                              </w:rPr>
                            </w:pPr>
                            <w:r>
                              <w:rPr>
                                <w:color w:val="FFFFFF"/>
                              </w:rPr>
                              <w:t xml:space="preserve">  </w:t>
                            </w:r>
                          </w:p>
                          <w:p>
                            <w:pPr>
                              <w:pStyle w:val="TableContents"/>
                              <w:bidi w:val="0"/>
                              <w:spacing w:before="0" w:after="283"/>
                              <w:ind w:left="60" w:right="0" w:hanging="0"/>
                              <w:jc w:val="left"/>
                              <w:rPr>
                                <w:rFonts w:ascii="Arial;Helvetica;sans-serif" w:hAnsi="Arial;Helvetica;sans-serif"/>
                                <w:b w:val="false"/>
                                <w:i/>
                                <w:color w:val="FFFFFF"/>
                                <w:sz w:val="18"/>
                              </w:rPr>
                            </w:pPr>
                            <w:r>
                              <w:rPr>
                                <w:rFonts w:ascii="Arial;Helvetica;sans-serif" w:hAnsi="Arial;Helvetica;sans-serif"/>
                                <w:b w:val="false"/>
                                <w:i/>
                                <w:color w:val="FFFFFF"/>
                                <w:sz w:val="18"/>
                              </w:rPr>
                              <w:t>By Mail (Pursuant to Printed Materials)</w:t>
                            </w:r>
                          </w:p>
                          <w:p>
                            <w:pPr>
                              <w:pStyle w:val="TableContents"/>
                              <w:bidi w:val="0"/>
                              <w:spacing w:before="0" w:after="283"/>
                              <w:ind w:left="60" w:right="0" w:hanging="0"/>
                              <w:jc w:val="left"/>
                              <w:rPr>
                                <w:color w:val="FFFFFF"/>
                              </w:rPr>
                            </w:pPr>
                            <w:r>
                              <w:rPr>
                                <w:color w:val="FFFFFF"/>
                              </w:rPr>
                              <w:drawing>
                                <wp:inline distT="0" distB="0" distL="0" distR="0">
                                  <wp:extent cx="2590800" cy="571500"/>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3"/>
                                          <a:stretch>
                                            <a:fillRect/>
                                          </a:stretch>
                                        </pic:blipFill>
                                        <pic:spPr bwMode="auto">
                                          <a:xfrm>
                                            <a:off x="0" y="0"/>
                                            <a:ext cx="2590800" cy="571500"/>
                                          </a:xfrm>
                                          <a:prstGeom prst="rect">
                                            <a:avLst/>
                                          </a:prstGeom>
                                        </pic:spPr>
                                      </pic:pic>
                                    </a:graphicData>
                                  </a:graphic>
                                </wp:inline>
                              </w:drawing>
                            </w:r>
                          </w:p>
                          <w:p>
                            <w:pPr>
                              <w:pStyle w:val="TableContents"/>
                              <w:bidi w:val="0"/>
                              <w:spacing w:before="0" w:after="283"/>
                              <w:ind w:left="60" w:right="0" w:hanging="0"/>
                              <w:jc w:val="left"/>
                              <w:rPr>
                                <w:color w:val="FFFFFF"/>
                              </w:rPr>
                            </w:pPr>
                            <w:r>
                              <w:rPr>
                                <w:color w:val="FFFFFF"/>
                              </w:rPr>
                              <w:t xml:space="preserve">  </w:t>
                            </w:r>
                          </w:p>
                          <w:p>
                            <w:pPr>
                              <w:pStyle w:val="TableContents"/>
                              <w:bidi w:val="0"/>
                              <w:spacing w:lineRule="atLeast" w:line="190" w:before="0" w:after="283"/>
                              <w:ind w:left="60" w:right="0" w:hanging="0"/>
                              <w:jc w:val="both"/>
                              <w:rPr>
                                <w:rFonts w:ascii="Arial;Helvetica;sans-serif" w:hAnsi="Arial;Helvetica;sans-serif"/>
                                <w:b/>
                                <w:color w:val="FFFFFF"/>
                                <w:sz w:val="18"/>
                              </w:rPr>
                            </w:pPr>
                            <w:r>
                              <w:rPr>
                                <w:rFonts w:ascii="Arial;Helvetica;sans-serif" w:hAnsi="Arial;Helvetica;sans-serif"/>
                                <w:b w:val="false"/>
                                <w:color w:val="FFFFFF"/>
                                <w:sz w:val="18"/>
                              </w:rPr>
                              <w:t xml:space="preserve">We will maintain a list of stockholders of record as of the record date at our corporate headquarters located at 42307 Osgood Road, Suite I, Fremont, California 94539 for a period of ten days prior to, and ending at the close of, the Annual Meeting. In order for us to make the list available to you quickly and safety, we recommend that you notify us by emailing </w:t>
                            </w:r>
                            <w:r>
                              <w:rPr>
                                <w:rFonts w:ascii="Arial;Helvetica;sans-serif" w:hAnsi="Arial;Helvetica;sans-serif"/>
                                <w:b w:val="false"/>
                                <w:i/>
                                <w:color w:val="FFFFFF"/>
                                <w:sz w:val="18"/>
                              </w:rPr>
                              <w:t>investor.relations@acmr.com</w:t>
                            </w:r>
                            <w:r>
                              <w:rPr>
                                <w:rFonts w:ascii="Arial;Helvetica;sans-serif" w:hAnsi="Arial;Helvetica;sans-serif"/>
                                <w:b/>
                                <w:color w:val="FFFFFF"/>
                                <w:sz w:val="18"/>
                              </w:rPr>
                              <w:t xml:space="preserve"> </w:t>
                            </w:r>
                            <w:r>
                              <w:rPr>
                                <w:rFonts w:ascii="Arial;Helvetica;sans-serif" w:hAnsi="Arial;Helvetica;sans-serif"/>
                                <w:b w:val="false"/>
                                <w:color w:val="FFFFFF"/>
                                <w:sz w:val="18"/>
                              </w:rPr>
                              <w:t xml:space="preserve">one business day in advance of the day on which you intend to review the list. Beginning fifteen minutes prior to, and ending at the close of, the Annual Meeting, the list of our stockholders of record will be available for viewing by stockholders for any purpose germane to the meeting at </w:t>
                            </w:r>
                            <w:r>
                              <w:rPr>
                                <w:rFonts w:ascii="Arial;Helvetica;sans-serif" w:hAnsi="Arial;Helvetica;sans-serif"/>
                                <w:b w:val="false"/>
                                <w:i/>
                                <w:color w:val="FFFFFF"/>
                                <w:sz w:val="18"/>
                              </w:rPr>
                              <w:t>virtualshareholdermeeting.com/ACMR2025.</w:t>
                            </w:r>
                          </w:p>
                        </w:tc>
                        <w:tc>
                          <w:tcPr>
                            <w:tcW w:w="215" w:type="dxa"/>
                            <w:tcBorders/>
                            <w:shd w:fill="0D3F64" w:val="clear"/>
                            <w:vAlign w:val="center"/>
                          </w:tcPr>
                          <w:p>
                            <w:pPr>
                              <w:pStyle w:val="TableContents"/>
                              <w:bidi w:val="0"/>
                              <w:spacing w:before="0" w:after="0"/>
                              <w:jc w:val="left"/>
                              <w:rPr/>
                            </w:pPr>
                            <w:r>
                              <w:rPr/>
                              <w:t> </w:t>
                            </w:r>
                          </w:p>
                        </w:tc>
                      </w:tr>
                      <w:tr>
                        <w:trPr/>
                        <w:tc>
                          <w:tcPr>
                            <w:tcW w:w="185" w:type="dxa"/>
                            <w:tcBorders/>
                            <w:shd w:fill="0D3F64" w:val="clear"/>
                            <w:vAlign w:val="center"/>
                          </w:tcPr>
                          <w:p>
                            <w:pPr>
                              <w:pStyle w:val="TableContents"/>
                              <w:bidi w:val="0"/>
                              <w:spacing w:before="0" w:after="0"/>
                              <w:jc w:val="left"/>
                              <w:rPr/>
                            </w:pPr>
                            <w:r>
                              <w:rPr/>
                              <w:t> </w:t>
                            </w:r>
                          </w:p>
                        </w:tc>
                        <w:tc>
                          <w:tcPr>
                            <w:tcW w:w="9805" w:type="dxa"/>
                            <w:tcBorders/>
                            <w:shd w:fill="0D3F64" w:val="clear"/>
                            <w:vAlign w:val="center"/>
                          </w:tcPr>
                          <w:p>
                            <w:pPr>
                              <w:pStyle w:val="TableContents"/>
                              <w:bidi w:val="0"/>
                              <w:spacing w:before="0" w:after="0"/>
                              <w:jc w:val="left"/>
                              <w:rPr/>
                            </w:pPr>
                            <w:r>
                              <w:rPr/>
                              <w:t> </w:t>
                            </w:r>
                          </w:p>
                        </w:tc>
                        <w:tc>
                          <w:tcPr>
                            <w:tcW w:w="215" w:type="dxa"/>
                            <w:tcBorders/>
                            <w:shd w:fill="0D3F64" w:val="clear"/>
                            <w:vAlign w:val="center"/>
                          </w:tcPr>
                          <w:p>
                            <w:pPr>
                              <w:pStyle w:val="TableContents"/>
                              <w:bidi w:val="0"/>
                              <w:spacing w:before="0" w:after="0"/>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3048000" cy="9522460"/>
                <wp:effectExtent l="0" t="0" r="0" b="0"/>
                <wp:wrapSquare wrapText="right"/>
                <wp:docPr id="14" name="Frame1"/>
                <a:graphic xmlns:a="http://schemas.openxmlformats.org/drawingml/2006/main">
                  <a:graphicData uri="http://schemas.microsoft.com/office/word/2010/wordprocessingShape">
                    <wps:wsp>
                      <wps:cNvSpPr txBox="1"/>
                      <wps:spPr>
                        <a:xfrm>
                          <a:off x="0" y="0"/>
                          <a:ext cx="3048000" cy="9522460"/>
                        </a:xfrm>
                        <a:prstGeom prst="rect"/>
                        <a:solidFill>
                          <a:srgbClr val="FFFFFF"/>
                        </a:solidFill>
                      </wps:spPr>
                      <wps:txbx>
                        <w:txbxContent>
                          <w:p>
                            <w:pPr>
                              <w:pStyle w:val="TextBody"/>
                              <w:bidi w:val="0"/>
                              <w:spacing w:before="120" w:after="283"/>
                              <w:ind w:left="0" w:right="0" w:hanging="0"/>
                              <w:jc w:val="left"/>
                              <w:rPr>
                                <w:rFonts w:ascii="Arial;Helvetica;sans-serif" w:hAnsi="Arial;Helvetica;sans-serif"/>
                                <w:b/>
                                <w:color w:val="4694D0"/>
                                <w:sz w:val="18"/>
                              </w:rPr>
                            </w:pPr>
                            <w:r>
                              <w:rPr>
                                <w:rFonts w:ascii="Arial;Helvetica;sans-serif" w:hAnsi="Arial;Helvetica;sans-serif"/>
                                <w:b/>
                                <w:color w:val="4694D0"/>
                                <w:sz w:val="18"/>
                              </w:rPr>
                              <w:t>To Stockholders of ACM Research, Inc.:</w:t>
                            </w:r>
                          </w:p>
                          <w:p>
                            <w:pPr>
                              <w:pStyle w:val="TextBody"/>
                              <w:bidi w:val="0"/>
                              <w:spacing w:before="6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board of directors is soliciting proxies for use at the ACM Research, Inc. 2025 Annual Meeting of Stockholders. You are receiving the enclosed proxy statement because you were a holder of Class A or Class B common stock as of 5 p.m., Eastern time, on the record date of April 15, 2025 and therefore are entitled to vote at the Annual Meeting.</w:t>
                            </w:r>
                          </w:p>
                          <w:p>
                            <w:pPr>
                              <w:pStyle w:val="TextBody"/>
                              <w:bidi w:val="0"/>
                              <w:spacing w:before="6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You may participate in the Annual Meeting, including casting votes and submitting questions, by accessing a live webcast at </w:t>
                            </w:r>
                            <w:r>
                              <w:rPr>
                                <w:rFonts w:ascii="Arial;Helvetica;sans-serif" w:hAnsi="Arial;Helvetica;sans-serif"/>
                                <w:i/>
                                <w:color w:val="4C4C4C"/>
                                <w:sz w:val="20"/>
                              </w:rPr>
                              <w:t>virtualshareholdermeeting.com/ACMR2025</w:t>
                            </w:r>
                            <w:r>
                              <w:rPr>
                                <w:rFonts w:ascii="Arial;Helvetica;sans-serif" w:hAnsi="Arial;Helvetica;sans-serif"/>
                                <w:color w:val="4C4C4C"/>
                                <w:sz w:val="20"/>
                              </w:rPr>
                              <w:t xml:space="preserve"> and then using the 16-digit control number provided on the Notice of Internet Availability of Proxy Materials or proxy card being delivered to you. Online check-in to the Annual Meeting will begin at 6:45 a.m., Pacific time, and stockholders are encouraged to allow time to log in to the meeting webcast and test their computer audio system. There will be no physical location for the Annual Meeting. </w:t>
                            </w:r>
                          </w:p>
                          <w:p>
                            <w:pPr>
                              <w:pStyle w:val="TextBody"/>
                              <w:bidi w:val="0"/>
                              <w:spacing w:before="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Annual Meeting will be held to consider and vote upon the following proposals:</w:t>
                            </w:r>
                          </w:p>
                          <w:tbl>
                            <w:tblPr>
                              <w:tblW w:w="6455" w:type="dxa"/>
                              <w:jc w:val="left"/>
                              <w:tblInd w:w="0" w:type="dxa"/>
                              <w:tblLayout w:type="fixed"/>
                              <w:tblCellMar>
                                <w:top w:w="0" w:type="dxa"/>
                                <w:left w:w="0" w:type="dxa"/>
                                <w:bottom w:w="0" w:type="dxa"/>
                                <w:right w:w="0" w:type="dxa"/>
                              </w:tblCellMar>
                            </w:tblPr>
                            <w:tblGrid>
                              <w:gridCol w:w="1025"/>
                              <w:gridCol w:w="170"/>
                              <w:gridCol w:w="170"/>
                              <w:gridCol w:w="5090"/>
                            </w:tblGrid>
                            <w:tr>
                              <w:trPr/>
                              <w:tc>
                                <w:tcPr>
                                  <w:tcW w:w="10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90" w:type="dxa"/>
                                  <w:tcBorders/>
                                  <w:vAlign w:val="center"/>
                                </w:tcPr>
                                <w:p>
                                  <w:pPr>
                                    <w:pStyle w:val="TableContents"/>
                                    <w:bidi w:val="0"/>
                                    <w:spacing w:before="0" w:after="0"/>
                                    <w:jc w:val="left"/>
                                    <w:rPr/>
                                  </w:pPr>
                                  <w:r>
                                    <w:rPr/>
                                    <w:t> </w:t>
                                  </w:r>
                                </w:p>
                              </w:tc>
                            </w:tr>
                            <w:tr>
                              <w:trPr/>
                              <w:tc>
                                <w:tcPr>
                                  <w:tcW w:w="1025" w:type="dxa"/>
                                  <w:tcBorders/>
                                  <w:vAlign w:val="center"/>
                                </w:tcPr>
                                <w:p>
                                  <w:pPr>
                                    <w:pStyle w:val="TableContents"/>
                                    <w:bidi w:val="0"/>
                                    <w:spacing w:before="0" w:after="283"/>
                                    <w:ind w:left="0" w:right="0" w:hanging="0"/>
                                    <w:jc w:val="left"/>
                                    <w:rPr>
                                      <w:rFonts w:ascii="Arial;Helvetica;sans-serif" w:hAnsi="Arial;Helvetica;sans-serif"/>
                                      <w:b/>
                                      <w:color w:val="3F609D"/>
                                      <w:sz w:val="18"/>
                                    </w:rPr>
                                  </w:pPr>
                                  <w:r>
                                    <w:rPr>
                                      <w:rFonts w:ascii="Arial;Helvetica;sans-serif" w:hAnsi="Arial;Helvetica;sans-serif"/>
                                      <w:b/>
                                      <w:color w:val="3F609D"/>
                                      <w:sz w:val="18"/>
                                    </w:rPr>
                                    <w:t>Proposal 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90" w:type="dxa"/>
                                  <w:tcBorders/>
                                  <w:vAlign w:val="center"/>
                                </w:tcPr>
                                <w:p>
                                  <w:pPr>
                                    <w:pStyle w:val="TableContents"/>
                                    <w:bidi w:val="0"/>
                                    <w:spacing w:before="0" w:after="283"/>
                                    <w:ind w:left="0" w:right="0" w:hanging="0"/>
                                    <w:jc w:val="left"/>
                                    <w:rPr>
                                      <w:rFonts w:ascii="Arial;Helvetica;sans-serif" w:hAnsi="Arial;Helvetica;sans-serif"/>
                                      <w:b/>
                                      <w:color w:val="3F609D"/>
                                      <w:sz w:val="18"/>
                                    </w:rPr>
                                  </w:pPr>
                                  <w:r>
                                    <w:rPr>
                                      <w:rFonts w:ascii="Arial;Helvetica;sans-serif" w:hAnsi="Arial;Helvetica;sans-serif"/>
                                      <w:b/>
                                      <w:color w:val="3F609D"/>
                                      <w:sz w:val="18"/>
                                    </w:rPr>
                                    <w:t>Election of four directors</w:t>
                                  </w:r>
                                </w:p>
                              </w:tc>
                            </w:tr>
                            <w:tr>
                              <w:trPr/>
                              <w:tc>
                                <w:tcPr>
                                  <w:tcW w:w="1025" w:type="dxa"/>
                                  <w:tcBorders/>
                                  <w:vAlign w:val="center"/>
                                </w:tcPr>
                                <w:p>
                                  <w:pPr>
                                    <w:pStyle w:val="TableContents"/>
                                    <w:bidi w:val="0"/>
                                    <w:spacing w:before="0" w:after="283"/>
                                    <w:ind w:left="0" w:right="0" w:hanging="0"/>
                                    <w:jc w:val="left"/>
                                    <w:rPr>
                                      <w:rFonts w:ascii="Arial;Helvetica;sans-serif" w:hAnsi="Arial;Helvetica;sans-serif"/>
                                      <w:b/>
                                      <w:color w:val="3F609D"/>
                                      <w:sz w:val="18"/>
                                    </w:rPr>
                                  </w:pPr>
                                  <w:r>
                                    <w:rPr>
                                      <w:rFonts w:ascii="Arial;Helvetica;sans-serif" w:hAnsi="Arial;Helvetica;sans-serif"/>
                                      <w:b/>
                                      <w:color w:val="3F609D"/>
                                      <w:sz w:val="18"/>
                                    </w:rPr>
                                    <w:t>Proposal 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90" w:type="dxa"/>
                                  <w:tcBorders/>
                                  <w:vAlign w:val="center"/>
                                </w:tcPr>
                                <w:p>
                                  <w:pPr>
                                    <w:pStyle w:val="TableContents"/>
                                    <w:bidi w:val="0"/>
                                    <w:spacing w:before="0" w:after="283"/>
                                    <w:ind w:left="0" w:right="0" w:hanging="0"/>
                                    <w:jc w:val="both"/>
                                    <w:rPr>
                                      <w:rFonts w:ascii="Arial;Helvetica;sans-serif" w:hAnsi="Arial;Helvetica;sans-serif"/>
                                      <w:b/>
                                      <w:color w:val="3F609D"/>
                                      <w:sz w:val="18"/>
                                    </w:rPr>
                                  </w:pPr>
                                  <w:r>
                                    <w:rPr>
                                      <w:rFonts w:ascii="Arial;Helvetica;sans-serif" w:hAnsi="Arial;Helvetica;sans-serif"/>
                                      <w:b/>
                                      <w:color w:val="3F609D"/>
                                      <w:sz w:val="18"/>
                                    </w:rPr>
                                    <w:t>Ratification of appointment of independent auditor for 2025</w:t>
                                  </w:r>
                                </w:p>
                              </w:tc>
                            </w:tr>
                            <w:tr>
                              <w:trPr/>
                              <w:tc>
                                <w:tcPr>
                                  <w:tcW w:w="10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90" w:type="dxa"/>
                                  <w:tcBorders/>
                                  <w:vAlign w:val="center"/>
                                </w:tcPr>
                                <w:p>
                                  <w:pPr>
                                    <w:pStyle w:val="TableContents"/>
                                    <w:bidi w:val="0"/>
                                    <w:spacing w:before="0" w:after="0"/>
                                    <w:jc w:val="left"/>
                                    <w:rPr/>
                                  </w:pPr>
                                  <w:r>
                                    <w:rPr/>
                                    <w:t> </w:t>
                                  </w:r>
                                </w:p>
                              </w:tc>
                            </w:tr>
                          </w:tbl>
                          <w:p>
                            <w:pPr>
                              <w:pStyle w:val="TextBody"/>
                              <w:bidi w:val="0"/>
                              <w:spacing w:before="60" w:after="283"/>
                              <w:ind w:left="0" w:right="0" w:hanging="0"/>
                              <w:jc w:val="both"/>
                              <w:rPr>
                                <w:rFonts w:ascii="Arial;Helvetica;sans-serif" w:hAnsi="Arial;Helvetica;sans-serif"/>
                                <w:color w:val="4C4C4C"/>
                                <w:sz w:val="20"/>
                              </w:rPr>
                            </w:pPr>
                            <w:r>
                              <w:rPr>
                                <w:rFonts w:ascii="Arial;Helvetica;sans-serif" w:hAnsi="Arial;Helvetica;sans-serif"/>
                                <w:color w:val="4C4C4C"/>
                                <w:sz w:val="20"/>
                              </w:rPr>
                              <w:t>In addition, any other business properly presented may be acted upon at the Annual Meeting. Each share of Class A common stock is entitled to one vote, and each share of Class B common stock is entitled to twenty votes for each proposal.</w:t>
                            </w:r>
                          </w:p>
                          <w:p>
                            <w:pPr>
                              <w:pStyle w:val="TextBody"/>
                              <w:bidi w:val="0"/>
                              <w:spacing w:before="60" w:after="283"/>
                              <w:ind w:left="0" w:right="0" w:hanging="0"/>
                              <w:jc w:val="both"/>
                              <w:rPr>
                                <w:rFonts w:ascii="Arial;Helvetica;sans-serif" w:hAnsi="Arial;Helvetica;sans-serif"/>
                                <w:color w:val="4C4C4C"/>
                                <w:sz w:val="20"/>
                              </w:rPr>
                            </w:pPr>
                            <w:r>
                              <w:rPr>
                                <w:rFonts w:ascii="Arial;Helvetica;sans-serif" w:hAnsi="Arial;Helvetica;sans-serif"/>
                                <w:color w:val="4C4C4C"/>
                                <w:sz w:val="20"/>
                              </w:rPr>
                              <w:t>In accordance with Securities and Exchange Commission rules, we are providing stockholders with access to proxy materials on the Internet, instead of mailing printed copies. We are mailing to stockholders, commencing on or about April 29, 2025, a Notice of Internet Availability of Proxy Materials to provide:</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C4C4C"/>
                                    </w:rPr>
                                  </w:pPr>
                                  <w:r>
                                    <w:rPr>
                                      <w:color w:val="4C4C4C"/>
                                    </w:rPr>
                                    <w:t>•</w:t>
                                  </w:r>
                                </w:p>
                              </w:tc>
                              <w:tc>
                                <w:tcPr>
                                  <w:tcW w:w="10065" w:type="dxa"/>
                                  <w:tcBorders/>
                                  <w:vAlign w:val="center"/>
                                </w:tcPr>
                                <w:p>
                                  <w:pPr>
                                    <w:pStyle w:val="TableContents"/>
                                    <w:bidi w:val="0"/>
                                    <w:spacing w:before="0" w:after="0"/>
                                    <w:jc w:val="both"/>
                                    <w:rPr>
                                      <w:rFonts w:ascii="Arial;Helvetica;sans-serif" w:hAnsi="Arial;Helvetica;sans-serif"/>
                                      <w:color w:val="4C4C4C"/>
                                      <w:sz w:val="18"/>
                                    </w:rPr>
                                  </w:pPr>
                                  <w:r>
                                    <w:rPr>
                                      <w:rFonts w:ascii="Arial;Helvetica;sans-serif" w:hAnsi="Arial;Helvetica;sans-serif"/>
                                      <w:color w:val="4C4C4C"/>
                                      <w:sz w:val="18"/>
                                    </w:rPr>
                                    <w:t>directions for accessing and reviewing the proxy materials on the Internet and submitting a proxy over the Internet or by telephone;</w:t>
                                  </w:r>
                                </w:p>
                              </w:tc>
                            </w:tr>
                          </w:tbl>
                          <w:tbl>
                            <w:tblPr>
                              <w:tblW w:w="8020" w:type="dxa"/>
                              <w:jc w:val="left"/>
                              <w:tblInd w:w="0" w:type="dxa"/>
                              <w:tblLayout w:type="fixed"/>
                              <w:tblCellMar>
                                <w:top w:w="0" w:type="dxa"/>
                                <w:left w:w="0" w:type="dxa"/>
                                <w:bottom w:w="0" w:type="dxa"/>
                                <w:right w:w="0" w:type="dxa"/>
                              </w:tblCellMar>
                            </w:tblPr>
                            <w:tblGrid>
                              <w:gridCol w:w="140"/>
                              <w:gridCol w:w="7880"/>
                            </w:tblGrid>
                            <w:tr>
                              <w:trPr/>
                              <w:tc>
                                <w:tcPr>
                                  <w:tcW w:w="140" w:type="dxa"/>
                                  <w:tcBorders/>
                                  <w:vAlign w:val="center"/>
                                </w:tcPr>
                                <w:p>
                                  <w:pPr>
                                    <w:pStyle w:val="TableContents"/>
                                    <w:bidi w:val="0"/>
                                    <w:spacing w:before="0" w:after="0"/>
                                    <w:jc w:val="left"/>
                                    <w:rPr>
                                      <w:color w:val="4C4C4C"/>
                                    </w:rPr>
                                  </w:pPr>
                                  <w:r>
                                    <w:rPr>
                                      <w:color w:val="4C4C4C"/>
                                    </w:rPr>
                                    <w:t>•</w:t>
                                  </w:r>
                                </w:p>
                              </w:tc>
                              <w:tc>
                                <w:tcPr>
                                  <w:tcW w:w="7880" w:type="dxa"/>
                                  <w:tcBorders/>
                                  <w:vAlign w:val="center"/>
                                </w:tcPr>
                                <w:p>
                                  <w:pPr>
                                    <w:pStyle w:val="TableContents"/>
                                    <w:bidi w:val="0"/>
                                    <w:spacing w:before="0" w:after="0"/>
                                    <w:jc w:val="both"/>
                                    <w:rPr>
                                      <w:rFonts w:ascii="Arial;Helvetica;sans-serif" w:hAnsi="Arial;Helvetica;sans-serif"/>
                                      <w:color w:val="4C4C4C"/>
                                      <w:sz w:val="18"/>
                                    </w:rPr>
                                  </w:pPr>
                                  <w:r>
                                    <w:rPr>
                                      <w:rFonts w:ascii="Arial;Helvetica;sans-serif" w:hAnsi="Arial;Helvetica;sans-serif"/>
                                      <w:color w:val="4C4C4C"/>
                                      <w:sz w:val="18"/>
                                    </w:rPr>
                                    <w:t>instructions for requesting copies of proxy materials in printed form or by email at no charge; and</w:t>
                                  </w:r>
                                </w:p>
                              </w:tc>
                            </w:tr>
                          </w:tbl>
                          <w:tbl>
                            <w:tblPr>
                              <w:tblW w:w="7555" w:type="dxa"/>
                              <w:jc w:val="left"/>
                              <w:tblInd w:w="0" w:type="dxa"/>
                              <w:tblLayout w:type="fixed"/>
                              <w:tblCellMar>
                                <w:top w:w="0" w:type="dxa"/>
                                <w:left w:w="0" w:type="dxa"/>
                                <w:bottom w:w="0" w:type="dxa"/>
                                <w:right w:w="0" w:type="dxa"/>
                              </w:tblCellMar>
                            </w:tblPr>
                            <w:tblGrid>
                              <w:gridCol w:w="140"/>
                              <w:gridCol w:w="7415"/>
                            </w:tblGrid>
                            <w:tr>
                              <w:trPr/>
                              <w:tc>
                                <w:tcPr>
                                  <w:tcW w:w="140" w:type="dxa"/>
                                  <w:tcBorders/>
                                  <w:vAlign w:val="center"/>
                                </w:tcPr>
                                <w:p>
                                  <w:pPr>
                                    <w:pStyle w:val="TableContents"/>
                                    <w:bidi w:val="0"/>
                                    <w:spacing w:before="0" w:after="0"/>
                                    <w:jc w:val="left"/>
                                    <w:rPr>
                                      <w:color w:val="4C4C4C"/>
                                    </w:rPr>
                                  </w:pPr>
                                  <w:r>
                                    <w:rPr>
                                      <w:color w:val="4C4C4C"/>
                                    </w:rPr>
                                    <w:t>•</w:t>
                                  </w:r>
                                </w:p>
                              </w:tc>
                              <w:tc>
                                <w:tcPr>
                                  <w:tcW w:w="7415" w:type="dxa"/>
                                  <w:tcBorders/>
                                  <w:vAlign w:val="center"/>
                                </w:tcPr>
                                <w:p>
                                  <w:pPr>
                                    <w:pStyle w:val="TableContents"/>
                                    <w:bidi w:val="0"/>
                                    <w:spacing w:before="0" w:after="0"/>
                                    <w:jc w:val="both"/>
                                    <w:rPr>
                                      <w:rFonts w:ascii="Arial;Helvetica;sans-serif" w:hAnsi="Arial;Helvetica;sans-serif"/>
                                      <w:color w:val="4C4C4C"/>
                                      <w:sz w:val="18"/>
                                    </w:rPr>
                                  </w:pPr>
                                  <w:r>
                                    <w:rPr>
                                      <w:rFonts w:ascii="Arial;Helvetica;sans-serif" w:hAnsi="Arial;Helvetica;sans-serif"/>
                                      <w:color w:val="4C4C4C"/>
                                      <w:sz w:val="18"/>
                                    </w:rPr>
                                    <w:t>a control number for use in submitting proxies and accessing the Annual Meeting webcast.</w:t>
                                  </w:r>
                                </w:p>
                              </w:tc>
                            </w:tr>
                          </w:tbl>
                          <w:tbl>
                            <w:tblPr>
                              <w:tblW w:w="3665" w:type="dxa"/>
                              <w:jc w:val="left"/>
                              <w:tblInd w:w="0" w:type="dxa"/>
                              <w:tblLayout w:type="fixed"/>
                              <w:tblCellMar>
                                <w:top w:w="0" w:type="dxa"/>
                                <w:left w:w="0" w:type="dxa"/>
                                <w:bottom w:w="0" w:type="dxa"/>
                                <w:right w:w="0" w:type="dxa"/>
                              </w:tblCellMar>
                            </w:tblPr>
                            <w:tblGrid>
                              <w:gridCol w:w="2030"/>
                              <w:gridCol w:w="170"/>
                              <w:gridCol w:w="170"/>
                              <w:gridCol w:w="1295"/>
                            </w:tblGrid>
                            <w:tr>
                              <w:trPr/>
                              <w:tc>
                                <w:tcPr>
                                  <w:tcW w:w="20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pPr>
                                  <w:r>
                                    <w:rPr/>
                                    <w:t> </w:t>
                                  </w:r>
                                </w:p>
                              </w:tc>
                            </w:tr>
                            <w:tr>
                              <w:trPr/>
                              <w:tc>
                                <w:tcPr>
                                  <w:tcW w:w="2030"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By Order of the Board,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color w:val="4C4C4C"/>
                                    </w:rPr>
                                  </w:pPr>
                                  <w:r>
                                    <w:rPr>
                                      <w:color w:val="4C4C4C"/>
                                    </w:rPr>
                                    <w:t> </w:t>
                                  </w:r>
                                </w:p>
                              </w:tc>
                            </w:tr>
                            <w:tr>
                              <w:trPr/>
                              <w:tc>
                                <w:tcPr>
                                  <w:tcW w:w="2030" w:type="dxa"/>
                                  <w:tcBorders/>
                                  <w:vAlign w:val="center"/>
                                </w:tcPr>
                                <w:p>
                                  <w:pPr>
                                    <w:pStyle w:val="TableContents"/>
                                    <w:bidi w:val="0"/>
                                    <w:spacing w:before="0" w:after="0"/>
                                    <w:jc w:val="left"/>
                                    <w:rPr>
                                      <w:color w:val="4C4C4C"/>
                                    </w:rPr>
                                  </w:pPr>
                                  <w:r>
                                    <w:rPr>
                                      <w:color w:val="4C4C4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color w:val="4C4C4C"/>
                                    </w:rPr>
                                  </w:pPr>
                                  <w:r>
                                    <w:rPr>
                                      <w:color w:val="4C4C4C"/>
                                    </w:rPr>
                                    <w:t> </w:t>
                                  </w:r>
                                </w:p>
                              </w:tc>
                            </w:tr>
                            <w:tr>
                              <w:trPr/>
                              <w:tc>
                                <w:tcPr>
                                  <w:tcW w:w="2030"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Mark McKechnie</w:t>
                                  </w:r>
                                </w:p>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Secretary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jc w:val="right"/>
                                    <w:rPr>
                                      <w:rFonts w:ascii="Arial;Helvetica;sans-serif" w:hAnsi="Arial;Helvetica;sans-serif"/>
                                      <w:color w:val="4C4C4C"/>
                                      <w:sz w:val="20"/>
                                    </w:rPr>
                                  </w:pPr>
                                  <w:r>
                                    <w:rPr>
                                      <w:rFonts w:ascii="Arial;Helvetica;sans-serif" w:hAnsi="Arial;Helvetica;sans-serif"/>
                                      <w:color w:val="4C4C4C"/>
                                      <w:sz w:val="20"/>
                                    </w:rPr>
                                    <w:t>April 29, 2025</w:t>
                                  </w:r>
                                </w:p>
                              </w:tc>
                            </w:tr>
                            <w:tr>
                              <w:trPr/>
                              <w:tc>
                                <w:tcPr>
                                  <w:tcW w:w="20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pPr>
                                  <w:r>
                                    <w:rPr/>
                                    <w:t> </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40pt;height:749.8pt;mso-wrap-distance-left:0pt;mso-wrap-distance-right:0pt;mso-wrap-distance-top:0pt;mso-wrap-distance-bottom:0pt;margin-top:0pt;mso-position-vertical:top;mso-position-vertical-relative:text;margin-left:228pt;mso-position-horizontal:left;mso-position-horizontal-relative:text">
                <v:textbox>
                  <w:txbxContent>
                    <w:p>
                      <w:pPr>
                        <w:pStyle w:val="TextBody"/>
                        <w:bidi w:val="0"/>
                        <w:spacing w:before="120" w:after="283"/>
                        <w:ind w:left="0" w:right="0" w:hanging="0"/>
                        <w:jc w:val="left"/>
                        <w:rPr>
                          <w:rFonts w:ascii="Arial;Helvetica;sans-serif" w:hAnsi="Arial;Helvetica;sans-serif"/>
                          <w:b/>
                          <w:color w:val="4694D0"/>
                          <w:sz w:val="18"/>
                        </w:rPr>
                      </w:pPr>
                      <w:r>
                        <w:rPr>
                          <w:rFonts w:ascii="Arial;Helvetica;sans-serif" w:hAnsi="Arial;Helvetica;sans-serif"/>
                          <w:b/>
                          <w:color w:val="4694D0"/>
                          <w:sz w:val="18"/>
                        </w:rPr>
                        <w:t>To Stockholders of ACM Research, Inc.:</w:t>
                      </w:r>
                    </w:p>
                    <w:p>
                      <w:pPr>
                        <w:pStyle w:val="TextBody"/>
                        <w:bidi w:val="0"/>
                        <w:spacing w:before="6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board of directors is soliciting proxies for use at the ACM Research, Inc. 2025 Annual Meeting of Stockholders. You are receiving the enclosed proxy statement because you were a holder of Class A or Class B common stock as of 5 p.m., Eastern time, on the record date of April 15, 2025 and therefore are entitled to vote at the Annual Meeting.</w:t>
                      </w:r>
                    </w:p>
                    <w:p>
                      <w:pPr>
                        <w:pStyle w:val="TextBody"/>
                        <w:bidi w:val="0"/>
                        <w:spacing w:before="6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You may participate in the Annual Meeting, including casting votes and submitting questions, by accessing a live webcast at </w:t>
                      </w:r>
                      <w:r>
                        <w:rPr>
                          <w:rFonts w:ascii="Arial;Helvetica;sans-serif" w:hAnsi="Arial;Helvetica;sans-serif"/>
                          <w:i/>
                          <w:color w:val="4C4C4C"/>
                          <w:sz w:val="20"/>
                        </w:rPr>
                        <w:t>virtualshareholdermeeting.com/ACMR2025</w:t>
                      </w:r>
                      <w:r>
                        <w:rPr>
                          <w:rFonts w:ascii="Arial;Helvetica;sans-serif" w:hAnsi="Arial;Helvetica;sans-serif"/>
                          <w:color w:val="4C4C4C"/>
                          <w:sz w:val="20"/>
                        </w:rPr>
                        <w:t xml:space="preserve"> and then using the 16-digit control number provided on the Notice of Internet Availability of Proxy Materials or proxy card being delivered to you. Online check-in to the Annual Meeting will begin at 6:45 a.m., Pacific time, and stockholders are encouraged to allow time to log in to the meeting webcast and test their computer audio system. There will be no physical location for the Annual Meeting. </w:t>
                      </w:r>
                    </w:p>
                    <w:p>
                      <w:pPr>
                        <w:pStyle w:val="TextBody"/>
                        <w:bidi w:val="0"/>
                        <w:spacing w:before="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Annual Meeting will be held to consider and vote upon the following proposals:</w:t>
                      </w:r>
                    </w:p>
                    <w:tbl>
                      <w:tblPr>
                        <w:tblW w:w="6455" w:type="dxa"/>
                        <w:jc w:val="left"/>
                        <w:tblInd w:w="0" w:type="dxa"/>
                        <w:tblLayout w:type="fixed"/>
                        <w:tblCellMar>
                          <w:top w:w="0" w:type="dxa"/>
                          <w:left w:w="0" w:type="dxa"/>
                          <w:bottom w:w="0" w:type="dxa"/>
                          <w:right w:w="0" w:type="dxa"/>
                        </w:tblCellMar>
                      </w:tblPr>
                      <w:tblGrid>
                        <w:gridCol w:w="1025"/>
                        <w:gridCol w:w="170"/>
                        <w:gridCol w:w="170"/>
                        <w:gridCol w:w="5090"/>
                      </w:tblGrid>
                      <w:tr>
                        <w:trPr/>
                        <w:tc>
                          <w:tcPr>
                            <w:tcW w:w="10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90" w:type="dxa"/>
                            <w:tcBorders/>
                            <w:vAlign w:val="center"/>
                          </w:tcPr>
                          <w:p>
                            <w:pPr>
                              <w:pStyle w:val="TableContents"/>
                              <w:bidi w:val="0"/>
                              <w:spacing w:before="0" w:after="0"/>
                              <w:jc w:val="left"/>
                              <w:rPr/>
                            </w:pPr>
                            <w:r>
                              <w:rPr/>
                              <w:t> </w:t>
                            </w:r>
                          </w:p>
                        </w:tc>
                      </w:tr>
                      <w:tr>
                        <w:trPr/>
                        <w:tc>
                          <w:tcPr>
                            <w:tcW w:w="1025" w:type="dxa"/>
                            <w:tcBorders/>
                            <w:vAlign w:val="center"/>
                          </w:tcPr>
                          <w:p>
                            <w:pPr>
                              <w:pStyle w:val="TableContents"/>
                              <w:bidi w:val="0"/>
                              <w:spacing w:before="0" w:after="283"/>
                              <w:ind w:left="0" w:right="0" w:hanging="0"/>
                              <w:jc w:val="left"/>
                              <w:rPr>
                                <w:rFonts w:ascii="Arial;Helvetica;sans-serif" w:hAnsi="Arial;Helvetica;sans-serif"/>
                                <w:b/>
                                <w:color w:val="3F609D"/>
                                <w:sz w:val="18"/>
                              </w:rPr>
                            </w:pPr>
                            <w:r>
                              <w:rPr>
                                <w:rFonts w:ascii="Arial;Helvetica;sans-serif" w:hAnsi="Arial;Helvetica;sans-serif"/>
                                <w:b/>
                                <w:color w:val="3F609D"/>
                                <w:sz w:val="18"/>
                              </w:rPr>
                              <w:t>Proposal 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90" w:type="dxa"/>
                            <w:tcBorders/>
                            <w:vAlign w:val="center"/>
                          </w:tcPr>
                          <w:p>
                            <w:pPr>
                              <w:pStyle w:val="TableContents"/>
                              <w:bidi w:val="0"/>
                              <w:spacing w:before="0" w:after="283"/>
                              <w:ind w:left="0" w:right="0" w:hanging="0"/>
                              <w:jc w:val="left"/>
                              <w:rPr>
                                <w:rFonts w:ascii="Arial;Helvetica;sans-serif" w:hAnsi="Arial;Helvetica;sans-serif"/>
                                <w:b/>
                                <w:color w:val="3F609D"/>
                                <w:sz w:val="18"/>
                              </w:rPr>
                            </w:pPr>
                            <w:r>
                              <w:rPr>
                                <w:rFonts w:ascii="Arial;Helvetica;sans-serif" w:hAnsi="Arial;Helvetica;sans-serif"/>
                                <w:b/>
                                <w:color w:val="3F609D"/>
                                <w:sz w:val="18"/>
                              </w:rPr>
                              <w:t>Election of four directors</w:t>
                            </w:r>
                          </w:p>
                        </w:tc>
                      </w:tr>
                      <w:tr>
                        <w:trPr/>
                        <w:tc>
                          <w:tcPr>
                            <w:tcW w:w="1025" w:type="dxa"/>
                            <w:tcBorders/>
                            <w:vAlign w:val="center"/>
                          </w:tcPr>
                          <w:p>
                            <w:pPr>
                              <w:pStyle w:val="TableContents"/>
                              <w:bidi w:val="0"/>
                              <w:spacing w:before="0" w:after="283"/>
                              <w:ind w:left="0" w:right="0" w:hanging="0"/>
                              <w:jc w:val="left"/>
                              <w:rPr>
                                <w:rFonts w:ascii="Arial;Helvetica;sans-serif" w:hAnsi="Arial;Helvetica;sans-serif"/>
                                <w:b/>
                                <w:color w:val="3F609D"/>
                                <w:sz w:val="18"/>
                              </w:rPr>
                            </w:pPr>
                            <w:r>
                              <w:rPr>
                                <w:rFonts w:ascii="Arial;Helvetica;sans-serif" w:hAnsi="Arial;Helvetica;sans-serif"/>
                                <w:b/>
                                <w:color w:val="3F609D"/>
                                <w:sz w:val="18"/>
                              </w:rPr>
                              <w:t>Proposal 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90" w:type="dxa"/>
                            <w:tcBorders/>
                            <w:vAlign w:val="center"/>
                          </w:tcPr>
                          <w:p>
                            <w:pPr>
                              <w:pStyle w:val="TableContents"/>
                              <w:bidi w:val="0"/>
                              <w:spacing w:before="0" w:after="283"/>
                              <w:ind w:left="0" w:right="0" w:hanging="0"/>
                              <w:jc w:val="both"/>
                              <w:rPr>
                                <w:rFonts w:ascii="Arial;Helvetica;sans-serif" w:hAnsi="Arial;Helvetica;sans-serif"/>
                                <w:b/>
                                <w:color w:val="3F609D"/>
                                <w:sz w:val="18"/>
                              </w:rPr>
                            </w:pPr>
                            <w:r>
                              <w:rPr>
                                <w:rFonts w:ascii="Arial;Helvetica;sans-serif" w:hAnsi="Arial;Helvetica;sans-serif"/>
                                <w:b/>
                                <w:color w:val="3F609D"/>
                                <w:sz w:val="18"/>
                              </w:rPr>
                              <w:t>Ratification of appointment of independent auditor for 2025</w:t>
                            </w:r>
                          </w:p>
                        </w:tc>
                      </w:tr>
                      <w:tr>
                        <w:trPr/>
                        <w:tc>
                          <w:tcPr>
                            <w:tcW w:w="10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90" w:type="dxa"/>
                            <w:tcBorders/>
                            <w:vAlign w:val="center"/>
                          </w:tcPr>
                          <w:p>
                            <w:pPr>
                              <w:pStyle w:val="TableContents"/>
                              <w:bidi w:val="0"/>
                              <w:spacing w:before="0" w:after="0"/>
                              <w:jc w:val="left"/>
                              <w:rPr/>
                            </w:pPr>
                            <w:r>
                              <w:rPr/>
                              <w:t> </w:t>
                            </w:r>
                          </w:p>
                        </w:tc>
                      </w:tr>
                    </w:tbl>
                    <w:p>
                      <w:pPr>
                        <w:pStyle w:val="TextBody"/>
                        <w:bidi w:val="0"/>
                        <w:spacing w:before="60" w:after="283"/>
                        <w:ind w:left="0" w:right="0" w:hanging="0"/>
                        <w:jc w:val="both"/>
                        <w:rPr>
                          <w:rFonts w:ascii="Arial;Helvetica;sans-serif" w:hAnsi="Arial;Helvetica;sans-serif"/>
                          <w:color w:val="4C4C4C"/>
                          <w:sz w:val="20"/>
                        </w:rPr>
                      </w:pPr>
                      <w:r>
                        <w:rPr>
                          <w:rFonts w:ascii="Arial;Helvetica;sans-serif" w:hAnsi="Arial;Helvetica;sans-serif"/>
                          <w:color w:val="4C4C4C"/>
                          <w:sz w:val="20"/>
                        </w:rPr>
                        <w:t>In addition, any other business properly presented may be acted upon at the Annual Meeting. Each share of Class A common stock is entitled to one vote, and each share of Class B common stock is entitled to twenty votes for each proposal.</w:t>
                      </w:r>
                    </w:p>
                    <w:p>
                      <w:pPr>
                        <w:pStyle w:val="TextBody"/>
                        <w:bidi w:val="0"/>
                        <w:spacing w:before="60" w:after="283"/>
                        <w:ind w:left="0" w:right="0" w:hanging="0"/>
                        <w:jc w:val="both"/>
                        <w:rPr>
                          <w:rFonts w:ascii="Arial;Helvetica;sans-serif" w:hAnsi="Arial;Helvetica;sans-serif"/>
                          <w:color w:val="4C4C4C"/>
                          <w:sz w:val="20"/>
                        </w:rPr>
                      </w:pPr>
                      <w:r>
                        <w:rPr>
                          <w:rFonts w:ascii="Arial;Helvetica;sans-serif" w:hAnsi="Arial;Helvetica;sans-serif"/>
                          <w:color w:val="4C4C4C"/>
                          <w:sz w:val="20"/>
                        </w:rPr>
                        <w:t>In accordance with Securities and Exchange Commission rules, we are providing stockholders with access to proxy materials on the Internet, instead of mailing printed copies. We are mailing to stockholders, commencing on or about April 29, 2025, a Notice of Internet Availability of Proxy Materials to provide:</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C4C4C"/>
                              </w:rPr>
                            </w:pPr>
                            <w:r>
                              <w:rPr>
                                <w:color w:val="4C4C4C"/>
                              </w:rPr>
                              <w:t>•</w:t>
                            </w:r>
                          </w:p>
                        </w:tc>
                        <w:tc>
                          <w:tcPr>
                            <w:tcW w:w="10065" w:type="dxa"/>
                            <w:tcBorders/>
                            <w:vAlign w:val="center"/>
                          </w:tcPr>
                          <w:p>
                            <w:pPr>
                              <w:pStyle w:val="TableContents"/>
                              <w:bidi w:val="0"/>
                              <w:spacing w:before="0" w:after="0"/>
                              <w:jc w:val="both"/>
                              <w:rPr>
                                <w:rFonts w:ascii="Arial;Helvetica;sans-serif" w:hAnsi="Arial;Helvetica;sans-serif"/>
                                <w:color w:val="4C4C4C"/>
                                <w:sz w:val="18"/>
                              </w:rPr>
                            </w:pPr>
                            <w:r>
                              <w:rPr>
                                <w:rFonts w:ascii="Arial;Helvetica;sans-serif" w:hAnsi="Arial;Helvetica;sans-serif"/>
                                <w:color w:val="4C4C4C"/>
                                <w:sz w:val="18"/>
                              </w:rPr>
                              <w:t>directions for accessing and reviewing the proxy materials on the Internet and submitting a proxy over the Internet or by telephone;</w:t>
                            </w:r>
                          </w:p>
                        </w:tc>
                      </w:tr>
                    </w:tbl>
                    <w:tbl>
                      <w:tblPr>
                        <w:tblW w:w="8020" w:type="dxa"/>
                        <w:jc w:val="left"/>
                        <w:tblInd w:w="0" w:type="dxa"/>
                        <w:tblLayout w:type="fixed"/>
                        <w:tblCellMar>
                          <w:top w:w="0" w:type="dxa"/>
                          <w:left w:w="0" w:type="dxa"/>
                          <w:bottom w:w="0" w:type="dxa"/>
                          <w:right w:w="0" w:type="dxa"/>
                        </w:tblCellMar>
                      </w:tblPr>
                      <w:tblGrid>
                        <w:gridCol w:w="140"/>
                        <w:gridCol w:w="7880"/>
                      </w:tblGrid>
                      <w:tr>
                        <w:trPr/>
                        <w:tc>
                          <w:tcPr>
                            <w:tcW w:w="140" w:type="dxa"/>
                            <w:tcBorders/>
                            <w:vAlign w:val="center"/>
                          </w:tcPr>
                          <w:p>
                            <w:pPr>
                              <w:pStyle w:val="TableContents"/>
                              <w:bidi w:val="0"/>
                              <w:spacing w:before="0" w:after="0"/>
                              <w:jc w:val="left"/>
                              <w:rPr>
                                <w:color w:val="4C4C4C"/>
                              </w:rPr>
                            </w:pPr>
                            <w:r>
                              <w:rPr>
                                <w:color w:val="4C4C4C"/>
                              </w:rPr>
                              <w:t>•</w:t>
                            </w:r>
                          </w:p>
                        </w:tc>
                        <w:tc>
                          <w:tcPr>
                            <w:tcW w:w="7880" w:type="dxa"/>
                            <w:tcBorders/>
                            <w:vAlign w:val="center"/>
                          </w:tcPr>
                          <w:p>
                            <w:pPr>
                              <w:pStyle w:val="TableContents"/>
                              <w:bidi w:val="0"/>
                              <w:spacing w:before="0" w:after="0"/>
                              <w:jc w:val="both"/>
                              <w:rPr>
                                <w:rFonts w:ascii="Arial;Helvetica;sans-serif" w:hAnsi="Arial;Helvetica;sans-serif"/>
                                <w:color w:val="4C4C4C"/>
                                <w:sz w:val="18"/>
                              </w:rPr>
                            </w:pPr>
                            <w:r>
                              <w:rPr>
                                <w:rFonts w:ascii="Arial;Helvetica;sans-serif" w:hAnsi="Arial;Helvetica;sans-serif"/>
                                <w:color w:val="4C4C4C"/>
                                <w:sz w:val="18"/>
                              </w:rPr>
                              <w:t>instructions for requesting copies of proxy materials in printed form or by email at no charge; and</w:t>
                            </w:r>
                          </w:p>
                        </w:tc>
                      </w:tr>
                    </w:tbl>
                    <w:tbl>
                      <w:tblPr>
                        <w:tblW w:w="7555" w:type="dxa"/>
                        <w:jc w:val="left"/>
                        <w:tblInd w:w="0" w:type="dxa"/>
                        <w:tblLayout w:type="fixed"/>
                        <w:tblCellMar>
                          <w:top w:w="0" w:type="dxa"/>
                          <w:left w:w="0" w:type="dxa"/>
                          <w:bottom w:w="0" w:type="dxa"/>
                          <w:right w:w="0" w:type="dxa"/>
                        </w:tblCellMar>
                      </w:tblPr>
                      <w:tblGrid>
                        <w:gridCol w:w="140"/>
                        <w:gridCol w:w="7415"/>
                      </w:tblGrid>
                      <w:tr>
                        <w:trPr/>
                        <w:tc>
                          <w:tcPr>
                            <w:tcW w:w="140" w:type="dxa"/>
                            <w:tcBorders/>
                            <w:vAlign w:val="center"/>
                          </w:tcPr>
                          <w:p>
                            <w:pPr>
                              <w:pStyle w:val="TableContents"/>
                              <w:bidi w:val="0"/>
                              <w:spacing w:before="0" w:after="0"/>
                              <w:jc w:val="left"/>
                              <w:rPr>
                                <w:color w:val="4C4C4C"/>
                              </w:rPr>
                            </w:pPr>
                            <w:r>
                              <w:rPr>
                                <w:color w:val="4C4C4C"/>
                              </w:rPr>
                              <w:t>•</w:t>
                            </w:r>
                          </w:p>
                        </w:tc>
                        <w:tc>
                          <w:tcPr>
                            <w:tcW w:w="7415" w:type="dxa"/>
                            <w:tcBorders/>
                            <w:vAlign w:val="center"/>
                          </w:tcPr>
                          <w:p>
                            <w:pPr>
                              <w:pStyle w:val="TableContents"/>
                              <w:bidi w:val="0"/>
                              <w:spacing w:before="0" w:after="0"/>
                              <w:jc w:val="both"/>
                              <w:rPr>
                                <w:rFonts w:ascii="Arial;Helvetica;sans-serif" w:hAnsi="Arial;Helvetica;sans-serif"/>
                                <w:color w:val="4C4C4C"/>
                                <w:sz w:val="18"/>
                              </w:rPr>
                            </w:pPr>
                            <w:r>
                              <w:rPr>
                                <w:rFonts w:ascii="Arial;Helvetica;sans-serif" w:hAnsi="Arial;Helvetica;sans-serif"/>
                                <w:color w:val="4C4C4C"/>
                                <w:sz w:val="18"/>
                              </w:rPr>
                              <w:t>a control number for use in submitting proxies and accessing the Annual Meeting webcast.</w:t>
                            </w:r>
                          </w:p>
                        </w:tc>
                      </w:tr>
                    </w:tbl>
                    <w:tbl>
                      <w:tblPr>
                        <w:tblW w:w="3665" w:type="dxa"/>
                        <w:jc w:val="left"/>
                        <w:tblInd w:w="0" w:type="dxa"/>
                        <w:tblLayout w:type="fixed"/>
                        <w:tblCellMar>
                          <w:top w:w="0" w:type="dxa"/>
                          <w:left w:w="0" w:type="dxa"/>
                          <w:bottom w:w="0" w:type="dxa"/>
                          <w:right w:w="0" w:type="dxa"/>
                        </w:tblCellMar>
                      </w:tblPr>
                      <w:tblGrid>
                        <w:gridCol w:w="2030"/>
                        <w:gridCol w:w="170"/>
                        <w:gridCol w:w="170"/>
                        <w:gridCol w:w="1295"/>
                      </w:tblGrid>
                      <w:tr>
                        <w:trPr/>
                        <w:tc>
                          <w:tcPr>
                            <w:tcW w:w="20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pPr>
                            <w:r>
                              <w:rPr/>
                              <w:t> </w:t>
                            </w:r>
                          </w:p>
                        </w:tc>
                      </w:tr>
                      <w:tr>
                        <w:trPr/>
                        <w:tc>
                          <w:tcPr>
                            <w:tcW w:w="2030"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By Order of the Board,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color w:val="4C4C4C"/>
                              </w:rPr>
                            </w:pPr>
                            <w:r>
                              <w:rPr>
                                <w:color w:val="4C4C4C"/>
                              </w:rPr>
                              <w:t> </w:t>
                            </w:r>
                          </w:p>
                        </w:tc>
                      </w:tr>
                      <w:tr>
                        <w:trPr/>
                        <w:tc>
                          <w:tcPr>
                            <w:tcW w:w="2030" w:type="dxa"/>
                            <w:tcBorders/>
                            <w:vAlign w:val="center"/>
                          </w:tcPr>
                          <w:p>
                            <w:pPr>
                              <w:pStyle w:val="TableContents"/>
                              <w:bidi w:val="0"/>
                              <w:spacing w:before="0" w:after="0"/>
                              <w:jc w:val="left"/>
                              <w:rPr>
                                <w:color w:val="4C4C4C"/>
                              </w:rPr>
                            </w:pPr>
                            <w:r>
                              <w:rPr>
                                <w:color w:val="4C4C4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color w:val="4C4C4C"/>
                              </w:rPr>
                            </w:pPr>
                            <w:r>
                              <w:rPr>
                                <w:color w:val="4C4C4C"/>
                              </w:rPr>
                              <w:t> </w:t>
                            </w:r>
                          </w:p>
                        </w:tc>
                      </w:tr>
                      <w:tr>
                        <w:trPr/>
                        <w:tc>
                          <w:tcPr>
                            <w:tcW w:w="2030"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Mark McKechnie</w:t>
                            </w:r>
                          </w:p>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Secretary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jc w:val="right"/>
                              <w:rPr>
                                <w:rFonts w:ascii="Arial;Helvetica;sans-serif" w:hAnsi="Arial;Helvetica;sans-serif"/>
                                <w:color w:val="4C4C4C"/>
                                <w:sz w:val="20"/>
                              </w:rPr>
                            </w:pPr>
                            <w:r>
                              <w:rPr>
                                <w:rFonts w:ascii="Arial;Helvetica;sans-serif" w:hAnsi="Arial;Helvetica;sans-serif"/>
                                <w:color w:val="4C4C4C"/>
                                <w:sz w:val="20"/>
                              </w:rPr>
                              <w:t>April 29, 2025</w:t>
                            </w:r>
                          </w:p>
                        </w:tc>
                      </w:tr>
                      <w:tr>
                        <w:trPr/>
                        <w:tc>
                          <w:tcPr>
                            <w:tcW w:w="20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pPr>
                            <w:r>
                              <w:rPr/>
                              <w:t> </w:t>
                            </w:r>
                          </w:p>
                        </w:tc>
                      </w:tr>
                    </w:tbl>
                    <w:p>
                      <w:pPr>
                        <w:pStyle w:val="TextBody"/>
                        <w:bidi w:val="0"/>
                        <w:spacing w:before="0" w:after="283"/>
                        <w:jc w:val="left"/>
                        <w:rPr/>
                      </w:pPr>
                      <w:r>
                        <w:rPr/>
                      </w:r>
                    </w:p>
                  </w:txbxContent>
                </v:textbox>
                <w10:wrap type="square" side="right"/>
              </v:rect>
            </w:pict>
          </mc:Fallback>
        </mc:AlternateContent>
      </w:r>
    </w:p>
    <w:p>
      <w:pPr>
        <w:pStyle w:val="TextBody"/>
        <w:bidi w:val="0"/>
        <w:jc w:val="left"/>
        <w:rPr/>
      </w:pPr>
      <w:hyperlink w:anchor="TOC">
        <w:bookmarkStart w:id="6" w:name="ny20042784x1_def14a_104-proxy_pg1"/>
        <w:bookmarkEnd w:id="6"/>
        <w:r>
          <w:rPr>
            <w:rStyle w:val="InternetLink"/>
            <w:rFonts w:ascii="Times New Roman;Times;Serif" w:hAnsi="Times New Roman;Times;Serif"/>
            <w:b/>
            <w:caps w:val="false"/>
            <w:smallCaps w:val="false"/>
            <w:color w:val="000000"/>
            <w:sz w:val="16"/>
          </w:rPr>
          <w:t>TABLE OF CONTENTS</w:t>
        </w:r>
      </w:hyperlink>
    </w:p>
    <w:tbl>
      <w:tblPr>
        <w:tblW w:w="5610" w:type="dxa"/>
        <w:jc w:val="left"/>
        <w:tblInd w:w="0" w:type="dxa"/>
        <w:tblLayout w:type="fixed"/>
        <w:tblCellMar>
          <w:top w:w="0" w:type="dxa"/>
          <w:left w:w="0" w:type="dxa"/>
          <w:bottom w:w="0" w:type="dxa"/>
          <w:right w:w="0" w:type="dxa"/>
        </w:tblCellMar>
      </w:tblPr>
      <w:tblGrid>
        <w:gridCol w:w="2265"/>
        <w:gridCol w:w="170"/>
        <w:gridCol w:w="170"/>
        <w:gridCol w:w="3005"/>
      </w:tblGrid>
      <w:tr>
        <w:trPr/>
        <w:tc>
          <w:tcPr>
            <w:tcW w:w="22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05" w:type="dxa"/>
            <w:tcBorders/>
            <w:vAlign w:val="center"/>
          </w:tcPr>
          <w:p>
            <w:pPr>
              <w:pStyle w:val="TableContents"/>
              <w:bidi w:val="0"/>
              <w:spacing w:before="0" w:after="0"/>
              <w:jc w:val="left"/>
              <w:rPr/>
            </w:pPr>
            <w:r>
              <w:rPr/>
              <w:t> </w:t>
            </w:r>
          </w:p>
        </w:tc>
      </w:tr>
      <w:tr>
        <w:trPr/>
        <w:tc>
          <w:tcPr>
            <w:tcW w:w="2265" w:type="dxa"/>
            <w:tcBorders/>
            <w:vAlign w:val="center"/>
          </w:tcPr>
          <w:p>
            <w:pPr>
              <w:pStyle w:val="TableContents"/>
              <w:bidi w:val="0"/>
              <w:spacing w:before="0" w:after="283"/>
              <w:ind w:left="0" w:right="0" w:hanging="0"/>
              <w:jc w:val="left"/>
              <w:rPr>
                <w:color w:val="4C4C4C"/>
              </w:rPr>
            </w:pPr>
            <w:r>
              <w:rPr>
                <w:color w:val="4C4C4C"/>
              </w:rPr>
              <w:drawing>
                <wp:inline distT="0" distB="0" distL="0" distR="0">
                  <wp:extent cx="1409700" cy="876300"/>
                  <wp:effectExtent l="0" t="0" r="0" b="0"/>
                  <wp:docPr id="1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0" descr=""/>
                          <pic:cNvPicPr>
                            <a:picLocks noChangeAspect="1" noChangeArrowheads="1"/>
                          </pic:cNvPicPr>
                        </pic:nvPicPr>
                        <pic:blipFill>
                          <a:blip r:embed="rId14"/>
                          <a:stretch>
                            <a:fillRect/>
                          </a:stretch>
                        </pic:blipFill>
                        <pic:spPr bwMode="auto">
                          <a:xfrm>
                            <a:off x="0" y="0"/>
                            <a:ext cx="1409700" cy="876300"/>
                          </a:xfrm>
                          <a:prstGeom prst="rect">
                            <a:avLst/>
                          </a:prstGeom>
                        </pic:spPr>
                      </pic:pic>
                    </a:graphicData>
                  </a:graphic>
                </wp:inline>
              </w:drawing>
            </w:r>
          </w:p>
          <w:p>
            <w:pPr>
              <w:pStyle w:val="TableContents"/>
              <w:bidi w:val="0"/>
              <w:spacing w:before="0" w:after="283"/>
              <w:ind w:left="0" w:right="0" w:hanging="0"/>
              <w:jc w:val="left"/>
              <w:rPr>
                <w:color w:val="4C4C4C"/>
              </w:rPr>
            </w:pPr>
            <w:r>
              <w:rPr>
                <w:color w:val="4C4C4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05" w:type="dxa"/>
            <w:tcBorders/>
            <w:vAlign w:val="center"/>
          </w:tcPr>
          <w:p>
            <w:pPr>
              <w:pStyle w:val="TableContents"/>
              <w:bidi w:val="0"/>
              <w:spacing w:before="0" w:after="283"/>
              <w:jc w:val="right"/>
              <w:rPr>
                <w:rFonts w:ascii="Arial;Helvetica;sans-serif" w:hAnsi="Arial;Helvetica;sans-serif"/>
                <w:b/>
                <w:color w:val="4C4C4C"/>
                <w:sz w:val="24"/>
              </w:rPr>
            </w:pPr>
            <w:r>
              <w:rPr>
                <w:rFonts w:ascii="Arial;Helvetica;sans-serif" w:hAnsi="Arial;Helvetica;sans-serif"/>
                <w:b/>
                <w:color w:val="4C4C4C"/>
                <w:sz w:val="24"/>
              </w:rPr>
              <w:t>42307 Osgood Rd, Suite I</w:t>
            </w:r>
          </w:p>
          <w:p>
            <w:pPr>
              <w:pStyle w:val="TableContents"/>
              <w:bidi w:val="0"/>
              <w:spacing w:before="0" w:after="283"/>
              <w:jc w:val="right"/>
              <w:rPr>
                <w:rFonts w:ascii="Arial;Helvetica;sans-serif" w:hAnsi="Arial;Helvetica;sans-serif"/>
                <w:b/>
                <w:color w:val="4C4C4C"/>
                <w:sz w:val="24"/>
              </w:rPr>
            </w:pPr>
            <w:r>
              <w:rPr>
                <w:rFonts w:ascii="Arial;Helvetica;sans-serif" w:hAnsi="Arial;Helvetica;sans-serif"/>
                <w:b/>
                <w:color w:val="4C4C4C"/>
                <w:sz w:val="24"/>
              </w:rPr>
              <w:t>Fremont, California 94539</w:t>
            </w:r>
          </w:p>
        </w:tc>
      </w:tr>
      <w:tr>
        <w:trPr/>
        <w:tc>
          <w:tcPr>
            <w:tcW w:w="22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05" w:type="dxa"/>
            <w:tcBorders/>
            <w:vAlign w:val="center"/>
          </w:tcPr>
          <w:p>
            <w:pPr>
              <w:pStyle w:val="TableContents"/>
              <w:bidi w:val="0"/>
              <w:spacing w:before="0" w:after="0"/>
              <w:jc w:val="left"/>
              <w:rPr/>
            </w:pPr>
            <w:r>
              <w:rPr/>
              <w:t> </w:t>
            </w:r>
          </w:p>
        </w:tc>
      </w:tr>
    </w:tbl>
    <w:p>
      <w:pPr>
        <w:pStyle w:val="TextBody"/>
        <w:bidi w:val="0"/>
        <w:spacing w:before="1015" w:after="283"/>
        <w:jc w:val="center"/>
        <w:rPr>
          <w:rFonts w:ascii="Arial;Helvetica;sans-serif" w:hAnsi="Arial;Helvetica;sans-serif"/>
          <w:b/>
          <w:color w:val="0D3F64"/>
          <w:sz w:val="28"/>
        </w:rPr>
      </w:pPr>
      <w:r>
        <w:rPr>
          <w:rFonts w:ascii="Arial;Helvetica;sans-serif" w:hAnsi="Arial;Helvetica;sans-serif"/>
          <w:b/>
          <w:color w:val="0D3F64"/>
          <w:sz w:val="28"/>
        </w:rPr>
        <w:t>Proxy Statement dated April 29, 2025</w:t>
      </w:r>
    </w:p>
    <w:p>
      <w:pPr>
        <w:pStyle w:val="TextBody"/>
        <w:bidi w:val="0"/>
        <w:spacing w:before="0" w:after="283"/>
        <w:jc w:val="center"/>
        <w:rPr>
          <w:color w:val="0D3F64"/>
        </w:rPr>
      </w:pPr>
      <w:r>
        <w:rPr>
          <w:color w:val="0D3F64"/>
        </w:rPr>
        <w:t> </w:t>
      </w:r>
    </w:p>
    <w:p>
      <w:pPr>
        <w:pStyle w:val="TextBody"/>
        <w:bidi w:val="0"/>
        <w:spacing w:before="0" w:after="283"/>
        <w:jc w:val="center"/>
        <w:rPr>
          <w:rFonts w:ascii="Arial;Helvetica;sans-serif" w:hAnsi="Arial;Helvetica;sans-serif"/>
          <w:b/>
          <w:color w:val="0D3F64"/>
          <w:sz w:val="28"/>
        </w:rPr>
      </w:pPr>
      <w:r>
        <w:rPr>
          <w:rFonts w:ascii="Arial;Helvetica;sans-serif" w:hAnsi="Arial;Helvetica;sans-serif"/>
          <w:b/>
          <w:color w:val="0D3F64"/>
          <w:sz w:val="28"/>
        </w:rPr>
        <w:t>2025 Annual Meeting of Stockholders</w:t>
      </w:r>
    </w:p>
    <w:p>
      <w:pPr>
        <w:pStyle w:val="TextBody"/>
        <w:bidi w:val="0"/>
        <w:spacing w:before="840" w:after="283"/>
        <w:ind w:left="0" w:right="0" w:hanging="0"/>
        <w:jc w:val="both"/>
        <w:rPr>
          <w:rFonts w:ascii="Arial;Helvetica;sans-serif" w:hAnsi="Arial;Helvetica;sans-serif"/>
          <w:color w:val="4C4C4C"/>
          <w:sz w:val="24"/>
        </w:rPr>
      </w:pPr>
      <w:r>
        <w:rPr>
          <w:rFonts w:ascii="Arial;Helvetica;sans-serif" w:hAnsi="Arial;Helvetica;sans-serif"/>
          <w:color w:val="4C4C4C"/>
          <w:sz w:val="24"/>
        </w:rPr>
        <w:t>ACM Research, Inc., a Delaware corporation, is furnishing this Proxy Statement and related proxy materials in connection with the solicitation by its board of directors of proxies to be voted at its 2025 Annual Meeting of Stockholders and any adjournments. ACM Research, Inc. is providing these materials to the holders of record of its Class A common stock, $0.0001 par value per share, and Class B common stock, $0.0001 par value per share, as of 5 p.m., Eastern time, on the record date of April 15, 2025 and is first mailing the materials on or about April 29, 2025.</w:t>
      </w:r>
    </w:p>
    <w:tbl>
      <w:tblPr>
        <w:tblW w:w="9047" w:type="dxa"/>
        <w:jc w:val="left"/>
        <w:tblInd w:w="0" w:type="dxa"/>
        <w:tblLayout w:type="fixed"/>
        <w:tblCellMar>
          <w:top w:w="0" w:type="dxa"/>
          <w:left w:w="0" w:type="dxa"/>
          <w:bottom w:w="0" w:type="dxa"/>
          <w:right w:w="0" w:type="dxa"/>
        </w:tblCellMar>
      </w:tblPr>
      <w:tblGrid>
        <w:gridCol w:w="3295"/>
        <w:gridCol w:w="183"/>
        <w:gridCol w:w="183"/>
        <w:gridCol w:w="5386"/>
      </w:tblGrid>
      <w:tr>
        <w:trPr/>
        <w:tc>
          <w:tcPr>
            <w:tcW w:w="9047" w:type="dxa"/>
            <w:gridSpan w:val="4"/>
            <w:tcBorders/>
            <w:vAlign w:val="center"/>
          </w:tcPr>
          <w:p>
            <w:pPr>
              <w:pStyle w:val="TableContents"/>
              <w:bidi w:val="0"/>
              <w:spacing w:before="0" w:after="0"/>
              <w:jc w:val="left"/>
              <w:rPr/>
            </w:pPr>
            <w:r>
              <w:rPr/>
              <w:t> </w:t>
            </w:r>
          </w:p>
        </w:tc>
      </w:tr>
      <w:tr>
        <w:trPr/>
        <w:tc>
          <w:tcPr>
            <w:tcW w:w="9047" w:type="dxa"/>
            <w:gridSpan w:val="4"/>
            <w:tcBorders/>
            <w:vAlign w:val="center"/>
          </w:tcPr>
          <w:p>
            <w:pPr>
              <w:pStyle w:val="TableContents"/>
              <w:bidi w:val="0"/>
              <w:spacing w:before="0" w:after="283"/>
              <w:ind w:left="0" w:right="0" w:hanging="0"/>
              <w:jc w:val="left"/>
              <w:rPr>
                <w:rFonts w:ascii="Arial;Helvetica;sans-serif" w:hAnsi="Arial;Helvetica;sans-serif"/>
                <w:b/>
                <w:color w:val="3F609D"/>
                <w:sz w:val="24"/>
              </w:rPr>
            </w:pPr>
            <w:r>
              <w:rPr>
                <w:rFonts w:ascii="Arial;Helvetica;sans-serif" w:hAnsi="Arial;Helvetica;sans-serif"/>
                <w:b/>
                <w:color w:val="3F609D"/>
                <w:sz w:val="24"/>
              </w:rPr>
              <w:t>The Annual Meeting is scheduled to be held exclusively by webcast as follows:</w:t>
            </w:r>
          </w:p>
        </w:tc>
      </w:tr>
      <w:tr>
        <w:trPr/>
        <w:tc>
          <w:tcPr>
            <w:tcW w:w="3295" w:type="dxa"/>
            <w:tcBorders/>
            <w:vAlign w:val="center"/>
          </w:tcPr>
          <w:p>
            <w:pPr>
              <w:pStyle w:val="TableContents"/>
              <w:bidi w:val="0"/>
              <w:spacing w:before="0" w:after="283"/>
              <w:ind w:left="0" w:right="0" w:hanging="0"/>
              <w:jc w:val="left"/>
              <w:rPr>
                <w:rFonts w:ascii="Arial;Helvetica;sans-serif" w:hAnsi="Arial;Helvetica;sans-serif"/>
                <w:b/>
                <w:color w:val="3F609D"/>
                <w:sz w:val="24"/>
              </w:rPr>
            </w:pPr>
            <w:r>
              <w:rPr>
                <w:rFonts w:ascii="Arial;Helvetica;sans-serif" w:hAnsi="Arial;Helvetica;sans-serif"/>
                <w:b/>
                <w:color w:val="3F609D"/>
                <w:sz w:val="24"/>
              </w:rPr>
              <w:t>Date</w:t>
            </w:r>
          </w:p>
        </w:tc>
        <w:tc>
          <w:tcPr>
            <w:tcW w:w="183" w:type="dxa"/>
            <w:tcBorders/>
            <w:vAlign w:val="center"/>
          </w:tcPr>
          <w:p>
            <w:pPr>
              <w:pStyle w:val="TableContents"/>
              <w:bidi w:val="0"/>
              <w:spacing w:before="0" w:after="0"/>
              <w:jc w:val="left"/>
              <w:rPr/>
            </w:pPr>
            <w:r>
              <w:rPr/>
              <w:t> </w:t>
            </w:r>
          </w:p>
        </w:tc>
        <w:tc>
          <w:tcPr>
            <w:tcW w:w="183" w:type="dxa"/>
            <w:tcBorders/>
            <w:vAlign w:val="center"/>
          </w:tcPr>
          <w:p>
            <w:pPr>
              <w:pStyle w:val="TableContents"/>
              <w:bidi w:val="0"/>
              <w:spacing w:before="0" w:after="0"/>
              <w:jc w:val="left"/>
              <w:rPr/>
            </w:pPr>
            <w:r>
              <w:rPr/>
              <w:t> </w:t>
            </w:r>
          </w:p>
        </w:tc>
        <w:tc>
          <w:tcPr>
            <w:tcW w:w="5386" w:type="dxa"/>
            <w:tcBorders/>
            <w:vAlign w:val="center"/>
          </w:tcPr>
          <w:p>
            <w:pPr>
              <w:pStyle w:val="TableContents"/>
              <w:bidi w:val="0"/>
              <w:spacing w:before="0" w:after="283"/>
              <w:ind w:left="0" w:right="0" w:hanging="0"/>
              <w:jc w:val="left"/>
              <w:rPr>
                <w:rFonts w:ascii="Arial;Helvetica;sans-serif" w:hAnsi="Arial;Helvetica;sans-serif"/>
                <w:b/>
                <w:color w:val="4694D0"/>
                <w:sz w:val="24"/>
              </w:rPr>
            </w:pPr>
            <w:r>
              <w:rPr>
                <w:rFonts w:ascii="Arial;Helvetica;sans-serif" w:hAnsi="Arial;Helvetica;sans-serif"/>
                <w:b/>
                <w:color w:val="4694D0"/>
                <w:sz w:val="24"/>
              </w:rPr>
              <w:t>Thursday, June 12, 2025</w:t>
            </w:r>
          </w:p>
        </w:tc>
      </w:tr>
      <w:tr>
        <w:trPr/>
        <w:tc>
          <w:tcPr>
            <w:tcW w:w="3295" w:type="dxa"/>
            <w:tcBorders/>
            <w:vAlign w:val="center"/>
          </w:tcPr>
          <w:p>
            <w:pPr>
              <w:pStyle w:val="TableContents"/>
              <w:bidi w:val="0"/>
              <w:spacing w:before="0" w:after="283"/>
              <w:ind w:left="0" w:right="0" w:hanging="0"/>
              <w:jc w:val="left"/>
              <w:rPr>
                <w:rFonts w:ascii="Arial;Helvetica;sans-serif" w:hAnsi="Arial;Helvetica;sans-serif"/>
                <w:b/>
                <w:color w:val="3F609D"/>
                <w:sz w:val="24"/>
              </w:rPr>
            </w:pPr>
            <w:r>
              <w:rPr>
                <w:rFonts w:ascii="Arial;Helvetica;sans-serif" w:hAnsi="Arial;Helvetica;sans-serif"/>
                <w:b/>
                <w:color w:val="3F609D"/>
                <w:sz w:val="24"/>
              </w:rPr>
              <w:t>Time</w:t>
            </w:r>
          </w:p>
        </w:tc>
        <w:tc>
          <w:tcPr>
            <w:tcW w:w="183" w:type="dxa"/>
            <w:tcBorders/>
            <w:vAlign w:val="center"/>
          </w:tcPr>
          <w:p>
            <w:pPr>
              <w:pStyle w:val="TableContents"/>
              <w:bidi w:val="0"/>
              <w:spacing w:before="0" w:after="0"/>
              <w:jc w:val="left"/>
              <w:rPr/>
            </w:pPr>
            <w:r>
              <w:rPr/>
              <w:t> </w:t>
            </w:r>
          </w:p>
        </w:tc>
        <w:tc>
          <w:tcPr>
            <w:tcW w:w="183" w:type="dxa"/>
            <w:tcBorders/>
            <w:vAlign w:val="center"/>
          </w:tcPr>
          <w:p>
            <w:pPr>
              <w:pStyle w:val="TableContents"/>
              <w:bidi w:val="0"/>
              <w:spacing w:before="0" w:after="0"/>
              <w:jc w:val="left"/>
              <w:rPr/>
            </w:pPr>
            <w:r>
              <w:rPr/>
              <w:t> </w:t>
            </w:r>
          </w:p>
        </w:tc>
        <w:tc>
          <w:tcPr>
            <w:tcW w:w="5386" w:type="dxa"/>
            <w:tcBorders/>
            <w:vAlign w:val="center"/>
          </w:tcPr>
          <w:p>
            <w:pPr>
              <w:pStyle w:val="TableContents"/>
              <w:bidi w:val="0"/>
              <w:spacing w:before="0" w:after="283"/>
              <w:ind w:left="0" w:right="0" w:hanging="0"/>
              <w:jc w:val="left"/>
              <w:rPr>
                <w:rFonts w:ascii="Arial;Helvetica;sans-serif" w:hAnsi="Arial;Helvetica;sans-serif"/>
                <w:b/>
                <w:color w:val="4694D0"/>
                <w:sz w:val="24"/>
              </w:rPr>
            </w:pPr>
            <w:r>
              <w:rPr>
                <w:rFonts w:ascii="Arial;Helvetica;sans-serif" w:hAnsi="Arial;Helvetica;sans-serif"/>
                <w:b/>
                <w:color w:val="4694D0"/>
                <w:sz w:val="24"/>
              </w:rPr>
              <w:t>7 a.m., Pacific time</w:t>
            </w:r>
          </w:p>
        </w:tc>
      </w:tr>
      <w:tr>
        <w:trPr/>
        <w:tc>
          <w:tcPr>
            <w:tcW w:w="3295" w:type="dxa"/>
            <w:tcBorders/>
            <w:vAlign w:val="center"/>
          </w:tcPr>
          <w:p>
            <w:pPr>
              <w:pStyle w:val="TableContents"/>
              <w:bidi w:val="0"/>
              <w:spacing w:before="0" w:after="283"/>
              <w:ind w:left="0" w:right="0" w:hanging="0"/>
              <w:jc w:val="left"/>
              <w:rPr>
                <w:rFonts w:ascii="Arial;Helvetica;sans-serif" w:hAnsi="Arial;Helvetica;sans-serif"/>
                <w:b/>
                <w:color w:val="3F609D"/>
                <w:sz w:val="24"/>
              </w:rPr>
            </w:pPr>
            <w:r>
              <w:rPr>
                <w:rFonts w:ascii="Arial;Helvetica;sans-serif" w:hAnsi="Arial;Helvetica;sans-serif"/>
                <w:b/>
                <w:color w:val="3F609D"/>
                <w:sz w:val="24"/>
              </w:rPr>
              <w:t>Meeting Webcast Address</w:t>
            </w:r>
          </w:p>
        </w:tc>
        <w:tc>
          <w:tcPr>
            <w:tcW w:w="183" w:type="dxa"/>
            <w:tcBorders/>
            <w:vAlign w:val="center"/>
          </w:tcPr>
          <w:p>
            <w:pPr>
              <w:pStyle w:val="TableContents"/>
              <w:bidi w:val="0"/>
              <w:spacing w:before="0" w:after="0"/>
              <w:jc w:val="left"/>
              <w:rPr/>
            </w:pPr>
            <w:r>
              <w:rPr/>
              <w:t> </w:t>
            </w:r>
          </w:p>
        </w:tc>
        <w:tc>
          <w:tcPr>
            <w:tcW w:w="183" w:type="dxa"/>
            <w:tcBorders/>
            <w:vAlign w:val="center"/>
          </w:tcPr>
          <w:p>
            <w:pPr>
              <w:pStyle w:val="TableContents"/>
              <w:bidi w:val="0"/>
              <w:spacing w:before="0" w:after="0"/>
              <w:jc w:val="left"/>
              <w:rPr/>
            </w:pPr>
            <w:r>
              <w:rPr/>
              <w:t> </w:t>
            </w:r>
          </w:p>
        </w:tc>
        <w:tc>
          <w:tcPr>
            <w:tcW w:w="5386" w:type="dxa"/>
            <w:tcBorders/>
            <w:vAlign w:val="center"/>
          </w:tcPr>
          <w:p>
            <w:pPr>
              <w:pStyle w:val="TableContents"/>
              <w:bidi w:val="0"/>
              <w:spacing w:before="0" w:after="283"/>
              <w:ind w:left="0" w:right="0" w:hanging="0"/>
              <w:jc w:val="left"/>
              <w:rPr>
                <w:rFonts w:ascii="Arial;Helvetica;sans-serif" w:hAnsi="Arial;Helvetica;sans-serif"/>
                <w:b/>
                <w:i/>
                <w:color w:val="4694D0"/>
                <w:sz w:val="24"/>
              </w:rPr>
            </w:pPr>
            <w:r>
              <w:rPr>
                <w:rFonts w:ascii="Arial;Helvetica;sans-serif" w:hAnsi="Arial;Helvetica;sans-serif"/>
                <w:b/>
                <w:i/>
                <w:color w:val="4694D0"/>
                <w:sz w:val="24"/>
              </w:rPr>
              <w:t>virtualshareholdermeeting.com/ACMR2025</w:t>
            </w:r>
          </w:p>
        </w:tc>
      </w:tr>
      <w:tr>
        <w:trPr/>
        <w:tc>
          <w:tcPr>
            <w:tcW w:w="3295" w:type="dxa"/>
            <w:tcBorders/>
            <w:vAlign w:val="center"/>
          </w:tcPr>
          <w:p>
            <w:pPr>
              <w:pStyle w:val="TableContents"/>
              <w:bidi w:val="0"/>
              <w:spacing w:before="0" w:after="0"/>
              <w:jc w:val="left"/>
              <w:rPr/>
            </w:pPr>
            <w:r>
              <w:rPr/>
              <w:t> </w:t>
            </w:r>
          </w:p>
        </w:tc>
        <w:tc>
          <w:tcPr>
            <w:tcW w:w="183" w:type="dxa"/>
            <w:tcBorders/>
            <w:vAlign w:val="center"/>
          </w:tcPr>
          <w:p>
            <w:pPr>
              <w:pStyle w:val="TableContents"/>
              <w:bidi w:val="0"/>
              <w:spacing w:before="0" w:after="0"/>
              <w:jc w:val="left"/>
              <w:rPr/>
            </w:pPr>
            <w:r>
              <w:rPr/>
              <w:t> </w:t>
            </w:r>
          </w:p>
        </w:tc>
        <w:tc>
          <w:tcPr>
            <w:tcW w:w="183" w:type="dxa"/>
            <w:tcBorders/>
            <w:vAlign w:val="center"/>
          </w:tcPr>
          <w:p>
            <w:pPr>
              <w:pStyle w:val="TableContents"/>
              <w:bidi w:val="0"/>
              <w:spacing w:before="0" w:after="0"/>
              <w:jc w:val="left"/>
              <w:rPr/>
            </w:pPr>
            <w:r>
              <w:rPr/>
              <w:t> </w:t>
            </w:r>
          </w:p>
        </w:tc>
        <w:tc>
          <w:tcPr>
            <w:tcW w:w="5386" w:type="dxa"/>
            <w:tcBorders/>
            <w:vAlign w:val="center"/>
          </w:tcPr>
          <w:p>
            <w:pPr>
              <w:pStyle w:val="TableContents"/>
              <w:bidi w:val="0"/>
              <w:spacing w:before="0" w:after="0"/>
              <w:jc w:val="left"/>
              <w:rPr/>
            </w:pPr>
            <w:r>
              <w:rPr/>
              <w:t> </w:t>
            </w:r>
          </w:p>
        </w:tc>
      </w:tr>
    </w:tbl>
    <w:p>
      <w:pPr>
        <w:pStyle w:val="TextBody"/>
        <w:bidi w:val="0"/>
        <w:spacing w:before="1400" w:after="283"/>
        <w:jc w:val="center"/>
        <w:rPr>
          <w:rFonts w:ascii="Arial;Helvetica;sans-serif" w:hAnsi="Arial;Helvetica;sans-serif"/>
          <w:b/>
          <w:color w:val="4C4C4C"/>
          <w:sz w:val="24"/>
        </w:rPr>
      </w:pPr>
      <w:r>
        <w:rPr>
          <w:rFonts w:ascii="Arial;Helvetica;sans-serif" w:hAnsi="Arial;Helvetica;sans-serif"/>
          <w:b/>
          <w:color w:val="4C4C4C"/>
          <w:sz w:val="24"/>
        </w:rPr>
        <w:t>Your vote is important.</w:t>
      </w:r>
    </w:p>
    <w:p>
      <w:pPr>
        <w:pStyle w:val="TextBody"/>
        <w:bidi w:val="0"/>
        <w:spacing w:before="0" w:after="283"/>
        <w:jc w:val="center"/>
        <w:rPr>
          <w:rFonts w:ascii="Arial;Helvetica;sans-serif" w:hAnsi="Arial;Helvetica;sans-serif"/>
          <w:b w:val="false"/>
          <w:color w:val="4C4C4C"/>
          <w:sz w:val="24"/>
        </w:rPr>
      </w:pPr>
      <w:r>
        <w:rPr>
          <w:rFonts w:ascii="Arial;Helvetica;sans-serif" w:hAnsi="Arial;Helvetica;sans-serif"/>
          <w:b w:val="false"/>
          <w:color w:val="4C4C4C"/>
          <w:sz w:val="24"/>
        </w:rPr>
        <w:t>Please see the detailed information that follows in the Proxy Statement.</w:t>
      </w:r>
    </w:p>
    <w:p>
      <w:pPr>
        <w:pStyle w:val="HorizontalLine"/>
        <w:bidi w:val="0"/>
        <w:spacing w:before="200" w:after="200"/>
        <w:jc w:val="left"/>
        <w:rPr/>
      </w:pPr>
      <w:r>
        <w:rPr/>
      </w:r>
    </w:p>
    <w:p>
      <w:pPr>
        <w:pStyle w:val="TextBody"/>
        <w:bidi w:val="0"/>
        <w:jc w:val="left"/>
        <w:rPr/>
      </w:pPr>
      <w:hyperlink w:anchor="TOC">
        <w:bookmarkStart w:id="7" w:name="ny20042784x1_def14a_105-toc_pg1"/>
        <w:bookmarkEnd w:id="7"/>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Arial;Helvetica;sans-serif" w:hAnsi="Arial;Helvetica;sans-serif"/>
          <w:b/>
          <w:color w:val="0D3F64"/>
          <w:sz w:val="28"/>
        </w:rPr>
      </w:pPr>
      <w:r>
        <w:rPr>
          <w:rFonts w:ascii="Arial;Helvetica;sans-serif" w:hAnsi="Arial;Helvetica;sans-serif"/>
          <w:b/>
          <w:color w:val="0D3F64"/>
          <w:sz w:val="28"/>
        </w:rPr>
        <w:t>Contents</w:t>
      </w:r>
    </w:p>
    <w:p>
      <w:pPr>
        <w:pStyle w:val="Normal"/>
        <w:bidi w:val="0"/>
        <w:spacing w:before="0" w:after="0"/>
        <w:jc w:val="left"/>
        <w:rPr>
          <w:sz w:val="4"/>
          <w:szCs w:val="4"/>
        </w:rPr>
      </w:pPr>
      <w:r>
        <w:rPr>
          <w:sz w:val="4"/>
          <w:szCs w:val="4"/>
        </w:rPr>
      </w:r>
      <w:bookmarkStart w:id="8" w:name="TOC"/>
      <w:bookmarkStart w:id="9" w:name="TOC"/>
      <w:bookmarkEnd w:id="9"/>
    </w:p>
    <w:tbl>
      <w:tblPr>
        <w:tblW w:w="7085" w:type="dxa"/>
        <w:jc w:val="left"/>
        <w:tblInd w:w="0" w:type="dxa"/>
        <w:tblLayout w:type="fixed"/>
        <w:tblCellMar>
          <w:top w:w="0" w:type="dxa"/>
          <w:left w:w="0" w:type="dxa"/>
          <w:bottom w:w="0" w:type="dxa"/>
          <w:right w:w="0" w:type="dxa"/>
        </w:tblCellMar>
      </w:tblPr>
      <w:tblGrid>
        <w:gridCol w:w="6260"/>
        <w:gridCol w:w="170"/>
        <w:gridCol w:w="170"/>
        <w:gridCol w:w="485"/>
      </w:tblGrid>
      <w:tr>
        <w:trPr/>
        <w:tc>
          <w:tcPr>
            <w:tcW w:w="6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r>
      <w:tr>
        <w:trPr/>
        <w:tc>
          <w:tcPr>
            <w:tcW w:w="6260" w:type="dxa"/>
            <w:tcBorders/>
            <w:vAlign w:val="center"/>
          </w:tcPr>
          <w:p>
            <w:pPr>
              <w:pStyle w:val="TableContents"/>
              <w:bidi w:val="0"/>
              <w:spacing w:before="0" w:after="0"/>
              <w:jc w:val="left"/>
              <w:rPr>
                <w:color w:val="4C4C4C"/>
              </w:rPr>
            </w:pPr>
            <w:r>
              <w:rPr>
                <w:color w:val="4C4C4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Arial;Helvetica;sans-serif" w:hAnsi="Arial;Helvetica;sans-serif"/>
                <w:b/>
                <w:color w:val="4C4C4C"/>
                <w:sz w:val="16"/>
              </w:rPr>
            </w:pPr>
            <w:r>
              <w:rPr>
                <w:rFonts w:ascii="Arial;Helvetica;sans-serif" w:hAnsi="Arial;Helvetica;sans-serif"/>
                <w:b/>
                <w:color w:val="4C4C4C"/>
                <w:sz w:val="16"/>
              </w:rPr>
              <w:t>Page</w:t>
            </w:r>
          </w:p>
        </w:tc>
      </w:tr>
      <w:tr>
        <w:trPr/>
        <w:tc>
          <w:tcPr>
            <w:tcW w:w="6260" w:type="dxa"/>
            <w:tcBorders/>
            <w:vAlign w:val="center"/>
          </w:tcPr>
          <w:p>
            <w:pPr>
              <w:pStyle w:val="TableContents"/>
              <w:bidi w:val="0"/>
              <w:spacing w:before="0" w:after="283"/>
              <w:ind w:left="0" w:right="0" w:hanging="0"/>
              <w:jc w:val="left"/>
              <w:rPr/>
            </w:pPr>
            <w:hyperlink w:anchor="tPS">
              <w:r>
                <w:rPr>
                  <w:rStyle w:val="InternetLink"/>
                  <w:rFonts w:ascii="Arial;Helvetica;sans-serif" w:hAnsi="Arial;Helvetica;sans-serif"/>
                  <w:color w:val="4C4C4C"/>
                  <w:sz w:val="20"/>
                </w:rPr>
                <w:t>2025 Proxy Summary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23" w:right="0" w:hanging="0"/>
              <w:jc w:val="left"/>
              <w:rPr/>
            </w:pPr>
            <w:hyperlink w:anchor="tPS">
              <w:r>
                <w:rPr>
                  <w:rStyle w:val="InternetLink"/>
                  <w:rFonts w:ascii="Arial;Helvetica;sans-serif" w:hAnsi="Arial;Helvetica;sans-serif"/>
                  <w:color w:val="4C4C4C"/>
                  <w:sz w:val="20"/>
                </w:rPr>
                <w:t>1</w:t>
              </w:r>
            </w:hyperlink>
          </w:p>
        </w:tc>
      </w:tr>
      <w:tr>
        <w:trPr/>
        <w:tc>
          <w:tcPr>
            <w:tcW w:w="6260" w:type="dxa"/>
            <w:tcBorders/>
            <w:vAlign w:val="center"/>
          </w:tcPr>
          <w:p>
            <w:pPr>
              <w:pStyle w:val="TableContents"/>
              <w:bidi w:val="0"/>
              <w:spacing w:before="0" w:after="283"/>
              <w:ind w:left="0" w:right="0" w:hanging="0"/>
              <w:jc w:val="left"/>
              <w:rPr/>
            </w:pPr>
            <w:hyperlink w:anchor="tQAA">
              <w:r>
                <w:rPr>
                  <w:rStyle w:val="InternetLink"/>
                  <w:rFonts w:ascii="Arial;Helvetica;sans-serif" w:hAnsi="Arial;Helvetica;sans-serif"/>
                  <w:color w:val="4C4C4C"/>
                  <w:sz w:val="20"/>
                </w:rPr>
                <w:t>Questions and Answers About the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23" w:right="0" w:hanging="0"/>
              <w:jc w:val="left"/>
              <w:rPr/>
            </w:pPr>
            <w:hyperlink w:anchor="tQAA">
              <w:r>
                <w:rPr>
                  <w:rStyle w:val="InternetLink"/>
                  <w:rFonts w:ascii="Arial;Helvetica;sans-serif" w:hAnsi="Arial;Helvetica;sans-serif"/>
                  <w:color w:val="4C4C4C"/>
                  <w:sz w:val="20"/>
                </w:rPr>
                <w:t>5</w:t>
              </w:r>
            </w:hyperlink>
          </w:p>
        </w:tc>
      </w:tr>
      <w:tr>
        <w:trPr/>
        <w:tc>
          <w:tcPr>
            <w:tcW w:w="6260" w:type="dxa"/>
            <w:tcBorders/>
            <w:vAlign w:val="center"/>
          </w:tcPr>
          <w:p>
            <w:pPr>
              <w:pStyle w:val="TableContents"/>
              <w:bidi w:val="0"/>
              <w:spacing w:before="0" w:after="283"/>
              <w:ind w:left="0" w:right="0" w:hanging="0"/>
              <w:jc w:val="left"/>
              <w:rPr/>
            </w:pPr>
            <w:hyperlink w:anchor="tVRF">
              <w:r>
                <w:rPr>
                  <w:rStyle w:val="InternetLink"/>
                  <w:rFonts w:ascii="Arial;Helvetica;sans-serif" w:hAnsi="Arial;Helvetica;sans-serif"/>
                  <w:color w:val="4C4C4C"/>
                  <w:sz w:val="20"/>
                </w:rPr>
                <w:t>Vote Required for Election or Approval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23" w:right="0" w:hanging="0"/>
              <w:jc w:val="left"/>
              <w:rPr/>
            </w:pPr>
            <w:hyperlink w:anchor="tVRF">
              <w:r>
                <w:rPr>
                  <w:rStyle w:val="InternetLink"/>
                  <w:rFonts w:ascii="Arial;Helvetica;sans-serif" w:hAnsi="Arial;Helvetica;sans-serif"/>
                  <w:color w:val="4C4C4C"/>
                  <w:sz w:val="20"/>
                </w:rPr>
                <w:t>10</w:t>
              </w:r>
            </w:hyperlink>
          </w:p>
        </w:tc>
      </w:tr>
      <w:tr>
        <w:trPr/>
        <w:tc>
          <w:tcPr>
            <w:tcW w:w="6260" w:type="dxa"/>
            <w:tcBorders/>
            <w:vAlign w:val="center"/>
          </w:tcPr>
          <w:p>
            <w:pPr>
              <w:pStyle w:val="TableContents"/>
              <w:bidi w:val="0"/>
              <w:spacing w:before="0" w:after="283"/>
              <w:ind w:left="0" w:right="0" w:hanging="0"/>
              <w:jc w:val="left"/>
              <w:rPr/>
            </w:pPr>
            <w:hyperlink w:anchor="tCG">
              <w:r>
                <w:rPr>
                  <w:rStyle w:val="InternetLink"/>
                  <w:rFonts w:ascii="Arial;Helvetica;sans-serif" w:hAnsi="Arial;Helvetica;sans-serif"/>
                  <w:color w:val="4C4C4C"/>
                  <w:sz w:val="20"/>
                </w:rPr>
                <w:t>Corporate Governance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23" w:right="0" w:hanging="0"/>
              <w:jc w:val="left"/>
              <w:rPr/>
            </w:pPr>
            <w:hyperlink w:anchor="tCG">
              <w:r>
                <w:rPr>
                  <w:rStyle w:val="InternetLink"/>
                  <w:rFonts w:ascii="Arial;Helvetica;sans-serif" w:hAnsi="Arial;Helvetica;sans-serif"/>
                  <w:color w:val="4C4C4C"/>
                  <w:sz w:val="20"/>
                </w:rPr>
                <w:t>11</w:t>
              </w:r>
            </w:hyperlink>
          </w:p>
        </w:tc>
      </w:tr>
      <w:tr>
        <w:trPr/>
        <w:tc>
          <w:tcPr>
            <w:tcW w:w="6260" w:type="dxa"/>
            <w:tcBorders/>
            <w:vAlign w:val="center"/>
          </w:tcPr>
          <w:p>
            <w:pPr>
              <w:pStyle w:val="TableContents"/>
              <w:bidi w:val="0"/>
              <w:spacing w:before="0" w:after="283"/>
              <w:ind w:left="400" w:right="0" w:hanging="0"/>
              <w:jc w:val="left"/>
              <w:rPr/>
            </w:pPr>
            <w:hyperlink w:anchor="tBOD">
              <w:r>
                <w:rPr>
                  <w:rStyle w:val="InternetLink"/>
                  <w:rFonts w:ascii="Arial;Helvetica;sans-serif" w:hAnsi="Arial;Helvetica;sans-serif"/>
                  <w:color w:val="4C4C4C"/>
                  <w:sz w:val="20"/>
                </w:rPr>
                <w:t>Board of Directors Overview</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23" w:right="0" w:hanging="0"/>
              <w:jc w:val="left"/>
              <w:rPr/>
            </w:pPr>
            <w:hyperlink w:anchor="tBOD">
              <w:r>
                <w:rPr>
                  <w:rStyle w:val="InternetLink"/>
                  <w:rFonts w:ascii="Arial;Helvetica;sans-serif" w:hAnsi="Arial;Helvetica;sans-serif"/>
                  <w:color w:val="4C4C4C"/>
                  <w:sz w:val="20"/>
                </w:rPr>
                <w:t>11</w:t>
              </w:r>
            </w:hyperlink>
          </w:p>
        </w:tc>
      </w:tr>
      <w:tr>
        <w:trPr/>
        <w:tc>
          <w:tcPr>
            <w:tcW w:w="6260" w:type="dxa"/>
            <w:tcBorders/>
            <w:vAlign w:val="center"/>
          </w:tcPr>
          <w:p>
            <w:pPr>
              <w:pStyle w:val="TableContents"/>
              <w:bidi w:val="0"/>
              <w:spacing w:before="0" w:after="283"/>
              <w:ind w:left="400" w:right="0" w:hanging="0"/>
              <w:jc w:val="left"/>
              <w:rPr/>
            </w:pPr>
            <w:hyperlink w:anchor="tIOD">
              <w:r>
                <w:rPr>
                  <w:rStyle w:val="InternetLink"/>
                  <w:rFonts w:ascii="Arial;Helvetica;sans-serif" w:hAnsi="Arial;Helvetica;sans-serif"/>
                  <w:color w:val="4C4C4C"/>
                  <w:sz w:val="20"/>
                </w:rPr>
                <w:t>Independence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23" w:right="0" w:hanging="0"/>
              <w:jc w:val="left"/>
              <w:rPr/>
            </w:pPr>
            <w:hyperlink w:anchor="tIOD">
              <w:r>
                <w:rPr>
                  <w:rStyle w:val="InternetLink"/>
                  <w:rFonts w:ascii="Arial;Helvetica;sans-serif" w:hAnsi="Arial;Helvetica;sans-serif"/>
                  <w:color w:val="4C4C4C"/>
                  <w:sz w:val="20"/>
                </w:rPr>
                <w:t>12</w:t>
              </w:r>
            </w:hyperlink>
          </w:p>
        </w:tc>
      </w:tr>
      <w:tr>
        <w:trPr/>
        <w:tc>
          <w:tcPr>
            <w:tcW w:w="6260" w:type="dxa"/>
            <w:tcBorders/>
            <w:vAlign w:val="center"/>
          </w:tcPr>
          <w:p>
            <w:pPr>
              <w:pStyle w:val="TableContents"/>
              <w:bidi w:val="0"/>
              <w:spacing w:before="0" w:after="283"/>
              <w:ind w:left="400" w:right="0" w:hanging="0"/>
              <w:jc w:val="left"/>
              <w:rPr/>
            </w:pPr>
            <w:hyperlink w:anchor="tCOB">
              <w:r>
                <w:rPr>
                  <w:rStyle w:val="InternetLink"/>
                  <w:rFonts w:ascii="Arial;Helvetica;sans-serif" w:hAnsi="Arial;Helvetica;sans-serif"/>
                  <w:color w:val="4C4C4C"/>
                  <w:sz w:val="20"/>
                </w:rPr>
                <w:t>Code of Business Conduct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23" w:right="0" w:hanging="0"/>
              <w:jc w:val="left"/>
              <w:rPr/>
            </w:pPr>
            <w:hyperlink w:anchor="tCOB">
              <w:r>
                <w:rPr>
                  <w:rStyle w:val="InternetLink"/>
                  <w:rFonts w:ascii="Arial;Helvetica;sans-serif" w:hAnsi="Arial;Helvetica;sans-serif"/>
                  <w:color w:val="4C4C4C"/>
                  <w:sz w:val="20"/>
                </w:rPr>
                <w:t>13</w:t>
              </w:r>
            </w:hyperlink>
          </w:p>
        </w:tc>
      </w:tr>
      <w:tr>
        <w:trPr/>
        <w:tc>
          <w:tcPr>
            <w:tcW w:w="6260" w:type="dxa"/>
            <w:tcBorders/>
            <w:vAlign w:val="center"/>
          </w:tcPr>
          <w:p>
            <w:pPr>
              <w:pStyle w:val="TableContents"/>
              <w:bidi w:val="0"/>
              <w:spacing w:before="0" w:after="283"/>
              <w:ind w:left="400" w:right="0" w:hanging="0"/>
              <w:jc w:val="left"/>
              <w:rPr/>
            </w:pPr>
            <w:hyperlink w:anchor="tEOA">
              <w:r>
                <w:rPr>
                  <w:rStyle w:val="InternetLink"/>
                  <w:rFonts w:ascii="Arial;Helvetica;sans-serif" w:hAnsi="Arial;Helvetica;sans-serif"/>
                  <w:color w:val="4C4C4C"/>
                  <w:sz w:val="20"/>
                </w:rPr>
                <w:t>Employee, Officer and Director Hedging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23" w:right="0" w:hanging="0"/>
              <w:jc w:val="left"/>
              <w:rPr/>
            </w:pPr>
            <w:hyperlink w:anchor="tEOA">
              <w:r>
                <w:rPr>
                  <w:rStyle w:val="InternetLink"/>
                  <w:rFonts w:ascii="Arial;Helvetica;sans-serif" w:hAnsi="Arial;Helvetica;sans-serif"/>
                  <w:color w:val="4C4C4C"/>
                  <w:sz w:val="20"/>
                </w:rPr>
                <w:t>13</w:t>
              </w:r>
            </w:hyperlink>
          </w:p>
        </w:tc>
      </w:tr>
      <w:tr>
        <w:trPr/>
        <w:tc>
          <w:tcPr>
            <w:tcW w:w="6260" w:type="dxa"/>
            <w:tcBorders/>
            <w:vAlign w:val="center"/>
          </w:tcPr>
          <w:p>
            <w:pPr>
              <w:pStyle w:val="TableContents"/>
              <w:bidi w:val="0"/>
              <w:spacing w:before="0" w:after="283"/>
              <w:ind w:left="400" w:right="0" w:hanging="0"/>
              <w:jc w:val="left"/>
              <w:rPr/>
            </w:pPr>
            <w:hyperlink w:anchor="tBOO">
              <w:r>
                <w:rPr>
                  <w:rStyle w:val="InternetLink"/>
                  <w:rFonts w:ascii="Arial;Helvetica;sans-serif" w:hAnsi="Arial;Helvetica;sans-serif"/>
                  <w:color w:val="4C4C4C"/>
                  <w:sz w:val="20"/>
                </w:rPr>
                <w:t>Board Oversight of Risk</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23" w:right="0" w:hanging="0"/>
              <w:jc w:val="left"/>
              <w:rPr/>
            </w:pPr>
            <w:hyperlink w:anchor="tBOO">
              <w:r>
                <w:rPr>
                  <w:rStyle w:val="InternetLink"/>
                  <w:rFonts w:ascii="Arial;Helvetica;sans-serif" w:hAnsi="Arial;Helvetica;sans-serif"/>
                  <w:color w:val="4C4C4C"/>
                  <w:sz w:val="20"/>
                </w:rPr>
                <w:t>13</w:t>
              </w:r>
            </w:hyperlink>
          </w:p>
        </w:tc>
      </w:tr>
      <w:tr>
        <w:trPr/>
        <w:tc>
          <w:tcPr>
            <w:tcW w:w="6260" w:type="dxa"/>
            <w:tcBorders/>
            <w:vAlign w:val="center"/>
          </w:tcPr>
          <w:p>
            <w:pPr>
              <w:pStyle w:val="TableContents"/>
              <w:bidi w:val="0"/>
              <w:spacing w:before="0" w:after="283"/>
              <w:ind w:left="400" w:right="0" w:hanging="0"/>
              <w:jc w:val="left"/>
              <w:rPr/>
            </w:pPr>
            <w:hyperlink w:anchor="tBLS">
              <w:r>
                <w:rPr>
                  <w:rStyle w:val="InternetLink"/>
                  <w:rFonts w:ascii="Arial;Helvetica;sans-serif" w:hAnsi="Arial;Helvetica;sans-serif"/>
                  <w:color w:val="4C4C4C"/>
                  <w:sz w:val="20"/>
                </w:rPr>
                <w:t>Board Leadership Structure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23" w:right="0" w:hanging="0"/>
              <w:jc w:val="left"/>
              <w:rPr/>
            </w:pPr>
            <w:hyperlink w:anchor="tBLS">
              <w:r>
                <w:rPr>
                  <w:rStyle w:val="InternetLink"/>
                  <w:rFonts w:ascii="Arial;Helvetica;sans-serif" w:hAnsi="Arial;Helvetica;sans-serif"/>
                  <w:color w:val="4C4C4C"/>
                  <w:sz w:val="20"/>
                </w:rPr>
                <w:t>14</w:t>
              </w:r>
            </w:hyperlink>
          </w:p>
        </w:tc>
      </w:tr>
      <w:tr>
        <w:trPr/>
        <w:tc>
          <w:tcPr>
            <w:tcW w:w="6260" w:type="dxa"/>
            <w:tcBorders/>
            <w:vAlign w:val="center"/>
          </w:tcPr>
          <w:p>
            <w:pPr>
              <w:pStyle w:val="TableContents"/>
              <w:bidi w:val="0"/>
              <w:spacing w:before="0" w:after="283"/>
              <w:ind w:left="400" w:right="0" w:hanging="0"/>
              <w:jc w:val="left"/>
              <w:rPr/>
            </w:pPr>
            <w:hyperlink w:anchor="tAC">
              <w:r>
                <w:rPr>
                  <w:rStyle w:val="InternetLink"/>
                  <w:rFonts w:ascii="Arial;Helvetica;sans-serif" w:hAnsi="Arial;Helvetica;sans-serif"/>
                  <w:color w:val="4C4C4C"/>
                  <w:sz w:val="20"/>
                </w:rPr>
                <w:t>Audit Committee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23" w:right="0" w:hanging="0"/>
              <w:jc w:val="left"/>
              <w:rPr/>
            </w:pPr>
            <w:hyperlink w:anchor="tAC">
              <w:r>
                <w:rPr>
                  <w:rStyle w:val="InternetLink"/>
                  <w:rFonts w:ascii="Arial;Helvetica;sans-serif" w:hAnsi="Arial;Helvetica;sans-serif"/>
                  <w:color w:val="4C4C4C"/>
                  <w:sz w:val="20"/>
                </w:rPr>
                <w:t>14</w:t>
              </w:r>
            </w:hyperlink>
          </w:p>
        </w:tc>
      </w:tr>
      <w:tr>
        <w:trPr/>
        <w:tc>
          <w:tcPr>
            <w:tcW w:w="6260" w:type="dxa"/>
            <w:tcBorders/>
            <w:vAlign w:val="center"/>
          </w:tcPr>
          <w:p>
            <w:pPr>
              <w:pStyle w:val="TableContents"/>
              <w:bidi w:val="0"/>
              <w:spacing w:before="0" w:after="283"/>
              <w:ind w:left="400" w:right="0" w:hanging="0"/>
              <w:jc w:val="left"/>
              <w:rPr/>
            </w:pPr>
            <w:hyperlink w:anchor="tNAG">
              <w:r>
                <w:rPr>
                  <w:rStyle w:val="InternetLink"/>
                  <w:rFonts w:ascii="Arial;Helvetica;sans-serif" w:hAnsi="Arial;Helvetica;sans-serif"/>
                  <w:color w:val="4C4C4C"/>
                  <w:sz w:val="20"/>
                </w:rPr>
                <w:t>Nominating and Governance Committee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23" w:right="0" w:hanging="0"/>
              <w:jc w:val="left"/>
              <w:rPr/>
            </w:pPr>
            <w:hyperlink w:anchor="tNAG">
              <w:r>
                <w:rPr>
                  <w:rStyle w:val="InternetLink"/>
                  <w:rFonts w:ascii="Arial;Helvetica;sans-serif" w:hAnsi="Arial;Helvetica;sans-serif"/>
                  <w:color w:val="4C4C4C"/>
                  <w:sz w:val="20"/>
                </w:rPr>
                <w:t>15</w:t>
              </w:r>
            </w:hyperlink>
          </w:p>
        </w:tc>
      </w:tr>
      <w:tr>
        <w:trPr/>
        <w:tc>
          <w:tcPr>
            <w:tcW w:w="6260" w:type="dxa"/>
            <w:tcBorders/>
            <w:vAlign w:val="center"/>
          </w:tcPr>
          <w:p>
            <w:pPr>
              <w:pStyle w:val="TableContents"/>
              <w:bidi w:val="0"/>
              <w:spacing w:before="0" w:after="283"/>
              <w:ind w:left="400" w:right="0" w:hanging="0"/>
              <w:jc w:val="left"/>
              <w:rPr/>
            </w:pPr>
            <w:hyperlink w:anchor="tCC">
              <w:r>
                <w:rPr>
                  <w:rStyle w:val="InternetLink"/>
                  <w:rFonts w:ascii="Arial;Helvetica;sans-serif" w:hAnsi="Arial;Helvetica;sans-serif"/>
                  <w:color w:val="4C4C4C"/>
                  <w:sz w:val="20"/>
                </w:rPr>
                <w:t>Compensation Committee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23" w:right="0" w:hanging="0"/>
              <w:jc w:val="left"/>
              <w:rPr/>
            </w:pPr>
            <w:hyperlink w:anchor="tCC">
              <w:r>
                <w:rPr>
                  <w:rStyle w:val="InternetLink"/>
                  <w:rFonts w:ascii="Arial;Helvetica;sans-serif" w:hAnsi="Arial;Helvetica;sans-serif"/>
                  <w:color w:val="4C4C4C"/>
                  <w:sz w:val="20"/>
                </w:rPr>
                <w:t>16</w:t>
              </w:r>
            </w:hyperlink>
          </w:p>
        </w:tc>
      </w:tr>
      <w:tr>
        <w:trPr/>
        <w:tc>
          <w:tcPr>
            <w:tcW w:w="6260" w:type="dxa"/>
            <w:tcBorders/>
            <w:vAlign w:val="center"/>
          </w:tcPr>
          <w:p>
            <w:pPr>
              <w:pStyle w:val="TableContents"/>
              <w:bidi w:val="0"/>
              <w:spacing w:before="0" w:after="283"/>
              <w:ind w:left="400" w:right="0" w:hanging="0"/>
              <w:jc w:val="left"/>
              <w:rPr/>
            </w:pPr>
            <w:hyperlink w:anchor="tCCI">
              <w:r>
                <w:rPr>
                  <w:rStyle w:val="InternetLink"/>
                  <w:rFonts w:ascii="Arial;Helvetica;sans-serif" w:hAnsi="Arial;Helvetica;sans-serif"/>
                  <w:color w:val="4C4C4C"/>
                  <w:sz w:val="20"/>
                </w:rPr>
                <w:t>Compensation Committee Interlocks and Insider Participation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23" w:right="0" w:hanging="0"/>
              <w:jc w:val="left"/>
              <w:rPr/>
            </w:pPr>
            <w:hyperlink w:anchor="tCCI">
              <w:r>
                <w:rPr>
                  <w:rStyle w:val="InternetLink"/>
                  <w:rFonts w:ascii="Arial;Helvetica;sans-serif" w:hAnsi="Arial;Helvetica;sans-serif"/>
                  <w:color w:val="4C4C4C"/>
                  <w:sz w:val="20"/>
                </w:rPr>
                <w:t>16</w:t>
              </w:r>
            </w:hyperlink>
          </w:p>
        </w:tc>
      </w:tr>
      <w:tr>
        <w:trPr/>
        <w:tc>
          <w:tcPr>
            <w:tcW w:w="6260" w:type="dxa"/>
            <w:tcBorders/>
            <w:vAlign w:val="center"/>
          </w:tcPr>
          <w:p>
            <w:pPr>
              <w:pStyle w:val="TableContents"/>
              <w:bidi w:val="0"/>
              <w:spacing w:before="0" w:after="283"/>
              <w:ind w:left="0" w:right="0" w:hanging="0"/>
              <w:jc w:val="left"/>
              <w:rPr/>
            </w:pPr>
            <w:hyperlink w:anchor="tCRA">
              <w:r>
                <w:rPr>
                  <w:rStyle w:val="InternetLink"/>
                  <w:rFonts w:ascii="Arial;Helvetica;sans-serif" w:hAnsi="Arial;Helvetica;sans-serif"/>
                  <w:color w:val="4C4C4C"/>
                  <w:sz w:val="20"/>
                </w:rPr>
                <w:t>Certain Relationships and Related-Person Transactions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23" w:right="0" w:hanging="0"/>
              <w:jc w:val="left"/>
              <w:rPr/>
            </w:pPr>
            <w:hyperlink w:anchor="tCRA">
              <w:r>
                <w:rPr>
                  <w:rStyle w:val="InternetLink"/>
                  <w:rFonts w:ascii="Arial;Helvetica;sans-serif" w:hAnsi="Arial;Helvetica;sans-serif"/>
                  <w:color w:val="4C4C4C"/>
                  <w:sz w:val="20"/>
                </w:rPr>
                <w:t>17</w:t>
              </w:r>
            </w:hyperlink>
          </w:p>
        </w:tc>
      </w:tr>
      <w:tr>
        <w:trPr/>
        <w:tc>
          <w:tcPr>
            <w:tcW w:w="6260" w:type="dxa"/>
            <w:tcBorders/>
            <w:vAlign w:val="center"/>
          </w:tcPr>
          <w:p>
            <w:pPr>
              <w:pStyle w:val="TableContents"/>
              <w:bidi w:val="0"/>
              <w:spacing w:before="0" w:after="283"/>
              <w:ind w:left="0" w:right="0" w:hanging="0"/>
              <w:jc w:val="left"/>
              <w:rPr/>
            </w:pPr>
            <w:hyperlink w:anchor="tDC">
              <w:r>
                <w:rPr>
                  <w:rStyle w:val="InternetLink"/>
                  <w:rFonts w:ascii="Arial;Helvetica;sans-serif" w:hAnsi="Arial;Helvetica;sans-serif"/>
                  <w:color w:val="4C4C4C"/>
                  <w:sz w:val="20"/>
                </w:rPr>
                <w:t>Director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23" w:right="0" w:hanging="0"/>
              <w:jc w:val="left"/>
              <w:rPr/>
            </w:pPr>
            <w:hyperlink w:anchor="tDC">
              <w:r>
                <w:rPr>
                  <w:rStyle w:val="InternetLink"/>
                  <w:rFonts w:ascii="Arial;Helvetica;sans-serif" w:hAnsi="Arial;Helvetica;sans-serif"/>
                  <w:color w:val="4C4C4C"/>
                  <w:sz w:val="20"/>
                </w:rPr>
                <w:t>18</w:t>
              </w:r>
            </w:hyperlink>
          </w:p>
        </w:tc>
      </w:tr>
      <w:tr>
        <w:trPr/>
        <w:tc>
          <w:tcPr>
            <w:tcW w:w="6260" w:type="dxa"/>
            <w:tcBorders/>
            <w:vAlign w:val="center"/>
          </w:tcPr>
          <w:p>
            <w:pPr>
              <w:pStyle w:val="TableContents"/>
              <w:bidi w:val="0"/>
              <w:spacing w:before="0" w:after="283"/>
              <w:ind w:left="0" w:right="0" w:hanging="0"/>
              <w:jc w:val="left"/>
              <w:rPr/>
            </w:pPr>
            <w:hyperlink w:anchor="tPROP1">
              <w:r>
                <w:rPr>
                  <w:rStyle w:val="InternetLink"/>
                  <w:rFonts w:ascii="Arial;Helvetica;sans-serif" w:hAnsi="Arial;Helvetica;sans-serif"/>
                  <w:color w:val="4C4C4C"/>
                  <w:sz w:val="20"/>
                </w:rPr>
                <w:t>Proposal 1. Election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23" w:right="0" w:hanging="0"/>
              <w:jc w:val="left"/>
              <w:rPr/>
            </w:pPr>
            <w:hyperlink w:anchor="tPROP1">
              <w:r>
                <w:rPr>
                  <w:rStyle w:val="InternetLink"/>
                  <w:rFonts w:ascii="Arial;Helvetica;sans-serif" w:hAnsi="Arial;Helvetica;sans-serif"/>
                  <w:color w:val="4C4C4C"/>
                  <w:sz w:val="20"/>
                </w:rPr>
                <w:t>20</w:t>
              </w:r>
            </w:hyperlink>
          </w:p>
        </w:tc>
      </w:tr>
      <w:tr>
        <w:trPr/>
        <w:tc>
          <w:tcPr>
            <w:tcW w:w="6260" w:type="dxa"/>
            <w:tcBorders/>
            <w:vAlign w:val="center"/>
          </w:tcPr>
          <w:p>
            <w:pPr>
              <w:pStyle w:val="TableContents"/>
              <w:bidi w:val="0"/>
              <w:spacing w:before="0" w:after="283"/>
              <w:ind w:left="400" w:right="0" w:hanging="0"/>
              <w:jc w:val="left"/>
              <w:rPr/>
            </w:pPr>
            <w:hyperlink w:anchor="tDQ">
              <w:r>
                <w:rPr>
                  <w:rStyle w:val="InternetLink"/>
                  <w:rFonts w:ascii="Arial;Helvetica;sans-serif" w:hAnsi="Arial;Helvetica;sans-serif"/>
                  <w:color w:val="4C4C4C"/>
                  <w:sz w:val="20"/>
                </w:rPr>
                <w:t>Director Qualifications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23" w:right="0" w:hanging="0"/>
              <w:jc w:val="left"/>
              <w:rPr/>
            </w:pPr>
            <w:hyperlink w:anchor="tDQ">
              <w:r>
                <w:rPr>
                  <w:rStyle w:val="InternetLink"/>
                  <w:rFonts w:ascii="Arial;Helvetica;sans-serif" w:hAnsi="Arial;Helvetica;sans-serif"/>
                  <w:color w:val="4C4C4C"/>
                  <w:sz w:val="20"/>
                </w:rPr>
                <w:t>20</w:t>
              </w:r>
            </w:hyperlink>
          </w:p>
        </w:tc>
      </w:tr>
      <w:tr>
        <w:trPr/>
        <w:tc>
          <w:tcPr>
            <w:tcW w:w="6260" w:type="dxa"/>
            <w:tcBorders/>
            <w:vAlign w:val="center"/>
          </w:tcPr>
          <w:p>
            <w:pPr>
              <w:pStyle w:val="TableContents"/>
              <w:bidi w:val="0"/>
              <w:spacing w:before="0" w:after="283"/>
              <w:ind w:left="400" w:right="0" w:hanging="0"/>
              <w:jc w:val="left"/>
              <w:rPr/>
            </w:pPr>
            <w:hyperlink w:anchor="tIAE">
              <w:r>
                <w:rPr>
                  <w:rStyle w:val="InternetLink"/>
                  <w:rFonts w:ascii="Arial;Helvetica;sans-serif" w:hAnsi="Arial;Helvetica;sans-serif"/>
                  <w:color w:val="4C4C4C"/>
                  <w:sz w:val="20"/>
                </w:rPr>
                <w:t>Identifying and Evaluating Nominees for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23" w:right="0" w:hanging="0"/>
              <w:jc w:val="left"/>
              <w:rPr/>
            </w:pPr>
            <w:hyperlink w:anchor="tIAE">
              <w:r>
                <w:rPr>
                  <w:rStyle w:val="InternetLink"/>
                  <w:rFonts w:ascii="Arial;Helvetica;sans-serif" w:hAnsi="Arial;Helvetica;sans-serif"/>
                  <w:color w:val="4C4C4C"/>
                  <w:sz w:val="20"/>
                </w:rPr>
                <w:t>20</w:t>
              </w:r>
            </w:hyperlink>
          </w:p>
        </w:tc>
      </w:tr>
      <w:tr>
        <w:trPr/>
        <w:tc>
          <w:tcPr>
            <w:tcW w:w="6260" w:type="dxa"/>
            <w:tcBorders/>
            <w:vAlign w:val="center"/>
          </w:tcPr>
          <w:p>
            <w:pPr>
              <w:pStyle w:val="TableContents"/>
              <w:bidi w:val="0"/>
              <w:spacing w:before="0" w:after="283"/>
              <w:ind w:left="400" w:right="0" w:hanging="0"/>
              <w:jc w:val="left"/>
              <w:rPr/>
            </w:pPr>
            <w:hyperlink w:anchor="tICN">
              <w:r>
                <w:rPr>
                  <w:rStyle w:val="InternetLink"/>
                  <w:rFonts w:ascii="Arial;Helvetica;sans-serif" w:hAnsi="Arial;Helvetica;sans-serif"/>
                  <w:color w:val="4C4C4C"/>
                  <w:sz w:val="20"/>
                </w:rPr>
                <w:t>Information Concerning Nominees for Election as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23" w:right="0" w:hanging="0"/>
              <w:jc w:val="left"/>
              <w:rPr/>
            </w:pPr>
            <w:hyperlink w:anchor="tICN">
              <w:r>
                <w:rPr>
                  <w:rStyle w:val="InternetLink"/>
                  <w:rFonts w:ascii="Arial;Helvetica;sans-serif" w:hAnsi="Arial;Helvetica;sans-serif"/>
                  <w:color w:val="4C4C4C"/>
                  <w:sz w:val="20"/>
                </w:rPr>
                <w:t>21</w:t>
              </w:r>
            </w:hyperlink>
          </w:p>
        </w:tc>
      </w:tr>
      <w:tr>
        <w:trPr/>
        <w:tc>
          <w:tcPr>
            <w:tcW w:w="6260" w:type="dxa"/>
            <w:tcBorders/>
            <w:vAlign w:val="center"/>
          </w:tcPr>
          <w:p>
            <w:pPr>
              <w:pStyle w:val="TableContents"/>
              <w:bidi w:val="0"/>
              <w:spacing w:before="0" w:after="283"/>
              <w:ind w:left="0" w:right="0" w:hanging="0"/>
              <w:jc w:val="left"/>
              <w:rPr/>
            </w:pPr>
            <w:hyperlink w:anchor="tBOC">
              <w:r>
                <w:rPr>
                  <w:rStyle w:val="InternetLink"/>
                  <w:rFonts w:ascii="Arial;Helvetica;sans-serif" w:hAnsi="Arial;Helvetica;sans-serif"/>
                  <w:color w:val="4C4C4C"/>
                  <w:sz w:val="20"/>
                </w:rPr>
                <w:t>Beneficial Ownership of Common Stock</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23" w:right="0" w:hanging="0"/>
              <w:jc w:val="left"/>
              <w:rPr/>
            </w:pPr>
            <w:hyperlink w:anchor="tBOC">
              <w:r>
                <w:rPr>
                  <w:rStyle w:val="InternetLink"/>
                  <w:rFonts w:ascii="Arial;Helvetica;sans-serif" w:hAnsi="Arial;Helvetica;sans-serif"/>
                  <w:color w:val="4C4C4C"/>
                  <w:sz w:val="20"/>
                </w:rPr>
                <w:t>23</w:t>
              </w:r>
            </w:hyperlink>
          </w:p>
        </w:tc>
      </w:tr>
      <w:tr>
        <w:trPr/>
        <w:tc>
          <w:tcPr>
            <w:tcW w:w="6260" w:type="dxa"/>
            <w:tcBorders/>
            <w:vAlign w:val="center"/>
          </w:tcPr>
          <w:p>
            <w:pPr>
              <w:pStyle w:val="TableContents"/>
              <w:bidi w:val="0"/>
              <w:spacing w:before="0" w:after="283"/>
              <w:ind w:left="0" w:right="0" w:hanging="0"/>
              <w:jc w:val="left"/>
              <w:rPr/>
            </w:pPr>
            <w:hyperlink w:anchor="tDS">
              <w:r>
                <w:rPr>
                  <w:rStyle w:val="InternetLink"/>
                  <w:rFonts w:ascii="Arial;Helvetica;sans-serif" w:hAnsi="Arial;Helvetica;sans-serif"/>
                  <w:color w:val="4C4C4C"/>
                  <w:sz w:val="20"/>
                </w:rPr>
                <w:t>Delinquent Section 16(a) Reports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23" w:right="0" w:hanging="0"/>
              <w:jc w:val="left"/>
              <w:rPr/>
            </w:pPr>
            <w:hyperlink w:anchor="tDS">
              <w:r>
                <w:rPr>
                  <w:rStyle w:val="InternetLink"/>
                  <w:rFonts w:ascii="Arial;Helvetica;sans-serif" w:hAnsi="Arial;Helvetica;sans-serif"/>
                  <w:color w:val="4C4C4C"/>
                  <w:sz w:val="20"/>
                </w:rPr>
                <w:t>24</w:t>
              </w:r>
            </w:hyperlink>
          </w:p>
        </w:tc>
      </w:tr>
      <w:tr>
        <w:trPr/>
        <w:tc>
          <w:tcPr>
            <w:tcW w:w="6260" w:type="dxa"/>
            <w:tcBorders/>
            <w:vAlign w:val="center"/>
          </w:tcPr>
          <w:p>
            <w:pPr>
              <w:pStyle w:val="TableContents"/>
              <w:bidi w:val="0"/>
              <w:spacing w:before="0" w:after="283"/>
              <w:ind w:left="0" w:right="0" w:hanging="0"/>
              <w:jc w:val="left"/>
              <w:rPr/>
            </w:pPr>
            <w:hyperlink w:anchor="tEO">
              <w:r>
                <w:rPr>
                  <w:rStyle w:val="InternetLink"/>
                  <w:rFonts w:ascii="Arial;Helvetica;sans-serif" w:hAnsi="Arial;Helvetica;sans-serif"/>
                  <w:color w:val="4C4C4C"/>
                  <w:sz w:val="20"/>
                </w:rPr>
                <w:t>Executive Officers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23" w:right="0" w:hanging="0"/>
              <w:jc w:val="left"/>
              <w:rPr/>
            </w:pPr>
            <w:hyperlink w:anchor="tEO">
              <w:r>
                <w:rPr>
                  <w:rStyle w:val="InternetLink"/>
                  <w:rFonts w:ascii="Arial;Helvetica;sans-serif" w:hAnsi="Arial;Helvetica;sans-serif"/>
                  <w:color w:val="4C4C4C"/>
                  <w:sz w:val="20"/>
                </w:rPr>
                <w:t>25</w:t>
              </w:r>
            </w:hyperlink>
          </w:p>
        </w:tc>
      </w:tr>
      <w:tr>
        <w:trPr/>
        <w:tc>
          <w:tcPr>
            <w:tcW w:w="6260" w:type="dxa"/>
            <w:tcBorders/>
            <w:vAlign w:val="center"/>
          </w:tcPr>
          <w:p>
            <w:pPr>
              <w:pStyle w:val="TableContents"/>
              <w:bidi w:val="0"/>
              <w:spacing w:before="0" w:after="283"/>
              <w:ind w:left="0" w:right="0" w:hanging="0"/>
              <w:jc w:val="left"/>
              <w:rPr/>
            </w:pPr>
            <w:hyperlink w:anchor="tCDA">
              <w:r>
                <w:rPr>
                  <w:rStyle w:val="InternetLink"/>
                  <w:rFonts w:ascii="Arial;Helvetica;sans-serif" w:hAnsi="Arial;Helvetica;sans-serif"/>
                  <w:color w:val="4C4C4C"/>
                  <w:sz w:val="20"/>
                </w:rPr>
                <w:t>Compensation Discussion and Analysis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23" w:right="0" w:hanging="0"/>
              <w:jc w:val="left"/>
              <w:rPr/>
            </w:pPr>
            <w:hyperlink w:anchor="tCDA">
              <w:r>
                <w:rPr>
                  <w:rStyle w:val="InternetLink"/>
                  <w:rFonts w:ascii="Arial;Helvetica;sans-serif" w:hAnsi="Arial;Helvetica;sans-serif"/>
                  <w:color w:val="4C4C4C"/>
                  <w:sz w:val="20"/>
                </w:rPr>
                <w:t>26</w:t>
              </w:r>
            </w:hyperlink>
          </w:p>
        </w:tc>
      </w:tr>
      <w:tr>
        <w:trPr/>
        <w:tc>
          <w:tcPr>
            <w:tcW w:w="6260" w:type="dxa"/>
            <w:tcBorders/>
            <w:vAlign w:val="center"/>
          </w:tcPr>
          <w:p>
            <w:pPr>
              <w:pStyle w:val="TableContents"/>
              <w:bidi w:val="0"/>
              <w:spacing w:before="0" w:after="283"/>
              <w:ind w:left="0" w:right="0" w:hanging="0"/>
              <w:jc w:val="left"/>
              <w:rPr/>
            </w:pPr>
            <w:hyperlink w:anchor="tEC">
              <w:r>
                <w:rPr>
                  <w:rStyle w:val="InternetLink"/>
                  <w:rFonts w:ascii="Arial;Helvetica;sans-serif" w:hAnsi="Arial;Helvetica;sans-serif"/>
                  <w:color w:val="4C4C4C"/>
                  <w:sz w:val="20"/>
                </w:rPr>
                <w:t>Executive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23" w:right="0" w:hanging="0"/>
              <w:jc w:val="left"/>
              <w:rPr/>
            </w:pPr>
            <w:hyperlink w:anchor="tEC">
              <w:r>
                <w:rPr>
                  <w:rStyle w:val="InternetLink"/>
                  <w:rFonts w:ascii="Arial;Helvetica;sans-serif" w:hAnsi="Arial;Helvetica;sans-serif"/>
                  <w:color w:val="4C4C4C"/>
                  <w:sz w:val="20"/>
                </w:rPr>
                <w:t>35</w:t>
              </w:r>
            </w:hyperlink>
          </w:p>
        </w:tc>
      </w:tr>
      <w:tr>
        <w:trPr/>
        <w:tc>
          <w:tcPr>
            <w:tcW w:w="6260" w:type="dxa"/>
            <w:tcBorders/>
            <w:vAlign w:val="center"/>
          </w:tcPr>
          <w:p>
            <w:pPr>
              <w:pStyle w:val="TableContents"/>
              <w:bidi w:val="0"/>
              <w:spacing w:before="0" w:after="283"/>
              <w:ind w:left="400" w:right="0" w:hanging="0"/>
              <w:jc w:val="left"/>
              <w:rPr/>
            </w:pPr>
            <w:hyperlink w:anchor="tCT">
              <w:r>
                <w:rPr>
                  <w:rStyle w:val="InternetLink"/>
                  <w:rFonts w:ascii="Arial;Helvetica;sans-serif" w:hAnsi="Arial;Helvetica;sans-serif"/>
                  <w:color w:val="4C4C4C"/>
                  <w:sz w:val="20"/>
                </w:rPr>
                <w:t>Summary Compensation Table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23" w:right="0" w:hanging="0"/>
              <w:jc w:val="left"/>
              <w:rPr/>
            </w:pPr>
            <w:hyperlink w:anchor="tCT">
              <w:r>
                <w:rPr>
                  <w:rStyle w:val="InternetLink"/>
                  <w:rFonts w:ascii="Arial;Helvetica;sans-serif" w:hAnsi="Arial;Helvetica;sans-serif"/>
                  <w:color w:val="4C4C4C"/>
                  <w:sz w:val="20"/>
                </w:rPr>
                <w:t>35</w:t>
              </w:r>
            </w:hyperlink>
          </w:p>
        </w:tc>
      </w:tr>
      <w:tr>
        <w:trPr/>
        <w:tc>
          <w:tcPr>
            <w:tcW w:w="6260" w:type="dxa"/>
            <w:tcBorders/>
            <w:vAlign w:val="center"/>
          </w:tcPr>
          <w:p>
            <w:pPr>
              <w:pStyle w:val="TableContents"/>
              <w:bidi w:val="0"/>
              <w:spacing w:before="0" w:after="283"/>
              <w:ind w:left="400" w:right="0" w:hanging="0"/>
              <w:jc w:val="left"/>
              <w:rPr/>
            </w:pPr>
            <w:hyperlink w:anchor="tNEO">
              <w:r>
                <w:rPr>
                  <w:rStyle w:val="InternetLink"/>
                  <w:rFonts w:ascii="Arial;Helvetica;sans-serif" w:hAnsi="Arial;Helvetica;sans-serif"/>
                  <w:color w:val="4C4C4C"/>
                  <w:sz w:val="20"/>
                </w:rPr>
                <w:t>Narrative Explanation of the Summary Compensation Table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23" w:right="0" w:hanging="0"/>
              <w:jc w:val="left"/>
              <w:rPr/>
            </w:pPr>
            <w:hyperlink w:anchor="tNEO">
              <w:r>
                <w:rPr>
                  <w:rStyle w:val="InternetLink"/>
                  <w:rFonts w:ascii="Arial;Helvetica;sans-serif" w:hAnsi="Arial;Helvetica;sans-serif"/>
                  <w:color w:val="4C4C4C"/>
                  <w:sz w:val="20"/>
                </w:rPr>
                <w:t>36</w:t>
              </w:r>
            </w:hyperlink>
          </w:p>
        </w:tc>
      </w:tr>
      <w:tr>
        <w:trPr/>
        <w:tc>
          <w:tcPr>
            <w:tcW w:w="6260" w:type="dxa"/>
            <w:tcBorders/>
            <w:vAlign w:val="center"/>
          </w:tcPr>
          <w:p>
            <w:pPr>
              <w:pStyle w:val="TableContents"/>
              <w:bidi w:val="0"/>
              <w:spacing w:before="0" w:after="283"/>
              <w:ind w:left="400" w:right="0" w:hanging="0"/>
              <w:jc w:val="left"/>
              <w:rPr/>
            </w:pPr>
            <w:hyperlink w:anchor="tGOP">
              <w:r>
                <w:rPr>
                  <w:rStyle w:val="InternetLink"/>
                  <w:rFonts w:ascii="Arial;Helvetica;sans-serif" w:hAnsi="Arial;Helvetica;sans-serif"/>
                  <w:color w:val="4C4C4C"/>
                  <w:sz w:val="20"/>
                </w:rPr>
                <w:t>Grants of Plan-Based Awards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23" w:right="0" w:hanging="0"/>
              <w:jc w:val="left"/>
              <w:rPr/>
            </w:pPr>
            <w:hyperlink w:anchor="tGOP">
              <w:r>
                <w:rPr>
                  <w:rStyle w:val="InternetLink"/>
                  <w:rFonts w:ascii="Arial;Helvetica;sans-serif" w:hAnsi="Arial;Helvetica;sans-serif"/>
                  <w:color w:val="4C4C4C"/>
                  <w:sz w:val="20"/>
                </w:rPr>
                <w:t>36</w:t>
              </w:r>
            </w:hyperlink>
          </w:p>
        </w:tc>
      </w:tr>
      <w:tr>
        <w:trPr/>
        <w:tc>
          <w:tcPr>
            <w:tcW w:w="6260" w:type="dxa"/>
            <w:tcBorders/>
            <w:vAlign w:val="center"/>
          </w:tcPr>
          <w:p>
            <w:pPr>
              <w:pStyle w:val="TableContents"/>
              <w:bidi w:val="0"/>
              <w:spacing w:before="0" w:after="283"/>
              <w:ind w:left="400" w:right="0" w:hanging="0"/>
              <w:jc w:val="left"/>
              <w:rPr/>
            </w:pPr>
            <w:hyperlink w:anchor="tOEA">
              <w:r>
                <w:rPr>
                  <w:rStyle w:val="InternetLink"/>
                  <w:rFonts w:ascii="Arial;Helvetica;sans-serif" w:hAnsi="Arial;Helvetica;sans-serif"/>
                  <w:color w:val="4C4C4C"/>
                  <w:sz w:val="20"/>
                </w:rPr>
                <w:t>Outstanding Equity Awards at December 31, 2024</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23" w:right="0" w:hanging="0"/>
              <w:jc w:val="left"/>
              <w:rPr/>
            </w:pPr>
            <w:hyperlink w:anchor="tOEA">
              <w:r>
                <w:rPr>
                  <w:rStyle w:val="InternetLink"/>
                  <w:rFonts w:ascii="Arial;Helvetica;sans-serif" w:hAnsi="Arial;Helvetica;sans-serif"/>
                  <w:color w:val="4C4C4C"/>
                  <w:sz w:val="20"/>
                </w:rPr>
                <w:t>37</w:t>
              </w:r>
            </w:hyperlink>
          </w:p>
        </w:tc>
      </w:tr>
      <w:tr>
        <w:trPr/>
        <w:tc>
          <w:tcPr>
            <w:tcW w:w="6260" w:type="dxa"/>
            <w:tcBorders/>
            <w:vAlign w:val="center"/>
          </w:tcPr>
          <w:p>
            <w:pPr>
              <w:pStyle w:val="TableContents"/>
              <w:bidi w:val="0"/>
              <w:spacing w:before="0" w:after="283"/>
              <w:ind w:left="400" w:right="0" w:hanging="0"/>
              <w:jc w:val="left"/>
              <w:rPr/>
            </w:pPr>
            <w:hyperlink w:anchor="tEAE">
              <w:r>
                <w:rPr>
                  <w:rStyle w:val="InternetLink"/>
                  <w:rFonts w:ascii="Arial;Helvetica;sans-serif" w:hAnsi="Arial;Helvetica;sans-serif"/>
                  <w:color w:val="4C4C4C"/>
                  <w:sz w:val="20"/>
                </w:rPr>
                <w:t>2024 Equity Award Exercises and Stock Vested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23" w:right="0" w:hanging="0"/>
              <w:jc w:val="left"/>
              <w:rPr/>
            </w:pPr>
            <w:hyperlink w:anchor="tEAE">
              <w:r>
                <w:rPr>
                  <w:rStyle w:val="InternetLink"/>
                  <w:rFonts w:ascii="Arial;Helvetica;sans-serif" w:hAnsi="Arial;Helvetica;sans-serif"/>
                  <w:color w:val="4C4C4C"/>
                  <w:sz w:val="20"/>
                </w:rPr>
                <w:t>38</w:t>
              </w:r>
            </w:hyperlink>
          </w:p>
        </w:tc>
      </w:tr>
      <w:tr>
        <w:trPr/>
        <w:tc>
          <w:tcPr>
            <w:tcW w:w="6260" w:type="dxa"/>
            <w:tcBorders/>
            <w:vAlign w:val="center"/>
          </w:tcPr>
          <w:p>
            <w:pPr>
              <w:pStyle w:val="TableContents"/>
              <w:bidi w:val="0"/>
              <w:spacing w:before="0" w:after="283"/>
              <w:ind w:left="400" w:right="0" w:hanging="0"/>
              <w:jc w:val="left"/>
              <w:rPr/>
            </w:pPr>
            <w:hyperlink w:anchor="tECP">
              <w:r>
                <w:rPr>
                  <w:rStyle w:val="InternetLink"/>
                  <w:rFonts w:ascii="Arial;Helvetica;sans-serif" w:hAnsi="Arial;Helvetica;sans-serif"/>
                  <w:color w:val="4C4C4C"/>
                  <w:sz w:val="20"/>
                </w:rPr>
                <w:t>Equity Compensation Plan Information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23" w:right="0" w:hanging="0"/>
              <w:jc w:val="left"/>
              <w:rPr/>
            </w:pPr>
            <w:hyperlink w:anchor="tECP">
              <w:r>
                <w:rPr>
                  <w:rStyle w:val="InternetLink"/>
                  <w:rFonts w:ascii="Arial;Helvetica;sans-serif" w:hAnsi="Arial;Helvetica;sans-serif"/>
                  <w:color w:val="4C4C4C"/>
                  <w:sz w:val="20"/>
                </w:rPr>
                <w:t>39</w:t>
              </w:r>
            </w:hyperlink>
          </w:p>
        </w:tc>
      </w:tr>
      <w:tr>
        <w:trPr/>
        <w:tc>
          <w:tcPr>
            <w:tcW w:w="6260" w:type="dxa"/>
            <w:tcBorders/>
            <w:vAlign w:val="center"/>
          </w:tcPr>
          <w:p>
            <w:pPr>
              <w:pStyle w:val="TableContents"/>
              <w:bidi w:val="0"/>
              <w:spacing w:before="0" w:after="283"/>
              <w:ind w:left="400" w:right="0" w:hanging="0"/>
              <w:jc w:val="left"/>
              <w:rPr/>
            </w:pPr>
            <w:hyperlink w:anchor="tCPR">
              <w:r>
                <w:rPr>
                  <w:rStyle w:val="InternetLink"/>
                  <w:rFonts w:ascii="Arial;Helvetica;sans-serif" w:hAnsi="Arial;Helvetica;sans-serif"/>
                  <w:color w:val="4C4C4C"/>
                  <w:sz w:val="20"/>
                </w:rPr>
                <w:t>CEO Pay Ratio</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23" w:right="0" w:hanging="0"/>
              <w:jc w:val="left"/>
              <w:rPr/>
            </w:pPr>
            <w:hyperlink w:anchor="tCPR">
              <w:r>
                <w:rPr>
                  <w:rStyle w:val="InternetLink"/>
                  <w:rFonts w:ascii="Arial;Helvetica;sans-serif" w:hAnsi="Arial;Helvetica;sans-serif"/>
                  <w:color w:val="4C4C4C"/>
                  <w:sz w:val="20"/>
                </w:rPr>
                <w:t>39</w:t>
              </w:r>
            </w:hyperlink>
          </w:p>
        </w:tc>
      </w:tr>
      <w:tr>
        <w:trPr/>
        <w:tc>
          <w:tcPr>
            <w:tcW w:w="6260" w:type="dxa"/>
            <w:tcBorders/>
            <w:vAlign w:val="center"/>
          </w:tcPr>
          <w:p>
            <w:pPr>
              <w:pStyle w:val="TableContents"/>
              <w:bidi w:val="0"/>
              <w:spacing w:before="0" w:after="283"/>
              <w:ind w:left="0" w:right="0" w:hanging="0"/>
              <w:jc w:val="left"/>
              <w:rPr/>
            </w:pPr>
            <w:hyperlink w:anchor="tPROP2">
              <w:r>
                <w:rPr>
                  <w:rStyle w:val="InternetLink"/>
                  <w:rFonts w:ascii="Arial;Helvetica;sans-serif" w:hAnsi="Arial;Helvetica;sans-serif"/>
                  <w:color w:val="4C4C4C"/>
                  <w:sz w:val="20"/>
                </w:rPr>
                <w:t>Proposal 2. Ratification of Appointment of Independent Auditor for 2025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23" w:right="0" w:hanging="0"/>
              <w:jc w:val="left"/>
              <w:rPr/>
            </w:pPr>
            <w:hyperlink w:anchor="tPROP2">
              <w:r>
                <w:rPr>
                  <w:rStyle w:val="InternetLink"/>
                  <w:rFonts w:ascii="Arial;Helvetica;sans-serif" w:hAnsi="Arial;Helvetica;sans-serif"/>
                  <w:color w:val="4C4C4C"/>
                  <w:sz w:val="20"/>
                </w:rPr>
                <w:t>47</w:t>
              </w:r>
            </w:hyperlink>
          </w:p>
        </w:tc>
      </w:tr>
      <w:tr>
        <w:trPr/>
        <w:tc>
          <w:tcPr>
            <w:tcW w:w="6260" w:type="dxa"/>
            <w:tcBorders/>
            <w:vAlign w:val="center"/>
          </w:tcPr>
          <w:p>
            <w:pPr>
              <w:pStyle w:val="TableContents"/>
              <w:bidi w:val="0"/>
              <w:spacing w:before="0" w:after="283"/>
              <w:ind w:left="0" w:right="0" w:hanging="0"/>
              <w:jc w:val="left"/>
              <w:rPr/>
            </w:pPr>
            <w:hyperlink w:anchor="tAM">
              <w:r>
                <w:rPr>
                  <w:rStyle w:val="InternetLink"/>
                  <w:rFonts w:ascii="Arial;Helvetica;sans-serif" w:hAnsi="Arial;Helvetica;sans-serif"/>
                  <w:color w:val="4C4C4C"/>
                  <w:sz w:val="20"/>
                </w:rPr>
                <w:t>Accounting Matters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23" w:right="0" w:hanging="0"/>
              <w:jc w:val="left"/>
              <w:rPr/>
            </w:pPr>
            <w:hyperlink w:anchor="tAM">
              <w:r>
                <w:rPr>
                  <w:rStyle w:val="InternetLink"/>
                  <w:rFonts w:ascii="Arial;Helvetica;sans-serif" w:hAnsi="Arial;Helvetica;sans-serif"/>
                  <w:color w:val="4C4C4C"/>
                  <w:sz w:val="20"/>
                </w:rPr>
                <w:t>48</w:t>
              </w:r>
            </w:hyperlink>
          </w:p>
        </w:tc>
      </w:tr>
      <w:tr>
        <w:trPr/>
        <w:tc>
          <w:tcPr>
            <w:tcW w:w="6260" w:type="dxa"/>
            <w:tcBorders/>
            <w:vAlign w:val="center"/>
          </w:tcPr>
          <w:p>
            <w:pPr>
              <w:pStyle w:val="TableContents"/>
              <w:bidi w:val="0"/>
              <w:spacing w:before="0" w:after="283"/>
              <w:ind w:left="400" w:right="0" w:hanging="0"/>
              <w:jc w:val="left"/>
              <w:rPr/>
            </w:pPr>
            <w:hyperlink w:anchor="tPIA">
              <w:r>
                <w:rPr>
                  <w:rStyle w:val="InternetLink"/>
                  <w:rFonts w:ascii="Arial;Helvetica;sans-serif" w:hAnsi="Arial;Helvetica;sans-serif"/>
                  <w:color w:val="4C4C4C"/>
                  <w:sz w:val="20"/>
                </w:rPr>
                <w:t>Principal Independent Auditor Fees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23" w:right="0" w:hanging="0"/>
              <w:jc w:val="left"/>
              <w:rPr/>
            </w:pPr>
            <w:hyperlink w:anchor="tPIA">
              <w:r>
                <w:rPr>
                  <w:rStyle w:val="InternetLink"/>
                  <w:rFonts w:ascii="Arial;Helvetica;sans-serif" w:hAnsi="Arial;Helvetica;sans-serif"/>
                  <w:color w:val="4C4C4C"/>
                  <w:sz w:val="20"/>
                </w:rPr>
                <w:t>48</w:t>
              </w:r>
            </w:hyperlink>
          </w:p>
        </w:tc>
      </w:tr>
      <w:tr>
        <w:trPr/>
        <w:tc>
          <w:tcPr>
            <w:tcW w:w="6260" w:type="dxa"/>
            <w:tcBorders/>
            <w:vAlign w:val="center"/>
          </w:tcPr>
          <w:p>
            <w:pPr>
              <w:pStyle w:val="TableContents"/>
              <w:bidi w:val="0"/>
              <w:spacing w:before="0" w:after="283"/>
              <w:ind w:left="400" w:right="0" w:hanging="0"/>
              <w:jc w:val="left"/>
              <w:rPr/>
            </w:pPr>
            <w:hyperlink w:anchor="tACP">
              <w:r>
                <w:rPr>
                  <w:rStyle w:val="InternetLink"/>
                  <w:rFonts w:ascii="Arial;Helvetica;sans-serif" w:hAnsi="Arial;Helvetica;sans-serif"/>
                  <w:color w:val="4C4C4C"/>
                  <w:sz w:val="20"/>
                </w:rPr>
                <w:t>Audit Committee Pre-Approval Policies and Procedures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23" w:right="0" w:hanging="0"/>
              <w:jc w:val="left"/>
              <w:rPr/>
            </w:pPr>
            <w:hyperlink w:anchor="tACP">
              <w:r>
                <w:rPr>
                  <w:rStyle w:val="InternetLink"/>
                  <w:rFonts w:ascii="Arial;Helvetica;sans-serif" w:hAnsi="Arial;Helvetica;sans-serif"/>
                  <w:color w:val="4C4C4C"/>
                  <w:sz w:val="20"/>
                </w:rPr>
                <w:t>48</w:t>
              </w:r>
            </w:hyperlink>
          </w:p>
        </w:tc>
      </w:tr>
      <w:tr>
        <w:trPr/>
        <w:tc>
          <w:tcPr>
            <w:tcW w:w="6260" w:type="dxa"/>
            <w:tcBorders/>
            <w:vAlign w:val="center"/>
          </w:tcPr>
          <w:p>
            <w:pPr>
              <w:pStyle w:val="TableContents"/>
              <w:bidi w:val="0"/>
              <w:spacing w:before="0" w:after="283"/>
              <w:ind w:left="400" w:right="0" w:hanging="0"/>
              <w:jc w:val="left"/>
              <w:rPr/>
            </w:pPr>
            <w:hyperlink w:anchor="tROT">
              <w:r>
                <w:rPr>
                  <w:rStyle w:val="InternetLink"/>
                  <w:rFonts w:ascii="Arial;Helvetica;sans-serif" w:hAnsi="Arial;Helvetica;sans-serif"/>
                  <w:color w:val="4C4C4C"/>
                  <w:sz w:val="20"/>
                </w:rPr>
                <w:t>Report of the Audit Committee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23" w:right="0" w:hanging="0"/>
              <w:jc w:val="left"/>
              <w:rPr/>
            </w:pPr>
            <w:hyperlink w:anchor="tROT">
              <w:r>
                <w:rPr>
                  <w:rStyle w:val="InternetLink"/>
                  <w:rFonts w:ascii="Arial;Helvetica;sans-serif" w:hAnsi="Arial;Helvetica;sans-serif"/>
                  <w:color w:val="4C4C4C"/>
                  <w:sz w:val="20"/>
                </w:rPr>
                <w:t>48</w:t>
              </w:r>
            </w:hyperlink>
          </w:p>
        </w:tc>
      </w:tr>
      <w:tr>
        <w:trPr/>
        <w:tc>
          <w:tcPr>
            <w:tcW w:w="6260" w:type="dxa"/>
            <w:tcBorders/>
            <w:vAlign w:val="center"/>
          </w:tcPr>
          <w:p>
            <w:pPr>
              <w:pStyle w:val="TableContents"/>
              <w:bidi w:val="0"/>
              <w:spacing w:before="0" w:after="283"/>
              <w:ind w:left="0" w:right="0" w:hanging="0"/>
              <w:jc w:val="left"/>
              <w:rPr/>
            </w:pPr>
            <w:hyperlink w:anchor="tSPF">
              <w:r>
                <w:rPr>
                  <w:rStyle w:val="InternetLink"/>
                  <w:rFonts w:ascii="Arial;Helvetica;sans-serif" w:hAnsi="Arial;Helvetica;sans-serif"/>
                  <w:color w:val="4C4C4C"/>
                  <w:sz w:val="20"/>
                </w:rPr>
                <w:t>Stockholder Proposals for 2025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23" w:right="0" w:hanging="0"/>
              <w:jc w:val="left"/>
              <w:rPr/>
            </w:pPr>
            <w:hyperlink w:anchor="tSPF">
              <w:r>
                <w:rPr>
                  <w:rStyle w:val="InternetLink"/>
                  <w:rFonts w:ascii="Arial;Helvetica;sans-serif" w:hAnsi="Arial;Helvetica;sans-serif"/>
                  <w:color w:val="4C4C4C"/>
                  <w:sz w:val="20"/>
                </w:rPr>
                <w:t>50</w:t>
              </w:r>
            </w:hyperlink>
          </w:p>
        </w:tc>
      </w:tr>
      <w:tr>
        <w:trPr/>
        <w:tc>
          <w:tcPr>
            <w:tcW w:w="6260" w:type="dxa"/>
            <w:tcBorders/>
            <w:vAlign w:val="center"/>
          </w:tcPr>
          <w:p>
            <w:pPr>
              <w:pStyle w:val="TableContents"/>
              <w:bidi w:val="0"/>
              <w:spacing w:before="0" w:after="283"/>
              <w:ind w:left="0" w:right="0" w:hanging="0"/>
              <w:jc w:val="left"/>
              <w:rPr/>
            </w:pPr>
            <w:hyperlink w:anchor="tDOD">
              <w:r>
                <w:rPr>
                  <w:rStyle w:val="InternetLink"/>
                  <w:rFonts w:ascii="Arial;Helvetica;sans-serif" w:hAnsi="Arial;Helvetica;sans-serif"/>
                  <w:color w:val="4C4C4C"/>
                  <w:sz w:val="20"/>
                </w:rPr>
                <w:t>Delivery of Documents to Security Holders Sharing an Address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23" w:right="0" w:hanging="0"/>
              <w:jc w:val="left"/>
              <w:rPr/>
            </w:pPr>
            <w:hyperlink w:anchor="tDOD">
              <w:r>
                <w:rPr>
                  <w:rStyle w:val="InternetLink"/>
                  <w:rFonts w:ascii="Arial;Helvetica;sans-serif" w:hAnsi="Arial;Helvetica;sans-serif"/>
                  <w:color w:val="4C4C4C"/>
                  <w:sz w:val="20"/>
                </w:rPr>
                <w:t>50</w:t>
              </w:r>
            </w:hyperlink>
          </w:p>
        </w:tc>
      </w:tr>
      <w:tr>
        <w:trPr/>
        <w:tc>
          <w:tcPr>
            <w:tcW w:w="6260" w:type="dxa"/>
            <w:tcBorders/>
            <w:vAlign w:val="center"/>
          </w:tcPr>
          <w:p>
            <w:pPr>
              <w:pStyle w:val="TableContents"/>
              <w:bidi w:val="0"/>
              <w:spacing w:before="0" w:after="283"/>
              <w:ind w:left="0" w:right="0" w:hanging="0"/>
              <w:jc w:val="left"/>
              <w:rPr/>
            </w:pPr>
            <w:hyperlink w:anchor="tOM">
              <w:r>
                <w:rPr>
                  <w:rStyle w:val="InternetLink"/>
                  <w:rFonts w:ascii="Arial;Helvetica;sans-serif" w:hAnsi="Arial;Helvetica;sans-serif"/>
                  <w:color w:val="4C4C4C"/>
                  <w:sz w:val="20"/>
                </w:rPr>
                <w:t>Other Matters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23" w:right="0" w:hanging="0"/>
              <w:jc w:val="left"/>
              <w:rPr/>
            </w:pPr>
            <w:hyperlink w:anchor="tOM">
              <w:r>
                <w:rPr>
                  <w:rStyle w:val="InternetLink"/>
                  <w:rFonts w:ascii="Arial;Helvetica;sans-serif" w:hAnsi="Arial;Helvetica;sans-serif"/>
                  <w:color w:val="4C4C4C"/>
                  <w:sz w:val="20"/>
                </w:rPr>
                <w:t>50</w:t>
              </w:r>
            </w:hyperlink>
          </w:p>
        </w:tc>
      </w:tr>
      <w:tr>
        <w:trPr/>
        <w:tc>
          <w:tcPr>
            <w:tcW w:w="6260" w:type="dxa"/>
            <w:tcBorders/>
            <w:vAlign w:val="center"/>
          </w:tcPr>
          <w:p>
            <w:pPr>
              <w:pStyle w:val="TableContents"/>
              <w:bidi w:val="0"/>
              <w:spacing w:before="0" w:after="283"/>
              <w:ind w:left="0" w:right="0" w:hanging="0"/>
              <w:jc w:val="left"/>
              <w:rPr/>
            </w:pPr>
            <w:hyperlink w:anchor="tAPPXA">
              <w:r>
                <w:rPr>
                  <w:rStyle w:val="InternetLink"/>
                  <w:rFonts w:ascii="Arial;Helvetica;sans-serif" w:hAnsi="Arial;Helvetica;sans-serif"/>
                  <w:i/>
                  <w:color w:val="4C4C4C"/>
                  <w:sz w:val="20"/>
                </w:rPr>
                <w:t xml:space="preserve">Appendix A. </w:t>
              </w:r>
            </w:hyperlink>
            <w:hyperlink w:anchor="tAPPXA">
              <w:r>
                <w:rPr>
                  <w:rStyle w:val="InternetLink"/>
                  <w:rFonts w:ascii="Arial;Helvetica;sans-serif" w:hAnsi="Arial;Helvetica;sans-serif"/>
                  <w:i w:val="false"/>
                  <w:caps w:val="false"/>
                  <w:smallCaps w:val="false"/>
                  <w:color w:val="4C4C4C"/>
                  <w:sz w:val="20"/>
                </w:rPr>
                <w:t>Rules of Conduct and Procedure for 2025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23" w:right="0" w:hanging="0"/>
              <w:jc w:val="left"/>
              <w:rPr/>
            </w:pPr>
            <w:hyperlink w:anchor="tAPPXA">
              <w:r>
                <w:rPr>
                  <w:rStyle w:val="InternetLink"/>
                  <w:rFonts w:ascii="Arial;Helvetica;sans-serif" w:hAnsi="Arial;Helvetica;sans-serif"/>
                  <w:color w:val="4C4C4C"/>
                  <w:sz w:val="20"/>
                </w:rPr>
                <w:t>A-1</w:t>
              </w:r>
            </w:hyperlink>
          </w:p>
        </w:tc>
      </w:tr>
      <w:tr>
        <w:trPr/>
        <w:tc>
          <w:tcPr>
            <w:tcW w:w="6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 w:name="ny20042784x1_def14a_106-summary_pg1"/>
        <w:bookmarkEnd w:id="10"/>
        <w:r>
          <w:rPr>
            <w:rStyle w:val="InternetLink"/>
            <w:rFonts w:ascii="Times New Roman;Times;Serif" w:hAnsi="Times New Roman;Times;Serif"/>
            <w:b/>
            <w:caps w:val="false"/>
            <w:smallCaps w:val="false"/>
            <w:color w:val="000000"/>
            <w:sz w:val="16"/>
            <w:bdr w:val="single" w:sz="40" w:space="1" w:color="BAE2F8"/>
          </w:rPr>
          <w:t>TABLE OF CONTENTS</w:t>
        </w:r>
      </w:hyperlink>
    </w:p>
    <w:p>
      <w:pPr>
        <w:pStyle w:val="TextBody"/>
        <w:bidi w:val="0"/>
        <w:spacing w:before="190" w:after="283"/>
        <w:ind w:left="960" w:right="0" w:hanging="0"/>
        <w:jc w:val="center"/>
        <w:rPr>
          <w:rFonts w:ascii="Arial;Helvetica;sans-serif" w:hAnsi="Arial;Helvetica;sans-serif"/>
          <w:b/>
          <w:color w:val="0D3F64"/>
          <w:sz w:val="28"/>
          <w:bdr w:val="single" w:sz="40" w:space="1" w:color="BAE2F8"/>
        </w:rPr>
      </w:pPr>
      <w:bookmarkStart w:id="11" w:name="tPS"/>
      <w:bookmarkEnd w:id="11"/>
      <w:r>
        <w:rPr>
          <w:rFonts w:ascii="Arial;Helvetica;sans-serif" w:hAnsi="Arial;Helvetica;sans-serif"/>
          <w:b/>
          <w:color w:val="0D3F64"/>
          <w:sz w:val="28"/>
          <w:bdr w:val="single" w:sz="40" w:space="1" w:color="BAE2F8"/>
        </w:rPr>
        <w:t xml:space="preserve">2025 Proxy Summary </w:t>
      </w:r>
    </w:p>
    <w:p>
      <w:pPr>
        <w:pStyle w:val="TextBody"/>
        <w:bidi w:val="0"/>
        <w:spacing w:before="360" w:after="283"/>
        <w:ind w:left="960" w:right="0" w:hanging="0"/>
        <w:jc w:val="both"/>
        <w:rPr>
          <w:rFonts w:ascii="Arial;Helvetica;sans-serif" w:hAnsi="Arial;Helvetica;sans-serif"/>
          <w:i/>
          <w:color w:val="4C4C4C"/>
          <w:sz w:val="20"/>
          <w:bdr w:val="single" w:sz="40" w:space="1" w:color="BAE2F8"/>
        </w:rPr>
      </w:pPr>
      <w:r>
        <w:rPr>
          <w:rFonts w:ascii="Arial;Helvetica;sans-serif" w:hAnsi="Arial;Helvetica;sans-serif"/>
          <w:i/>
          <w:color w:val="4C4C4C"/>
          <w:sz w:val="20"/>
          <w:bdr w:val="single" w:sz="40" w:space="1" w:color="BAE2F8"/>
        </w:rPr>
        <w:t>This summary highlights information contained elsewhere in this Proxy Statement. This summary does not contain all of the information that you should consider, and you should read the entire Proxy Statement carefully before voting. References in this Proxy Statement to “ACM,” “ACM Research” and to “we,” “us,” “our” and similar terms refer to ACM Research, Inc.</w:t>
      </w:r>
      <w:r>
        <w:rPr>
          <w:rFonts w:ascii="Arial;Helvetica;sans-serif" w:hAnsi="Arial;Helvetica;sans-serif"/>
          <w:i/>
          <w:caps w:val="false"/>
          <w:smallCaps w:val="false"/>
          <w:color w:val="4C4C4C"/>
          <w:sz w:val="20"/>
          <w:bdr w:val="single" w:sz="40" w:space="1" w:color="BAE2F8"/>
        </w:rPr>
        <w:t xml:space="preserve"> </w:t>
      </w:r>
    </w:p>
    <w:p>
      <w:pPr>
        <w:pStyle w:val="TextBody"/>
        <w:bidi w:val="0"/>
        <w:spacing w:before="280" w:after="283"/>
        <w:ind w:left="960" w:right="0" w:hanging="0"/>
        <w:jc w:val="left"/>
        <w:rPr>
          <w:rFonts w:ascii="Arial;Helvetica;sans-serif" w:hAnsi="Arial;Helvetica;sans-serif"/>
          <w:b/>
          <w:color w:val="0079C1"/>
          <w:sz w:val="24"/>
          <w:bdr w:val="single" w:sz="40" w:space="1" w:color="BAE2F8"/>
        </w:rPr>
      </w:pPr>
      <w:r>
        <w:rPr>
          <w:rFonts w:ascii="Arial;Helvetica;sans-serif" w:hAnsi="Arial;Helvetica;sans-serif"/>
          <w:b/>
          <w:color w:val="0079C1"/>
          <w:sz w:val="24"/>
          <w:bdr w:val="single" w:sz="40" w:space="1" w:color="BAE2F8"/>
        </w:rPr>
        <w:t>Annual Meeting of Stockholders</w:t>
      </w:r>
    </w:p>
    <w:tbl>
      <w:tblPr>
        <w:tblW w:w="9245" w:type="dxa"/>
        <w:jc w:val="left"/>
        <w:tblInd w:w="960" w:type="dxa"/>
        <w:tblLayout w:type="fixed"/>
        <w:tblCellMar>
          <w:top w:w="0" w:type="dxa"/>
          <w:left w:w="0" w:type="dxa"/>
          <w:bottom w:w="0" w:type="dxa"/>
          <w:right w:w="0" w:type="dxa"/>
        </w:tblCellMar>
      </w:tblPr>
      <w:tblGrid>
        <w:gridCol w:w="1225"/>
        <w:gridCol w:w="170"/>
        <w:gridCol w:w="170"/>
        <w:gridCol w:w="7680"/>
      </w:tblGrid>
      <w:tr>
        <w:trPr/>
        <w:tc>
          <w:tcPr>
            <w:tcW w:w="12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80" w:type="dxa"/>
            <w:tcBorders/>
            <w:vAlign w:val="center"/>
          </w:tcPr>
          <w:p>
            <w:pPr>
              <w:pStyle w:val="TableContents"/>
              <w:bidi w:val="0"/>
              <w:spacing w:before="0" w:after="0"/>
              <w:jc w:val="left"/>
              <w:rPr/>
            </w:pPr>
            <w:r>
              <w:rPr/>
              <w:t> </w:t>
            </w:r>
          </w:p>
        </w:tc>
      </w:tr>
      <w:tr>
        <w:trPr/>
        <w:tc>
          <w:tcPr>
            <w:tcW w:w="1225"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Time and 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80"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7 a.m., Pacific time, on June 12, 2025</w:t>
            </w:r>
          </w:p>
        </w:tc>
      </w:tr>
      <w:tr>
        <w:trPr/>
        <w:tc>
          <w:tcPr>
            <w:tcW w:w="1225"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Meeting Webcast Address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80" w:type="dxa"/>
            <w:tcBorders/>
            <w:vAlign w:val="center"/>
          </w:tcPr>
          <w:p>
            <w:pPr>
              <w:pStyle w:val="TableContents"/>
              <w:bidi w:val="0"/>
              <w:spacing w:before="0" w:after="283"/>
              <w:ind w:left="0" w:right="0" w:hanging="0"/>
              <w:jc w:val="left"/>
              <w:rPr>
                <w:rFonts w:ascii="Arial;Helvetica;sans-serif" w:hAnsi="Arial;Helvetica;sans-serif"/>
                <w:i/>
                <w:color w:val="4C4C4C"/>
                <w:sz w:val="20"/>
              </w:rPr>
            </w:pPr>
            <w:r>
              <w:rPr>
                <w:rFonts w:ascii="Arial;Helvetica;sans-serif" w:hAnsi="Arial;Helvetica;sans-serif"/>
                <w:i/>
                <w:color w:val="4C4C4C"/>
                <w:sz w:val="20"/>
              </w:rPr>
              <w:t>virtualshareholdermeeting.com/ACMR2025</w:t>
            </w:r>
          </w:p>
        </w:tc>
      </w:tr>
      <w:tr>
        <w:trPr/>
        <w:tc>
          <w:tcPr>
            <w:tcW w:w="1225"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Record 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80"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5 p.m., Eastern time, on April 15, 2025</w:t>
            </w:r>
          </w:p>
        </w:tc>
      </w:tr>
      <w:tr>
        <w:trPr/>
        <w:tc>
          <w:tcPr>
            <w:tcW w:w="1225"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Voting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80" w:type="dxa"/>
            <w:tcBorders/>
            <w:vAlign w:val="center"/>
          </w:tcPr>
          <w:p>
            <w:pPr>
              <w:pStyle w:val="TableContents"/>
              <w:bidi w:val="0"/>
              <w:spacing w:before="0" w:after="283"/>
              <w:ind w:left="0" w:right="0" w:hanging="0"/>
              <w:jc w:val="both"/>
              <w:rPr>
                <w:rFonts w:ascii="Arial;Helvetica;sans-serif" w:hAnsi="Arial;Helvetica;sans-serif"/>
                <w:color w:val="4C4C4C"/>
                <w:sz w:val="20"/>
              </w:rPr>
            </w:pPr>
            <w:r>
              <w:rPr>
                <w:rFonts w:ascii="Arial;Helvetica;sans-serif" w:hAnsi="Arial;Helvetica;sans-serif"/>
                <w:color w:val="4C4C4C"/>
                <w:sz w:val="20"/>
              </w:rPr>
              <w:t>Stockholders will be entitled to one vote for each outstanding share of Class A common stock they hold of record as of the record date and twenty votes for each outstanding share of Class B common stock they hold of record as of the record date.</w:t>
            </w:r>
          </w:p>
        </w:tc>
      </w:tr>
      <w:tr>
        <w:trPr/>
        <w:tc>
          <w:tcPr>
            <w:tcW w:w="1225"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Total Votes Per Proposal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80" w:type="dxa"/>
            <w:tcBorders/>
            <w:vAlign w:val="center"/>
          </w:tcPr>
          <w:p>
            <w:pPr>
              <w:pStyle w:val="TableContents"/>
              <w:bidi w:val="0"/>
              <w:spacing w:before="0" w:after="283"/>
              <w:ind w:left="0" w:right="0" w:hanging="0"/>
              <w:jc w:val="both"/>
              <w:rPr>
                <w:rFonts w:ascii="Arial;Helvetica;sans-serif" w:hAnsi="Arial;Helvetica;sans-serif"/>
                <w:color w:val="4C4C4C"/>
                <w:sz w:val="20"/>
              </w:rPr>
            </w:pPr>
            <w:r>
              <w:rPr>
                <w:rFonts w:ascii="Arial;Helvetica;sans-serif" w:hAnsi="Arial;Helvetica;sans-serif"/>
                <w:color w:val="4C4C4C"/>
                <w:sz w:val="20"/>
              </w:rPr>
              <w:t>159,278,913 votes, based on 58,842,693 shares of Class A common stock and 5,021,811 shares of Class B common stock outstanding as of the record date.</w:t>
            </w:r>
          </w:p>
        </w:tc>
      </w:tr>
      <w:tr>
        <w:trPr/>
        <w:tc>
          <w:tcPr>
            <w:tcW w:w="12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80" w:type="dxa"/>
            <w:tcBorders/>
            <w:vAlign w:val="center"/>
          </w:tcPr>
          <w:p>
            <w:pPr>
              <w:pStyle w:val="TableContents"/>
              <w:bidi w:val="0"/>
              <w:spacing w:before="0" w:after="0"/>
              <w:jc w:val="left"/>
              <w:rPr/>
            </w:pPr>
            <w:r>
              <w:rPr/>
              <w:t> </w:t>
            </w:r>
          </w:p>
        </w:tc>
      </w:tr>
    </w:tbl>
    <w:p>
      <w:pPr>
        <w:pStyle w:val="TextBody"/>
        <w:bidi w:val="0"/>
        <w:spacing w:before="240" w:after="283"/>
        <w:ind w:left="960" w:right="0" w:hanging="0"/>
        <w:jc w:val="left"/>
        <w:rPr>
          <w:rFonts w:ascii="Arial;Helvetica;sans-serif" w:hAnsi="Arial;Helvetica;sans-serif"/>
          <w:b/>
          <w:color w:val="0079C1"/>
          <w:sz w:val="24"/>
          <w:bdr w:val="single" w:sz="40" w:space="1" w:color="BAE2F8"/>
        </w:rPr>
      </w:pPr>
      <w:r>
        <w:rPr>
          <w:rFonts w:ascii="Arial;Helvetica;sans-serif" w:hAnsi="Arial;Helvetica;sans-serif"/>
          <w:b/>
          <w:color w:val="0079C1"/>
          <w:sz w:val="24"/>
          <w:bdr w:val="single" w:sz="40" w:space="1" w:color="BAE2F8"/>
        </w:rPr>
        <w:t>Annual Meeting Agenda</w:t>
      </w:r>
    </w:p>
    <w:tbl>
      <w:tblPr>
        <w:tblW w:w="7590" w:type="dxa"/>
        <w:jc w:val="left"/>
        <w:tblInd w:w="960" w:type="dxa"/>
        <w:tblLayout w:type="fixed"/>
        <w:tblCellMar>
          <w:top w:w="0" w:type="dxa"/>
          <w:left w:w="0" w:type="dxa"/>
          <w:bottom w:w="0" w:type="dxa"/>
          <w:right w:w="0" w:type="dxa"/>
        </w:tblCellMar>
      </w:tblPr>
      <w:tblGrid>
        <w:gridCol w:w="185"/>
        <w:gridCol w:w="5120"/>
        <w:gridCol w:w="170"/>
        <w:gridCol w:w="170"/>
        <w:gridCol w:w="1730"/>
        <w:gridCol w:w="215"/>
      </w:tblGrid>
      <w:tr>
        <w:trPr/>
        <w:tc>
          <w:tcPr>
            <w:tcW w:w="185" w:type="dxa"/>
            <w:tcBorders/>
            <w:shd w:fill="0D3F64" w:val="clear"/>
            <w:vAlign w:val="center"/>
          </w:tcPr>
          <w:p>
            <w:pPr>
              <w:pStyle w:val="TableContents"/>
              <w:bidi w:val="0"/>
              <w:spacing w:before="0" w:after="0"/>
              <w:jc w:val="left"/>
              <w:rPr/>
            </w:pPr>
            <w:r>
              <w:rPr/>
              <w:t> </w:t>
            </w:r>
          </w:p>
        </w:tc>
        <w:tc>
          <w:tcPr>
            <w:tcW w:w="512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30" w:type="dxa"/>
            <w:tcBorders/>
            <w:shd w:fill="0D3F64" w:val="clear"/>
            <w:vAlign w:val="center"/>
          </w:tcPr>
          <w:p>
            <w:pPr>
              <w:pStyle w:val="TableContents"/>
              <w:bidi w:val="0"/>
              <w:spacing w:before="0" w:after="0"/>
              <w:jc w:val="left"/>
              <w:rPr/>
            </w:pPr>
            <w:r>
              <w:rPr/>
              <w:t> </w:t>
            </w:r>
          </w:p>
        </w:tc>
        <w:tc>
          <w:tcPr>
            <w:tcW w:w="215" w:type="dxa"/>
            <w:tcBorders/>
            <w:shd w:fill="0D3F64" w:val="clear"/>
            <w:vAlign w:val="center"/>
          </w:tcPr>
          <w:p>
            <w:pPr>
              <w:pStyle w:val="TableContents"/>
              <w:bidi w:val="0"/>
              <w:spacing w:before="0" w:after="0"/>
              <w:jc w:val="left"/>
              <w:rPr/>
            </w:pPr>
            <w:r>
              <w:rPr/>
              <w:t> </w:t>
            </w:r>
          </w:p>
        </w:tc>
      </w:tr>
      <w:tr>
        <w:trPr/>
        <w:tc>
          <w:tcPr>
            <w:tcW w:w="185" w:type="dxa"/>
            <w:tcBorders/>
            <w:shd w:fill="0D3F64" w:val="clear"/>
            <w:vAlign w:val="center"/>
          </w:tcPr>
          <w:p>
            <w:pPr>
              <w:pStyle w:val="TableContents"/>
              <w:bidi w:val="0"/>
              <w:spacing w:before="0" w:after="0"/>
              <w:jc w:val="left"/>
              <w:rPr/>
            </w:pPr>
            <w:r>
              <w:rPr/>
              <w:t> </w:t>
            </w:r>
          </w:p>
        </w:tc>
        <w:tc>
          <w:tcPr>
            <w:tcW w:w="5120" w:type="dxa"/>
            <w:tcBorders/>
            <w:shd w:fill="0D3F64" w:val="clear"/>
            <w:vAlign w:val="center"/>
          </w:tcPr>
          <w:p>
            <w:pPr>
              <w:pStyle w:val="TableContents"/>
              <w:bidi w:val="0"/>
              <w:spacing w:before="0" w:after="283"/>
              <w:ind w:left="20" w:right="0" w:hanging="0"/>
              <w:jc w:val="left"/>
              <w:rPr>
                <w:rFonts w:ascii="Arial;Helvetica;sans-serif" w:hAnsi="Arial;Helvetica;sans-serif"/>
                <w:b/>
                <w:color w:val="FFFFFF"/>
                <w:sz w:val="20"/>
              </w:rPr>
            </w:pPr>
            <w:r>
              <w:rPr>
                <w:rFonts w:ascii="Arial;Helvetica;sans-serif" w:hAnsi="Arial;Helvetica;sans-serif"/>
                <w:b/>
                <w:color w:val="FFFFFF"/>
                <w:sz w:val="20"/>
              </w:rPr>
              <w:t>Proposal</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30" w:type="dxa"/>
            <w:tcBorders/>
            <w:shd w:fill="0D3F64" w:val="clear"/>
            <w:vAlign w:val="center"/>
          </w:tcPr>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Board</w:t>
            </w:r>
          </w:p>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Recommendation</w:t>
            </w:r>
          </w:p>
        </w:tc>
        <w:tc>
          <w:tcPr>
            <w:tcW w:w="215" w:type="dxa"/>
            <w:tcBorders/>
            <w:shd w:fill="0D3F6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120" w:type="dxa"/>
            <w:tcBorders/>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Election of four 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30" w:type="dxa"/>
            <w:tcBorders/>
            <w:vAlign w:val="center"/>
          </w:tcPr>
          <w:p>
            <w:pPr>
              <w:pStyle w:val="TableContents"/>
              <w:bidi w:val="0"/>
              <w:spacing w:before="0" w:after="283"/>
              <w:ind w:left="0" w:right="0" w:hanging="0"/>
              <w:jc w:val="left"/>
              <w:rPr>
                <w:rFonts w:ascii="Arial;Helvetica;sans-serif" w:hAnsi="Arial;Helvetica;sans-serif"/>
                <w:b/>
                <w:color w:val="4C4C4C"/>
                <w:sz w:val="20"/>
              </w:rPr>
            </w:pPr>
            <w:r>
              <w:rPr>
                <w:rFonts w:ascii="Arial;Helvetica;sans-serif" w:hAnsi="Arial;Helvetica;sans-serif"/>
                <w:b/>
                <w:color w:val="4C4C4C"/>
                <w:sz w:val="20"/>
              </w:rPr>
              <w:t xml:space="preserve">FOR </w:t>
            </w:r>
            <w:r>
              <w:rPr>
                <w:rFonts w:ascii="Arial;Helvetica;sans-serif" w:hAnsi="Arial;Helvetica;sans-serif"/>
                <w:b w:val="false"/>
                <w:color w:val="4C4C4C"/>
                <w:sz w:val="20"/>
              </w:rPr>
              <w:t>each nominee</w:t>
            </w:r>
          </w:p>
        </w:tc>
        <w:tc>
          <w:tcPr>
            <w:tcW w:w="215" w:type="dxa"/>
            <w:tcBorders/>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5120" w:type="dxa"/>
            <w:tcBorders/>
            <w:shd w:fill="BAE2F8" w:val="clear"/>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Ratification of appointment of independent auditor for 2025</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730" w:type="dxa"/>
            <w:tcBorders/>
            <w:shd w:fill="BAE2F8" w:val="clear"/>
            <w:vAlign w:val="center"/>
          </w:tcPr>
          <w:p>
            <w:pPr>
              <w:pStyle w:val="TableContents"/>
              <w:bidi w:val="0"/>
              <w:spacing w:before="0" w:after="283"/>
              <w:ind w:left="0" w:right="0" w:hanging="0"/>
              <w:jc w:val="left"/>
              <w:rPr>
                <w:rFonts w:ascii="Arial;Helvetica;sans-serif" w:hAnsi="Arial;Helvetica;sans-serif"/>
                <w:b/>
                <w:color w:val="4C4C4C"/>
                <w:sz w:val="20"/>
              </w:rPr>
            </w:pPr>
            <w:r>
              <w:rPr>
                <w:rFonts w:ascii="Arial;Helvetica;sans-serif" w:hAnsi="Arial;Helvetica;sans-serif"/>
                <w:b/>
                <w:color w:val="4C4C4C"/>
                <w:sz w:val="20"/>
              </w:rPr>
              <w:t>FOR</w:t>
            </w:r>
          </w:p>
        </w:tc>
        <w:tc>
          <w:tcPr>
            <w:tcW w:w="215" w:type="dxa"/>
            <w:tcBorders/>
            <w:shd w:fill="BAE2F8" w:val="clear"/>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512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730" w:type="dxa"/>
            <w:tcBorders/>
            <w:shd w:fill="BAE2F8" w:val="clear"/>
            <w:vAlign w:val="center"/>
          </w:tcPr>
          <w:p>
            <w:pPr>
              <w:pStyle w:val="TableContents"/>
              <w:bidi w:val="0"/>
              <w:spacing w:before="0" w:after="0"/>
              <w:jc w:val="left"/>
              <w:rPr/>
            </w:pPr>
            <w:r>
              <w:rPr/>
              <w:t> </w:t>
            </w:r>
          </w:p>
        </w:tc>
        <w:tc>
          <w:tcPr>
            <w:tcW w:w="215" w:type="dxa"/>
            <w:tcBorders/>
            <w:shd w:fill="BAE2F8" w:val="clear"/>
            <w:vAlign w:val="center"/>
          </w:tcPr>
          <w:p>
            <w:pPr>
              <w:pStyle w:val="TableContents"/>
              <w:bidi w:val="0"/>
              <w:spacing w:before="0" w:after="0"/>
              <w:jc w:val="left"/>
              <w:rPr/>
            </w:pPr>
            <w:r>
              <w:rPr/>
              <w:t> </w:t>
            </w:r>
          </w:p>
        </w:tc>
      </w:tr>
    </w:tbl>
    <w:p>
      <w:pPr>
        <w:pStyle w:val="TextBody"/>
        <w:bidi w:val="0"/>
        <w:spacing w:before="240" w:after="283"/>
        <w:ind w:left="960" w:right="0" w:hanging="0"/>
        <w:jc w:val="left"/>
        <w:rPr>
          <w:rFonts w:ascii="Arial;Helvetica;sans-serif" w:hAnsi="Arial;Helvetica;sans-serif"/>
          <w:b/>
          <w:color w:val="0079C1"/>
          <w:sz w:val="24"/>
          <w:bdr w:val="single" w:sz="40" w:space="1" w:color="BAE2F8"/>
        </w:rPr>
      </w:pPr>
      <w:r>
        <w:rPr>
          <w:rFonts w:ascii="Arial;Helvetica;sans-serif" w:hAnsi="Arial;Helvetica;sans-serif"/>
          <w:b/>
          <w:color w:val="0079C1"/>
          <w:sz w:val="24"/>
          <w:bdr w:val="single" w:sz="40" w:space="1" w:color="BAE2F8"/>
        </w:rPr>
        <w:t>How to Cast Your Vote</w:t>
      </w:r>
    </w:p>
    <w:p>
      <w:pPr>
        <w:pStyle w:val="TextBody"/>
        <w:bidi w:val="0"/>
        <w:spacing w:before="220" w:after="283"/>
        <w:ind w:left="960" w:right="0" w:hanging="0"/>
        <w:jc w:val="left"/>
        <w:rPr>
          <w:rFonts w:ascii="Arial;Helvetica;sans-serif" w:hAnsi="Arial;Helvetica;sans-serif"/>
          <w:color w:val="4C4C4C"/>
          <w:sz w:val="20"/>
          <w:bdr w:val="single" w:sz="40" w:space="1" w:color="BAE2F8"/>
        </w:rPr>
      </w:pPr>
      <w:r>
        <w:rPr>
          <w:rFonts w:ascii="Arial;Helvetica;sans-serif" w:hAnsi="Arial;Helvetica;sans-serif"/>
          <w:color w:val="4C4C4C"/>
          <w:sz w:val="20"/>
          <w:bdr w:val="single" w:sz="40" w:space="1" w:color="BAE2F8"/>
        </w:rPr>
        <w:t>You can vote by any of the following methods:</w:t>
      </w:r>
    </w:p>
    <w:tbl>
      <w:tblPr>
        <w:tblW w:w="9245" w:type="dxa"/>
        <w:jc w:val="left"/>
        <w:tblInd w:w="960" w:type="dxa"/>
        <w:tblLayout w:type="fixed"/>
        <w:tblCellMar>
          <w:top w:w="0" w:type="dxa"/>
          <w:left w:w="0" w:type="dxa"/>
          <w:bottom w:w="0" w:type="dxa"/>
          <w:right w:w="0" w:type="dxa"/>
        </w:tblCellMar>
      </w:tblPr>
      <w:tblGrid>
        <w:gridCol w:w="185"/>
        <w:gridCol w:w="181"/>
        <w:gridCol w:w="170"/>
        <w:gridCol w:w="170"/>
        <w:gridCol w:w="2917"/>
        <w:gridCol w:w="170"/>
        <w:gridCol w:w="170"/>
        <w:gridCol w:w="181"/>
        <w:gridCol w:w="170"/>
        <w:gridCol w:w="170"/>
        <w:gridCol w:w="4543"/>
        <w:gridCol w:w="218"/>
      </w:tblGrid>
      <w:tr>
        <w:trPr/>
        <w:tc>
          <w:tcPr>
            <w:tcW w:w="185" w:type="dxa"/>
            <w:tcBorders/>
            <w:shd w:fill="0D3F64" w:val="clear"/>
            <w:vAlign w:val="center"/>
          </w:tcPr>
          <w:p>
            <w:pPr>
              <w:pStyle w:val="TableContents"/>
              <w:bidi w:val="0"/>
              <w:spacing w:before="0" w:after="0"/>
              <w:jc w:val="left"/>
              <w:rPr/>
            </w:pPr>
            <w:r>
              <w:rPr/>
              <w:t> </w:t>
            </w:r>
          </w:p>
        </w:tc>
        <w:tc>
          <w:tcPr>
            <w:tcW w:w="3438" w:type="dxa"/>
            <w:gridSpan w:val="4"/>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5064" w:type="dxa"/>
            <w:gridSpan w:val="4"/>
            <w:tcBorders/>
            <w:shd w:fill="0D3F64" w:val="clear"/>
            <w:vAlign w:val="center"/>
          </w:tcPr>
          <w:p>
            <w:pPr>
              <w:pStyle w:val="TableContents"/>
              <w:bidi w:val="0"/>
              <w:spacing w:before="0" w:after="0"/>
              <w:jc w:val="left"/>
              <w:rPr/>
            </w:pPr>
            <w:r>
              <w:rPr/>
              <w:t> </w:t>
            </w:r>
          </w:p>
        </w:tc>
        <w:tc>
          <w:tcPr>
            <w:tcW w:w="218" w:type="dxa"/>
            <w:tcBorders/>
            <w:shd w:fill="0D3F64" w:val="clear"/>
            <w:vAlign w:val="center"/>
          </w:tcPr>
          <w:p>
            <w:pPr>
              <w:pStyle w:val="TableContents"/>
              <w:bidi w:val="0"/>
              <w:spacing w:before="0" w:after="0"/>
              <w:jc w:val="left"/>
              <w:rPr/>
            </w:pPr>
            <w:r>
              <w:rPr/>
              <w:t> </w:t>
            </w:r>
          </w:p>
        </w:tc>
      </w:tr>
      <w:tr>
        <w:trPr/>
        <w:tc>
          <w:tcPr>
            <w:tcW w:w="185" w:type="dxa"/>
            <w:tcBorders/>
            <w:shd w:fill="0D3F64" w:val="clear"/>
            <w:vAlign w:val="center"/>
          </w:tcPr>
          <w:p>
            <w:pPr>
              <w:pStyle w:val="TableContents"/>
              <w:bidi w:val="0"/>
              <w:spacing w:before="0" w:after="0"/>
              <w:jc w:val="left"/>
              <w:rPr/>
            </w:pPr>
            <w:r>
              <w:rPr/>
              <w:t> </w:t>
            </w:r>
          </w:p>
        </w:tc>
        <w:tc>
          <w:tcPr>
            <w:tcW w:w="3438" w:type="dxa"/>
            <w:gridSpan w:val="4"/>
            <w:tcBorders/>
            <w:shd w:fill="0D3F64" w:val="clear"/>
            <w:vAlign w:val="center"/>
          </w:tcPr>
          <w:p>
            <w:pPr>
              <w:pStyle w:val="TableContents"/>
              <w:bidi w:val="0"/>
              <w:spacing w:before="0" w:after="283"/>
              <w:ind w:left="20" w:right="0" w:hanging="0"/>
              <w:jc w:val="left"/>
              <w:rPr>
                <w:rFonts w:ascii="Arial;Helvetica;sans-serif" w:hAnsi="Arial;Helvetica;sans-serif"/>
                <w:b/>
                <w:color w:val="FFFFFF"/>
                <w:sz w:val="20"/>
              </w:rPr>
            </w:pPr>
            <w:r>
              <w:rPr>
                <w:rFonts w:ascii="Arial;Helvetica;sans-serif" w:hAnsi="Arial;Helvetica;sans-serif"/>
                <w:b/>
                <w:color w:val="FFFFFF"/>
                <w:sz w:val="20"/>
              </w:rPr>
              <w:t>Until 11:59 p.m., Eastern time, on June 11, 2025</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5064" w:type="dxa"/>
            <w:gridSpan w:val="4"/>
            <w:tcBorders/>
            <w:shd w:fill="0D3F64" w:val="clear"/>
            <w:vAlign w:val="center"/>
          </w:tcPr>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At the Annual Meeting on June 12, 2025</w:t>
            </w:r>
          </w:p>
        </w:tc>
        <w:tc>
          <w:tcPr>
            <w:tcW w:w="218" w:type="dxa"/>
            <w:tcBorders/>
            <w:shd w:fill="0D3F6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1" w:type="dxa"/>
            <w:tcBorders/>
            <w:vAlign w:val="center"/>
          </w:tcPr>
          <w:p>
            <w:pPr>
              <w:pStyle w:val="TableContents"/>
              <w:bidi w:val="0"/>
              <w:spacing w:before="0" w:after="283"/>
              <w:ind w:left="20" w:right="0" w:hanging="0"/>
              <w:jc w:val="left"/>
              <w:rPr>
                <w:color w:val="4694D0"/>
              </w:rPr>
            </w:pPr>
            <w:r>
              <w:rPr>
                <w:color w:val="4694D0"/>
              </w:rPr>
              <w:t>•</w:t>
            </w:r>
            <w:r>
              <w:rPr>
                <w:color w:val="4C4C4C"/>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7" w:type="dxa"/>
            <w:tcBorders/>
            <w:vAlign w:val="center"/>
          </w:tcPr>
          <w:p>
            <w:pPr>
              <w:pStyle w:val="TableContents"/>
              <w:bidi w:val="0"/>
              <w:spacing w:before="0" w:after="283"/>
              <w:ind w:left="0" w:right="0" w:hanging="0"/>
              <w:jc w:val="both"/>
              <w:rPr>
                <w:rFonts w:ascii="Arial;Helvetica;sans-serif" w:hAnsi="Arial;Helvetica;sans-serif"/>
                <w:b/>
                <w:color w:val="4C4C4C"/>
                <w:sz w:val="20"/>
              </w:rPr>
            </w:pPr>
            <w:r>
              <w:rPr>
                <w:rFonts w:ascii="Arial;Helvetica;sans-serif" w:hAnsi="Arial;Helvetica;sans-serif"/>
                <w:b/>
                <w:color w:val="4C4C4C"/>
                <w:sz w:val="20"/>
              </w:rPr>
              <w:t xml:space="preserve">Internet: </w:t>
            </w:r>
            <w:r>
              <w:rPr>
                <w:rFonts w:ascii="Arial;Helvetica;sans-serif" w:hAnsi="Arial;Helvetica;sans-serif"/>
                <w:b w:val="false"/>
                <w:color w:val="4C4C4C"/>
                <w:sz w:val="20"/>
              </w:rPr>
              <w:t xml:space="preserve">From any web-enabled device at </w:t>
            </w:r>
            <w:r>
              <w:rPr>
                <w:rFonts w:ascii="Arial;Helvetica;sans-serif" w:hAnsi="Arial;Helvetica;sans-serif"/>
                <w:b w:val="false"/>
                <w:i/>
                <w:color w:val="4C4C4C"/>
                <w:sz w:val="20"/>
              </w:rPr>
              <w:t>proxyvote.com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1" w:type="dxa"/>
            <w:tcBorders/>
            <w:vAlign w:val="center"/>
          </w:tcPr>
          <w:p>
            <w:pPr>
              <w:pStyle w:val="TableContents"/>
              <w:bidi w:val="0"/>
              <w:spacing w:before="0" w:after="283"/>
              <w:ind w:left="0" w:right="0" w:hanging="0"/>
              <w:jc w:val="left"/>
              <w:rPr>
                <w:color w:val="4694D0"/>
              </w:rPr>
            </w:pPr>
            <w:r>
              <w:rPr>
                <w:color w:val="4694D0"/>
              </w:rPr>
              <w:t>•</w:t>
            </w:r>
            <w:r>
              <w:rPr>
                <w:color w:val="4C4C4C"/>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43" w:type="dxa"/>
            <w:tcBorders/>
            <w:vAlign w:val="center"/>
          </w:tcPr>
          <w:p>
            <w:pPr>
              <w:pStyle w:val="TableContents"/>
              <w:bidi w:val="0"/>
              <w:spacing w:before="0" w:after="283"/>
              <w:ind w:left="0" w:right="0" w:hanging="0"/>
              <w:jc w:val="both"/>
              <w:rPr>
                <w:rFonts w:ascii="Arial;Helvetica;sans-serif" w:hAnsi="Arial;Helvetica;sans-serif"/>
                <w:b/>
                <w:color w:val="4C4C4C"/>
                <w:sz w:val="20"/>
              </w:rPr>
            </w:pPr>
            <w:r>
              <w:rPr>
                <w:rFonts w:ascii="Arial;Helvetica;sans-serif" w:hAnsi="Arial;Helvetica;sans-serif"/>
                <w:b/>
                <w:color w:val="4C4C4C"/>
                <w:sz w:val="20"/>
              </w:rPr>
              <w:t xml:space="preserve">Internet: </w:t>
            </w:r>
            <w:r>
              <w:rPr>
                <w:rFonts w:ascii="Arial;Helvetica;sans-serif" w:hAnsi="Arial;Helvetica;sans-serif"/>
                <w:b w:val="false"/>
                <w:color w:val="4C4C4C"/>
                <w:sz w:val="20"/>
              </w:rPr>
              <w:t xml:space="preserve">Joining the Annual Meeting at </w:t>
            </w:r>
            <w:r>
              <w:rPr>
                <w:rFonts w:ascii="Arial;Helvetica;sans-serif" w:hAnsi="Arial;Helvetica;sans-serif"/>
                <w:b w:val="false"/>
                <w:i/>
                <w:color w:val="4C4C4C"/>
                <w:sz w:val="20"/>
              </w:rPr>
              <w:t>virtualshareholdermeeting.com/ACMR2025</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1" w:type="dxa"/>
            <w:tcBorders/>
            <w:vAlign w:val="center"/>
          </w:tcPr>
          <w:p>
            <w:pPr>
              <w:pStyle w:val="TableContents"/>
              <w:bidi w:val="0"/>
              <w:spacing w:before="0" w:after="283"/>
              <w:ind w:left="20" w:right="0" w:hanging="0"/>
              <w:jc w:val="left"/>
              <w:rPr>
                <w:color w:val="4694D0"/>
              </w:rPr>
            </w:pPr>
            <w:r>
              <w:rPr>
                <w:color w:val="4694D0"/>
              </w:rPr>
              <w:t>•</w:t>
            </w:r>
            <w:r>
              <w:rPr>
                <w:color w:val="4C4C4C"/>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7" w:type="dxa"/>
            <w:tcBorders/>
            <w:vAlign w:val="center"/>
          </w:tcPr>
          <w:p>
            <w:pPr>
              <w:pStyle w:val="TableContents"/>
              <w:bidi w:val="0"/>
              <w:spacing w:before="0" w:after="283"/>
              <w:ind w:left="0" w:right="0" w:hanging="0"/>
              <w:jc w:val="left"/>
              <w:rPr>
                <w:rFonts w:ascii="Arial;Helvetica;sans-serif" w:hAnsi="Arial;Helvetica;sans-serif"/>
                <w:b/>
                <w:color w:val="4C4C4C"/>
                <w:sz w:val="20"/>
              </w:rPr>
            </w:pPr>
            <w:r>
              <w:rPr>
                <w:rFonts w:ascii="Arial;Helvetica;sans-serif" w:hAnsi="Arial;Helvetica;sans-serif"/>
                <w:b/>
                <w:color w:val="4C4C4C"/>
                <w:sz w:val="20"/>
              </w:rPr>
              <w:t xml:space="preserve">Telephone: </w:t>
            </w:r>
            <w:r>
              <w:rPr>
                <w:rFonts w:ascii="Arial;Helvetica;sans-serif" w:hAnsi="Arial;Helvetica;sans-serif"/>
                <w:b w:val="false"/>
                <w:color w:val="4C4C4C"/>
                <w:sz w:val="20"/>
              </w:rPr>
              <w:t>+1.800.690.6903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1" w:type="dxa"/>
            <w:tcBorders/>
            <w:vAlign w:val="center"/>
          </w:tcPr>
          <w:p>
            <w:pPr>
              <w:pStyle w:val="TableContents"/>
              <w:bidi w:val="0"/>
              <w:spacing w:before="0" w:after="283"/>
              <w:ind w:left="0" w:right="0" w:hanging="0"/>
              <w:jc w:val="left"/>
              <w:rPr>
                <w:color w:val="4C4C4C"/>
              </w:rPr>
            </w:pPr>
            <w:r>
              <w:rPr>
                <w:color w:val="4C4C4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43" w:type="dxa"/>
            <w:tcBorders/>
            <w:vAlign w:val="center"/>
          </w:tcPr>
          <w:p>
            <w:pPr>
              <w:pStyle w:val="TableContents"/>
              <w:bidi w:val="0"/>
              <w:spacing w:before="0" w:after="283"/>
              <w:ind w:left="0" w:right="0" w:hanging="0"/>
              <w:jc w:val="left"/>
              <w:rPr>
                <w:color w:val="4C4C4C"/>
              </w:rPr>
            </w:pPr>
            <w:r>
              <w:rPr>
                <w:color w:val="4C4C4C"/>
              </w:rPr>
              <w:t>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1" w:type="dxa"/>
            <w:tcBorders/>
            <w:vAlign w:val="center"/>
          </w:tcPr>
          <w:p>
            <w:pPr>
              <w:pStyle w:val="TableContents"/>
              <w:bidi w:val="0"/>
              <w:spacing w:before="0" w:after="283"/>
              <w:ind w:left="20" w:right="0" w:hanging="0"/>
              <w:jc w:val="left"/>
              <w:rPr>
                <w:color w:val="4694D0"/>
              </w:rPr>
            </w:pPr>
            <w:r>
              <w:rPr>
                <w:color w:val="4694D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7"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 xml:space="preserve">Completed, signed and returned </w:t>
            </w:r>
            <w:r>
              <w:rPr>
                <w:rFonts w:ascii="Arial;Helvetica;sans-serif" w:hAnsi="Arial;Helvetica;sans-serif"/>
                <w:b/>
                <w:color w:val="4C4C4C"/>
                <w:sz w:val="20"/>
              </w:rPr>
              <w:t>proxy card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1" w:type="dxa"/>
            <w:tcBorders/>
            <w:vAlign w:val="center"/>
          </w:tcPr>
          <w:p>
            <w:pPr>
              <w:pStyle w:val="TableContents"/>
              <w:bidi w:val="0"/>
              <w:spacing w:before="0" w:after="0"/>
              <w:jc w:val="left"/>
              <w:rPr>
                <w:color w:val="4C4C4C"/>
              </w:rPr>
            </w:pPr>
            <w:r>
              <w:rPr>
                <w:color w:val="4C4C4C"/>
              </w:rPr>
              <w:t> </w:t>
            </w:r>
          </w:p>
        </w:tc>
        <w:tc>
          <w:tcPr>
            <w:tcW w:w="170" w:type="dxa"/>
            <w:tcBorders/>
            <w:vAlign w:val="center"/>
          </w:tcPr>
          <w:p>
            <w:pPr>
              <w:pStyle w:val="TableContents"/>
              <w:bidi w:val="0"/>
              <w:spacing w:before="0" w:after="0"/>
              <w:jc w:val="left"/>
              <w:rPr/>
            </w:pPr>
            <w:r>
              <w:rPr/>
              <w:t> </w:t>
            </w:r>
          </w:p>
        </w:tc>
        <w:tc>
          <w:tcPr>
            <w:tcW w:w="4931" w:type="dxa"/>
            <w:gridSpan w:val="3"/>
            <w:tcBorders/>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0"/>
              <w:jc w:val="left"/>
              <w:rPr/>
            </w:pPr>
            <w:r>
              <w:rPr/>
              <w:t> </w:t>
            </w:r>
          </w:p>
        </w:tc>
        <w:tc>
          <w:tcPr>
            <w:tcW w:w="18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31" w:type="dxa"/>
            <w:gridSpan w:val="3"/>
            <w:tcBorders/>
          </w:tcPr>
          <w:p>
            <w:pPr>
              <w:pStyle w:val="TableContents"/>
              <w:bidi w:val="0"/>
              <w:spacing w:before="0" w:after="283"/>
              <w:jc w:val="left"/>
              <w:rPr>
                <w:sz w:val="4"/>
                <w:szCs w:val="4"/>
              </w:rPr>
            </w:pPr>
            <w:r>
              <w:rPr>
                <w:sz w:val="4"/>
                <w:szCs w:val="4"/>
              </w:rPr>
            </w:r>
          </w:p>
        </w:tc>
      </w:tr>
    </w:tbl>
    <w:tbl>
      <w:tblPr>
        <w:tblW w:w="230" w:type="dxa"/>
        <w:jc w:val="left"/>
        <w:tblInd w:w="96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 w:name="ny20042784x1_def14a_106-summary_pg2"/>
        <w:bookmarkEnd w:id="12"/>
        <w:r>
          <w:rPr>
            <w:rStyle w:val="InternetLink"/>
            <w:rFonts w:ascii="Times New Roman;Times;Serif" w:hAnsi="Times New Roman;Times;Serif"/>
            <w:b/>
            <w:caps w:val="false"/>
            <w:smallCaps w:val="false"/>
            <w:color w:val="000000"/>
            <w:sz w:val="16"/>
            <w:bdr w:val="single" w:sz="40" w:space="1" w:color="BAE2F8"/>
          </w:rPr>
          <w:t>TABLE OF CONTENTS</w:t>
        </w:r>
      </w:hyperlink>
    </w:p>
    <w:tbl>
      <w:tblPr>
        <w:tblW w:w="2870" w:type="dxa"/>
        <w:jc w:val="left"/>
        <w:tblInd w:w="960" w:type="dxa"/>
        <w:tblLayout w:type="fixed"/>
        <w:tblCellMar>
          <w:top w:w="0" w:type="dxa"/>
          <w:left w:w="0" w:type="dxa"/>
          <w:bottom w:w="0" w:type="dxa"/>
          <w:right w:w="0" w:type="dxa"/>
        </w:tblCellMar>
      </w:tblPr>
      <w:tblGrid>
        <w:gridCol w:w="465"/>
        <w:gridCol w:w="2405"/>
      </w:tblGrid>
      <w:tr>
        <w:trPr/>
        <w:tc>
          <w:tcPr>
            <w:tcW w:w="465" w:type="dxa"/>
            <w:tcBorders/>
            <w:vAlign w:val="center"/>
          </w:tcPr>
          <w:p>
            <w:pPr>
              <w:pStyle w:val="TableContents"/>
              <w:bidi w:val="0"/>
              <w:spacing w:before="0" w:after="0"/>
              <w:jc w:val="left"/>
              <w:rPr>
                <w:color w:val="0079C1"/>
              </w:rPr>
            </w:pPr>
            <w:r>
              <w:rPr>
                <w:color w:val="0079C1"/>
              </w:rPr>
              <w:drawing>
                <wp:inline distT="0" distB="0" distL="0" distR="0">
                  <wp:extent cx="276225" cy="276225"/>
                  <wp:effectExtent l="0" t="0" r="0" b="0"/>
                  <wp:docPr id="1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1" descr=""/>
                          <pic:cNvPicPr>
                            <a:picLocks noChangeAspect="1" noChangeArrowheads="1"/>
                          </pic:cNvPicPr>
                        </pic:nvPicPr>
                        <pic:blipFill>
                          <a:blip r:embed="rId15"/>
                          <a:stretch>
                            <a:fillRect/>
                          </a:stretch>
                        </pic:blipFill>
                        <pic:spPr bwMode="auto">
                          <a:xfrm>
                            <a:off x="0" y="0"/>
                            <a:ext cx="276225" cy="276225"/>
                          </a:xfrm>
                          <a:prstGeom prst="rect">
                            <a:avLst/>
                          </a:prstGeom>
                        </pic:spPr>
                      </pic:pic>
                    </a:graphicData>
                  </a:graphic>
                </wp:inline>
              </w:drawing>
            </w:r>
          </w:p>
        </w:tc>
        <w:tc>
          <w:tcPr>
            <w:tcW w:w="2405" w:type="dxa"/>
            <w:tcBorders/>
            <w:vAlign w:val="center"/>
          </w:tcPr>
          <w:p>
            <w:pPr>
              <w:pStyle w:val="TableContents"/>
              <w:bidi w:val="0"/>
              <w:spacing w:before="0" w:after="0"/>
              <w:jc w:val="left"/>
              <w:rPr>
                <w:rFonts w:ascii="Arial;Helvetica;sans-serif" w:hAnsi="Arial;Helvetica;sans-serif"/>
                <w:b/>
                <w:color w:val="0079C1"/>
                <w:sz w:val="24"/>
              </w:rPr>
            </w:pPr>
            <w:r>
              <w:rPr>
                <w:rFonts w:ascii="Arial;Helvetica;sans-serif" w:hAnsi="Arial;Helvetica;sans-serif"/>
                <w:b/>
                <w:color w:val="0079C1"/>
                <w:sz w:val="24"/>
              </w:rPr>
              <w:t>Election of Directors</w:t>
            </w:r>
          </w:p>
        </w:tc>
      </w:tr>
    </w:tbl>
    <w:p>
      <w:pPr>
        <w:pStyle w:val="TextBody"/>
        <w:bidi w:val="0"/>
        <w:spacing w:before="280" w:after="283"/>
        <w:ind w:left="960" w:right="0" w:hanging="0"/>
        <w:jc w:val="both"/>
        <w:rPr>
          <w:rFonts w:ascii="Arial;Helvetica;sans-serif" w:hAnsi="Arial;Helvetica;sans-serif"/>
          <w:color w:val="4C4C4C"/>
          <w:sz w:val="20"/>
          <w:bdr w:val="single" w:sz="40" w:space="1" w:color="BAE2F8"/>
        </w:rPr>
      </w:pPr>
      <w:r>
        <w:rPr>
          <w:rFonts w:ascii="Arial;Helvetica;sans-serif" w:hAnsi="Arial;Helvetica;sans-serif"/>
          <w:color w:val="4C4C4C"/>
          <w:sz w:val="20"/>
          <w:bdr w:val="single" w:sz="40" w:space="1" w:color="BAE2F8"/>
        </w:rPr>
        <w:t>As our first proposal, we are asking stockholders to elect the following four director nominees, each of whom currently serves as a member of the board of directors. The following presents information as of April 16, 2025 with respect to each director nominee:</w:t>
      </w:r>
    </w:p>
    <w:tbl>
      <w:tblPr>
        <w:tblW w:w="9245" w:type="dxa"/>
        <w:jc w:val="left"/>
        <w:tblInd w:w="960" w:type="dxa"/>
        <w:tblLayout w:type="fixed"/>
        <w:tblCellMar>
          <w:top w:w="0" w:type="dxa"/>
          <w:left w:w="0" w:type="dxa"/>
          <w:bottom w:w="0" w:type="dxa"/>
          <w:right w:w="0" w:type="dxa"/>
        </w:tblCellMar>
      </w:tblPr>
      <w:tblGrid>
        <w:gridCol w:w="185"/>
        <w:gridCol w:w="628"/>
        <w:gridCol w:w="170"/>
        <w:gridCol w:w="170"/>
        <w:gridCol w:w="290"/>
        <w:gridCol w:w="170"/>
        <w:gridCol w:w="170"/>
        <w:gridCol w:w="575"/>
        <w:gridCol w:w="170"/>
        <w:gridCol w:w="170"/>
        <w:gridCol w:w="1459"/>
        <w:gridCol w:w="170"/>
        <w:gridCol w:w="170"/>
        <w:gridCol w:w="971"/>
        <w:gridCol w:w="170"/>
        <w:gridCol w:w="170"/>
        <w:gridCol w:w="290"/>
        <w:gridCol w:w="170"/>
        <w:gridCol w:w="170"/>
        <w:gridCol w:w="215"/>
        <w:gridCol w:w="170"/>
        <w:gridCol w:w="170"/>
        <w:gridCol w:w="1155"/>
        <w:gridCol w:w="170"/>
        <w:gridCol w:w="170"/>
        <w:gridCol w:w="540"/>
        <w:gridCol w:w="217"/>
      </w:tblGrid>
      <w:tr>
        <w:trPr/>
        <w:tc>
          <w:tcPr>
            <w:tcW w:w="185" w:type="dxa"/>
            <w:tcBorders/>
            <w:shd w:fill="0D3F64" w:val="clear"/>
            <w:vAlign w:val="center"/>
          </w:tcPr>
          <w:p>
            <w:pPr>
              <w:pStyle w:val="TableContents"/>
              <w:bidi w:val="0"/>
              <w:spacing w:before="0" w:after="0"/>
              <w:jc w:val="left"/>
              <w:rPr/>
            </w:pPr>
            <w:r>
              <w:rPr/>
              <w:t> </w:t>
            </w:r>
          </w:p>
        </w:tc>
        <w:tc>
          <w:tcPr>
            <w:tcW w:w="628"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29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575"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459"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971"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845" w:type="dxa"/>
            <w:gridSpan w:val="4"/>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155"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540" w:type="dxa"/>
            <w:tcBorders/>
            <w:shd w:fill="0D3F64" w:val="clear"/>
            <w:vAlign w:val="center"/>
          </w:tcPr>
          <w:p>
            <w:pPr>
              <w:pStyle w:val="TableContents"/>
              <w:bidi w:val="0"/>
              <w:spacing w:before="0" w:after="0"/>
              <w:jc w:val="left"/>
              <w:rPr/>
            </w:pPr>
            <w:r>
              <w:rPr/>
              <w:t> </w:t>
            </w:r>
          </w:p>
        </w:tc>
        <w:tc>
          <w:tcPr>
            <w:tcW w:w="217" w:type="dxa"/>
            <w:tcBorders/>
            <w:shd w:fill="0D3F64" w:val="clear"/>
            <w:vAlign w:val="center"/>
          </w:tcPr>
          <w:p>
            <w:pPr>
              <w:pStyle w:val="TableContents"/>
              <w:bidi w:val="0"/>
              <w:spacing w:before="0" w:after="0"/>
              <w:jc w:val="left"/>
              <w:rPr/>
            </w:pPr>
            <w:r>
              <w:rPr/>
              <w:t> </w:t>
            </w:r>
          </w:p>
        </w:tc>
      </w:tr>
      <w:tr>
        <w:trPr/>
        <w:tc>
          <w:tcPr>
            <w:tcW w:w="185" w:type="dxa"/>
            <w:vMerge w:val="restart"/>
            <w:tcBorders/>
            <w:shd w:fill="0D3F64" w:val="clear"/>
            <w:vAlign w:val="center"/>
          </w:tcPr>
          <w:p>
            <w:pPr>
              <w:pStyle w:val="TableContents"/>
              <w:bidi w:val="0"/>
              <w:spacing w:before="0" w:after="0"/>
              <w:jc w:val="left"/>
              <w:rPr/>
            </w:pPr>
            <w:r>
              <w:rPr/>
              <w:t> </w:t>
            </w:r>
          </w:p>
        </w:tc>
        <w:tc>
          <w:tcPr>
            <w:tcW w:w="628" w:type="dxa"/>
            <w:vMerge w:val="restart"/>
            <w:tcBorders/>
            <w:shd w:fill="0D3F64" w:val="clear"/>
            <w:vAlign w:val="center"/>
          </w:tcPr>
          <w:p>
            <w:pPr>
              <w:pStyle w:val="TableContents"/>
              <w:bidi w:val="0"/>
              <w:spacing w:before="0" w:after="283"/>
              <w:ind w:left="20" w:right="0" w:hanging="0"/>
              <w:jc w:val="left"/>
              <w:rPr>
                <w:rFonts w:ascii="Arial;Helvetica;sans-serif" w:hAnsi="Arial;Helvetica;sans-serif"/>
                <w:b/>
                <w:color w:val="FFFFFF"/>
                <w:sz w:val="14"/>
              </w:rPr>
            </w:pPr>
            <w:r>
              <w:rPr>
                <w:rFonts w:ascii="Arial;Helvetica;sans-serif" w:hAnsi="Arial;Helvetica;sans-serif"/>
                <w:b/>
                <w:color w:val="FFFFFF"/>
                <w:sz w:val="14"/>
              </w:rPr>
              <w:t>Name</w:t>
            </w:r>
          </w:p>
        </w:tc>
        <w:tc>
          <w:tcPr>
            <w:tcW w:w="170" w:type="dxa"/>
            <w:vMerge w:val="restart"/>
            <w:tcBorders/>
            <w:shd w:fill="0D3F64" w:val="clear"/>
            <w:vAlign w:val="center"/>
          </w:tcPr>
          <w:p>
            <w:pPr>
              <w:pStyle w:val="TableContents"/>
              <w:bidi w:val="0"/>
              <w:spacing w:before="0" w:after="0"/>
              <w:jc w:val="left"/>
              <w:rPr/>
            </w:pPr>
            <w:r>
              <w:rPr/>
              <w:t> </w:t>
            </w:r>
          </w:p>
        </w:tc>
        <w:tc>
          <w:tcPr>
            <w:tcW w:w="170" w:type="dxa"/>
            <w:vMerge w:val="restart"/>
            <w:tcBorders/>
            <w:shd w:fill="0D3F64" w:val="clear"/>
            <w:vAlign w:val="center"/>
          </w:tcPr>
          <w:p>
            <w:pPr>
              <w:pStyle w:val="TableContents"/>
              <w:bidi w:val="0"/>
              <w:spacing w:before="0" w:after="0"/>
              <w:jc w:val="left"/>
              <w:rPr/>
            </w:pPr>
            <w:r>
              <w:rPr/>
              <w:t> </w:t>
            </w:r>
          </w:p>
        </w:tc>
        <w:tc>
          <w:tcPr>
            <w:tcW w:w="290" w:type="dxa"/>
            <w:vMerge w:val="restart"/>
            <w:tcBorders/>
            <w:shd w:fill="0D3F64"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Age</w:t>
            </w:r>
          </w:p>
        </w:tc>
        <w:tc>
          <w:tcPr>
            <w:tcW w:w="170" w:type="dxa"/>
            <w:vMerge w:val="restart"/>
            <w:tcBorders/>
            <w:shd w:fill="0D3F64" w:val="clear"/>
            <w:vAlign w:val="center"/>
          </w:tcPr>
          <w:p>
            <w:pPr>
              <w:pStyle w:val="TableContents"/>
              <w:bidi w:val="0"/>
              <w:spacing w:before="0" w:after="0"/>
              <w:jc w:val="left"/>
              <w:rPr/>
            </w:pPr>
            <w:r>
              <w:rPr/>
              <w:t> </w:t>
            </w:r>
          </w:p>
        </w:tc>
        <w:tc>
          <w:tcPr>
            <w:tcW w:w="170" w:type="dxa"/>
            <w:vMerge w:val="restart"/>
            <w:tcBorders/>
            <w:shd w:fill="0D3F64" w:val="clear"/>
            <w:vAlign w:val="center"/>
          </w:tcPr>
          <w:p>
            <w:pPr>
              <w:pStyle w:val="TableContents"/>
              <w:bidi w:val="0"/>
              <w:spacing w:before="0" w:after="0"/>
              <w:jc w:val="left"/>
              <w:rPr/>
            </w:pPr>
            <w:r>
              <w:rPr/>
              <w:t> </w:t>
            </w:r>
          </w:p>
        </w:tc>
        <w:tc>
          <w:tcPr>
            <w:tcW w:w="575" w:type="dxa"/>
            <w:vMerge w:val="restart"/>
            <w:tcBorders/>
            <w:shd w:fill="0D3F64"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Director</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Since</w:t>
            </w:r>
          </w:p>
        </w:tc>
        <w:tc>
          <w:tcPr>
            <w:tcW w:w="170" w:type="dxa"/>
            <w:vMerge w:val="restart"/>
            <w:tcBorders/>
            <w:shd w:fill="0D3F64" w:val="clear"/>
            <w:vAlign w:val="center"/>
          </w:tcPr>
          <w:p>
            <w:pPr>
              <w:pStyle w:val="TableContents"/>
              <w:bidi w:val="0"/>
              <w:spacing w:before="0" w:after="0"/>
              <w:jc w:val="left"/>
              <w:rPr/>
            </w:pPr>
            <w:r>
              <w:rPr/>
              <w:t> </w:t>
            </w:r>
          </w:p>
        </w:tc>
        <w:tc>
          <w:tcPr>
            <w:tcW w:w="170" w:type="dxa"/>
            <w:vMerge w:val="restart"/>
            <w:tcBorders/>
            <w:shd w:fill="0D3F64" w:val="clear"/>
            <w:vAlign w:val="center"/>
          </w:tcPr>
          <w:p>
            <w:pPr>
              <w:pStyle w:val="TableContents"/>
              <w:bidi w:val="0"/>
              <w:spacing w:before="0" w:after="0"/>
              <w:jc w:val="left"/>
              <w:rPr/>
            </w:pPr>
            <w:r>
              <w:rPr/>
              <w:t> </w:t>
            </w:r>
          </w:p>
        </w:tc>
        <w:tc>
          <w:tcPr>
            <w:tcW w:w="1459" w:type="dxa"/>
            <w:vMerge w:val="restart"/>
            <w:tcBorders/>
            <w:shd w:fill="0D3F64"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Occupation</w:t>
            </w:r>
          </w:p>
        </w:tc>
        <w:tc>
          <w:tcPr>
            <w:tcW w:w="170" w:type="dxa"/>
            <w:vMerge w:val="restart"/>
            <w:tcBorders/>
            <w:shd w:fill="0D3F64" w:val="clear"/>
            <w:vAlign w:val="center"/>
          </w:tcPr>
          <w:p>
            <w:pPr>
              <w:pStyle w:val="TableContents"/>
              <w:bidi w:val="0"/>
              <w:spacing w:before="0" w:after="0"/>
              <w:jc w:val="left"/>
              <w:rPr/>
            </w:pPr>
            <w:r>
              <w:rPr/>
              <w:t> </w:t>
            </w:r>
          </w:p>
        </w:tc>
        <w:tc>
          <w:tcPr>
            <w:tcW w:w="170" w:type="dxa"/>
            <w:vMerge w:val="restart"/>
            <w:tcBorders/>
            <w:shd w:fill="0D3F64" w:val="clear"/>
            <w:vAlign w:val="center"/>
          </w:tcPr>
          <w:p>
            <w:pPr>
              <w:pStyle w:val="TableContents"/>
              <w:bidi w:val="0"/>
              <w:spacing w:before="0" w:after="0"/>
              <w:jc w:val="left"/>
              <w:rPr/>
            </w:pPr>
            <w:r>
              <w:rPr/>
              <w:t> </w:t>
            </w:r>
          </w:p>
        </w:tc>
        <w:tc>
          <w:tcPr>
            <w:tcW w:w="971" w:type="dxa"/>
            <w:vMerge w:val="restart"/>
            <w:tcBorders/>
            <w:shd w:fill="0D3F64"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Experience/</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Qualifications</w:t>
            </w:r>
          </w:p>
        </w:tc>
        <w:tc>
          <w:tcPr>
            <w:tcW w:w="170" w:type="dxa"/>
            <w:vMerge w:val="restart"/>
            <w:tcBorders/>
            <w:shd w:fill="0D3F64" w:val="clear"/>
            <w:vAlign w:val="center"/>
          </w:tcPr>
          <w:p>
            <w:pPr>
              <w:pStyle w:val="TableContents"/>
              <w:bidi w:val="0"/>
              <w:spacing w:before="0" w:after="0"/>
              <w:jc w:val="left"/>
              <w:rPr/>
            </w:pPr>
            <w:r>
              <w:rPr/>
              <w:t> </w:t>
            </w:r>
          </w:p>
        </w:tc>
        <w:tc>
          <w:tcPr>
            <w:tcW w:w="170" w:type="dxa"/>
            <w:tcBorders>
              <w:bottom w:val="single" w:sz="8" w:space="0" w:color="FFFFFF"/>
            </w:tcBorders>
            <w:shd w:fill="0D3F64" w:val="clear"/>
            <w:tcMar>
              <w:bottom w:w="28" w:type="dxa"/>
            </w:tcMar>
            <w:vAlign w:val="center"/>
          </w:tcPr>
          <w:p>
            <w:pPr>
              <w:pStyle w:val="TableContents"/>
              <w:bidi w:val="0"/>
              <w:spacing w:before="0" w:after="0"/>
              <w:jc w:val="left"/>
              <w:rPr/>
            </w:pPr>
            <w:r>
              <w:rPr/>
              <w:t> </w:t>
            </w:r>
          </w:p>
        </w:tc>
        <w:tc>
          <w:tcPr>
            <w:tcW w:w="845" w:type="dxa"/>
            <w:gridSpan w:val="4"/>
            <w:tcBorders>
              <w:bottom w:val="single" w:sz="8" w:space="0" w:color="FFFFFF"/>
            </w:tcBorders>
            <w:shd w:fill="0D3F64" w:val="clear"/>
            <w:tcMar>
              <w:bottom w:w="58"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Independent</w:t>
            </w:r>
          </w:p>
        </w:tc>
        <w:tc>
          <w:tcPr>
            <w:tcW w:w="170" w:type="dxa"/>
            <w:tcBorders>
              <w:bottom w:val="single" w:sz="8" w:space="0" w:color="FFFFFF"/>
            </w:tcBorders>
            <w:shd w:fill="0D3F64" w:val="clear"/>
            <w:tcMar>
              <w:bottom w:w="28" w:type="dxa"/>
            </w:tcMar>
            <w:vAlign w:val="center"/>
          </w:tcPr>
          <w:p>
            <w:pPr>
              <w:pStyle w:val="TableContents"/>
              <w:bidi w:val="0"/>
              <w:spacing w:before="0" w:after="0"/>
              <w:jc w:val="left"/>
              <w:rPr/>
            </w:pPr>
            <w:r>
              <w:rPr/>
              <w:t> </w:t>
            </w:r>
          </w:p>
        </w:tc>
        <w:tc>
          <w:tcPr>
            <w:tcW w:w="170" w:type="dxa"/>
            <w:vMerge w:val="restart"/>
            <w:tcBorders/>
            <w:shd w:fill="0D3F64" w:val="clear"/>
            <w:vAlign w:val="center"/>
          </w:tcPr>
          <w:p>
            <w:pPr>
              <w:pStyle w:val="TableContents"/>
              <w:bidi w:val="0"/>
              <w:spacing w:before="0" w:after="0"/>
              <w:jc w:val="left"/>
              <w:rPr/>
            </w:pPr>
            <w:r>
              <w:rPr/>
              <w:t> </w:t>
            </w:r>
          </w:p>
        </w:tc>
        <w:tc>
          <w:tcPr>
            <w:tcW w:w="1155" w:type="dxa"/>
            <w:vMerge w:val="restart"/>
            <w:tcBorders/>
            <w:shd w:fill="0D3F64"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Committee</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Memberships</w:t>
            </w:r>
          </w:p>
        </w:tc>
        <w:tc>
          <w:tcPr>
            <w:tcW w:w="170" w:type="dxa"/>
            <w:vMerge w:val="restart"/>
            <w:tcBorders/>
            <w:shd w:fill="0D3F64" w:val="clear"/>
            <w:vAlign w:val="center"/>
          </w:tcPr>
          <w:p>
            <w:pPr>
              <w:pStyle w:val="TableContents"/>
              <w:bidi w:val="0"/>
              <w:spacing w:before="0" w:after="0"/>
              <w:jc w:val="left"/>
              <w:rPr/>
            </w:pPr>
            <w:r>
              <w:rPr/>
              <w:t> </w:t>
            </w:r>
          </w:p>
        </w:tc>
        <w:tc>
          <w:tcPr>
            <w:tcW w:w="170" w:type="dxa"/>
            <w:vMerge w:val="restart"/>
            <w:tcBorders/>
            <w:shd w:fill="0D3F64" w:val="clear"/>
            <w:vAlign w:val="center"/>
          </w:tcPr>
          <w:p>
            <w:pPr>
              <w:pStyle w:val="TableContents"/>
              <w:bidi w:val="0"/>
              <w:spacing w:before="0" w:after="0"/>
              <w:jc w:val="left"/>
              <w:rPr/>
            </w:pPr>
            <w:r>
              <w:rPr/>
              <w:t> </w:t>
            </w:r>
          </w:p>
        </w:tc>
        <w:tc>
          <w:tcPr>
            <w:tcW w:w="540" w:type="dxa"/>
            <w:vMerge w:val="restart"/>
            <w:tcBorders/>
            <w:shd w:fill="0D3F64"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Other Boards</w:t>
            </w:r>
          </w:p>
        </w:tc>
        <w:tc>
          <w:tcPr>
            <w:tcW w:w="217" w:type="dxa"/>
            <w:vMerge w:val="restart"/>
            <w:tcBorders/>
            <w:shd w:fill="0D3F64" w:val="clear"/>
            <w:vAlign w:val="center"/>
          </w:tcPr>
          <w:p>
            <w:pPr>
              <w:pStyle w:val="TableContents"/>
              <w:bidi w:val="0"/>
              <w:spacing w:before="0" w:after="0"/>
              <w:jc w:val="left"/>
              <w:rPr/>
            </w:pPr>
            <w:r>
              <w:rPr/>
              <w:t> </w:t>
            </w:r>
          </w:p>
        </w:tc>
      </w:tr>
      <w:tr>
        <w:trPr/>
        <w:tc>
          <w:tcPr>
            <w:tcW w:w="185" w:type="dxa"/>
            <w:vMerge w:val="continue"/>
            <w:tcBorders/>
            <w:shd w:fill="0D3F64" w:val="clear"/>
            <w:vAlign w:val="center"/>
          </w:tcPr>
          <w:p>
            <w:pPr>
              <w:pStyle w:val="Normal"/>
              <w:bidi w:val="0"/>
              <w:jc w:val="left"/>
              <w:rPr/>
            </w:pPr>
            <w:r>
              <w:rPr/>
            </w:r>
          </w:p>
        </w:tc>
        <w:tc>
          <w:tcPr>
            <w:tcW w:w="628" w:type="dxa"/>
            <w:vMerge w:val="continue"/>
            <w:tcBorders/>
            <w:shd w:fill="0D3F64" w:val="clear"/>
            <w:vAlign w:val="center"/>
          </w:tcPr>
          <w:p>
            <w:pPr>
              <w:pStyle w:val="Normal"/>
              <w:bidi w:val="0"/>
              <w:jc w:val="left"/>
              <w:rPr/>
            </w:pPr>
            <w:r>
              <w:rPr/>
            </w:r>
          </w:p>
        </w:tc>
        <w:tc>
          <w:tcPr>
            <w:tcW w:w="170" w:type="dxa"/>
            <w:vMerge w:val="continue"/>
            <w:tcBorders/>
            <w:shd w:fill="0D3F64" w:val="clear"/>
            <w:vAlign w:val="center"/>
          </w:tcPr>
          <w:p>
            <w:pPr>
              <w:pStyle w:val="Normal"/>
              <w:bidi w:val="0"/>
              <w:jc w:val="left"/>
              <w:rPr/>
            </w:pPr>
            <w:r>
              <w:rPr/>
            </w:r>
          </w:p>
        </w:tc>
        <w:tc>
          <w:tcPr>
            <w:tcW w:w="170" w:type="dxa"/>
            <w:vMerge w:val="continue"/>
            <w:tcBorders/>
            <w:shd w:fill="0D3F64" w:val="clear"/>
            <w:vAlign w:val="center"/>
          </w:tcPr>
          <w:p>
            <w:pPr>
              <w:pStyle w:val="Normal"/>
              <w:bidi w:val="0"/>
              <w:jc w:val="left"/>
              <w:rPr/>
            </w:pPr>
            <w:r>
              <w:rPr/>
            </w:r>
          </w:p>
        </w:tc>
        <w:tc>
          <w:tcPr>
            <w:tcW w:w="290" w:type="dxa"/>
            <w:vMerge w:val="continue"/>
            <w:tcBorders/>
            <w:shd w:fill="0D3F64" w:val="clear"/>
            <w:vAlign w:val="center"/>
          </w:tcPr>
          <w:p>
            <w:pPr>
              <w:pStyle w:val="Normal"/>
              <w:bidi w:val="0"/>
              <w:jc w:val="left"/>
              <w:rPr/>
            </w:pPr>
            <w:r>
              <w:rPr/>
            </w:r>
          </w:p>
        </w:tc>
        <w:tc>
          <w:tcPr>
            <w:tcW w:w="170" w:type="dxa"/>
            <w:vMerge w:val="continue"/>
            <w:tcBorders/>
            <w:shd w:fill="0D3F64" w:val="clear"/>
            <w:vAlign w:val="center"/>
          </w:tcPr>
          <w:p>
            <w:pPr>
              <w:pStyle w:val="Normal"/>
              <w:bidi w:val="0"/>
              <w:jc w:val="left"/>
              <w:rPr/>
            </w:pPr>
            <w:r>
              <w:rPr/>
            </w:r>
          </w:p>
        </w:tc>
        <w:tc>
          <w:tcPr>
            <w:tcW w:w="170" w:type="dxa"/>
            <w:vMerge w:val="continue"/>
            <w:tcBorders/>
            <w:shd w:fill="0D3F64" w:val="clear"/>
            <w:vAlign w:val="center"/>
          </w:tcPr>
          <w:p>
            <w:pPr>
              <w:pStyle w:val="Normal"/>
              <w:bidi w:val="0"/>
              <w:jc w:val="left"/>
              <w:rPr/>
            </w:pPr>
            <w:r>
              <w:rPr/>
            </w:r>
          </w:p>
        </w:tc>
        <w:tc>
          <w:tcPr>
            <w:tcW w:w="575" w:type="dxa"/>
            <w:vMerge w:val="continue"/>
            <w:tcBorders/>
            <w:shd w:fill="0D3F64" w:val="clear"/>
            <w:vAlign w:val="center"/>
          </w:tcPr>
          <w:p>
            <w:pPr>
              <w:pStyle w:val="Normal"/>
              <w:bidi w:val="0"/>
              <w:jc w:val="left"/>
              <w:rPr/>
            </w:pPr>
            <w:r>
              <w:rPr/>
            </w:r>
          </w:p>
        </w:tc>
        <w:tc>
          <w:tcPr>
            <w:tcW w:w="170" w:type="dxa"/>
            <w:vMerge w:val="continue"/>
            <w:tcBorders/>
            <w:shd w:fill="0D3F64" w:val="clear"/>
            <w:vAlign w:val="center"/>
          </w:tcPr>
          <w:p>
            <w:pPr>
              <w:pStyle w:val="Normal"/>
              <w:bidi w:val="0"/>
              <w:jc w:val="left"/>
              <w:rPr/>
            </w:pPr>
            <w:r>
              <w:rPr/>
            </w:r>
          </w:p>
        </w:tc>
        <w:tc>
          <w:tcPr>
            <w:tcW w:w="170" w:type="dxa"/>
            <w:vMerge w:val="continue"/>
            <w:tcBorders/>
            <w:shd w:fill="0D3F64" w:val="clear"/>
            <w:vAlign w:val="center"/>
          </w:tcPr>
          <w:p>
            <w:pPr>
              <w:pStyle w:val="Normal"/>
              <w:bidi w:val="0"/>
              <w:jc w:val="left"/>
              <w:rPr/>
            </w:pPr>
            <w:r>
              <w:rPr/>
            </w:r>
          </w:p>
        </w:tc>
        <w:tc>
          <w:tcPr>
            <w:tcW w:w="1459" w:type="dxa"/>
            <w:vMerge w:val="continue"/>
            <w:tcBorders/>
            <w:shd w:fill="0D3F64" w:val="clear"/>
            <w:vAlign w:val="center"/>
          </w:tcPr>
          <w:p>
            <w:pPr>
              <w:pStyle w:val="Normal"/>
              <w:bidi w:val="0"/>
              <w:jc w:val="left"/>
              <w:rPr/>
            </w:pPr>
            <w:r>
              <w:rPr/>
            </w:r>
          </w:p>
        </w:tc>
        <w:tc>
          <w:tcPr>
            <w:tcW w:w="170" w:type="dxa"/>
            <w:vMerge w:val="continue"/>
            <w:tcBorders/>
            <w:shd w:fill="0D3F64" w:val="clear"/>
            <w:vAlign w:val="center"/>
          </w:tcPr>
          <w:p>
            <w:pPr>
              <w:pStyle w:val="Normal"/>
              <w:bidi w:val="0"/>
              <w:jc w:val="left"/>
              <w:rPr/>
            </w:pPr>
            <w:r>
              <w:rPr/>
            </w:r>
          </w:p>
        </w:tc>
        <w:tc>
          <w:tcPr>
            <w:tcW w:w="170" w:type="dxa"/>
            <w:vMerge w:val="continue"/>
            <w:tcBorders/>
            <w:shd w:fill="0D3F64" w:val="clear"/>
            <w:vAlign w:val="center"/>
          </w:tcPr>
          <w:p>
            <w:pPr>
              <w:pStyle w:val="Normal"/>
              <w:bidi w:val="0"/>
              <w:jc w:val="left"/>
              <w:rPr/>
            </w:pPr>
            <w:r>
              <w:rPr/>
            </w:r>
          </w:p>
        </w:tc>
        <w:tc>
          <w:tcPr>
            <w:tcW w:w="971" w:type="dxa"/>
            <w:vMerge w:val="continue"/>
            <w:tcBorders/>
            <w:shd w:fill="0D3F64" w:val="clear"/>
            <w:vAlign w:val="center"/>
          </w:tcPr>
          <w:p>
            <w:pPr>
              <w:pStyle w:val="Normal"/>
              <w:bidi w:val="0"/>
              <w:jc w:val="left"/>
              <w:rPr/>
            </w:pPr>
            <w:r>
              <w:rPr/>
            </w:r>
          </w:p>
        </w:tc>
        <w:tc>
          <w:tcPr>
            <w:tcW w:w="170" w:type="dxa"/>
            <w:vMerge w:val="continue"/>
            <w:tcBorders/>
            <w:shd w:fill="0D3F64" w:val="clear"/>
            <w:vAlign w:val="center"/>
          </w:tcPr>
          <w:p>
            <w:pPr>
              <w:pStyle w:val="Normal"/>
              <w:bidi w:val="0"/>
              <w:jc w:val="left"/>
              <w:rPr/>
            </w:pPr>
            <w:r>
              <w:rPr/>
            </w:r>
          </w:p>
        </w:tc>
        <w:tc>
          <w:tcPr>
            <w:tcW w:w="170" w:type="dxa"/>
            <w:tcBorders/>
            <w:shd w:fill="0D3F64" w:val="clear"/>
            <w:vAlign w:val="center"/>
          </w:tcPr>
          <w:p>
            <w:pPr>
              <w:pStyle w:val="TableContents"/>
              <w:bidi w:val="0"/>
              <w:spacing w:before="0" w:after="0"/>
              <w:jc w:val="left"/>
              <w:rPr/>
            </w:pPr>
            <w:r>
              <w:rPr/>
              <w:t> </w:t>
            </w:r>
          </w:p>
        </w:tc>
        <w:tc>
          <w:tcPr>
            <w:tcW w:w="290" w:type="dxa"/>
            <w:tcBorders/>
            <w:shd w:fill="0D3F64"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Yes</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215" w:type="dxa"/>
            <w:tcBorders/>
            <w:shd w:fill="0D3F64"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No</w:t>
            </w:r>
          </w:p>
        </w:tc>
        <w:tc>
          <w:tcPr>
            <w:tcW w:w="170" w:type="dxa"/>
            <w:tcBorders/>
            <w:shd w:fill="0D3F64" w:val="clear"/>
            <w:vAlign w:val="center"/>
          </w:tcPr>
          <w:p>
            <w:pPr>
              <w:pStyle w:val="TableContents"/>
              <w:bidi w:val="0"/>
              <w:spacing w:before="0" w:after="0"/>
              <w:jc w:val="left"/>
              <w:rPr/>
            </w:pPr>
            <w:r>
              <w:rPr/>
              <w:t> </w:t>
            </w:r>
          </w:p>
        </w:tc>
        <w:tc>
          <w:tcPr>
            <w:tcW w:w="170" w:type="dxa"/>
            <w:vMerge w:val="continue"/>
            <w:tcBorders/>
            <w:shd w:fill="0D3F64" w:val="clear"/>
            <w:vAlign w:val="center"/>
          </w:tcPr>
          <w:p>
            <w:pPr>
              <w:pStyle w:val="Normal"/>
              <w:bidi w:val="0"/>
              <w:jc w:val="left"/>
              <w:rPr/>
            </w:pPr>
            <w:r>
              <w:rPr/>
            </w:r>
          </w:p>
        </w:tc>
        <w:tc>
          <w:tcPr>
            <w:tcW w:w="1155" w:type="dxa"/>
            <w:vMerge w:val="continue"/>
            <w:tcBorders/>
            <w:shd w:fill="0D3F64" w:val="clear"/>
            <w:vAlign w:val="center"/>
          </w:tcPr>
          <w:p>
            <w:pPr>
              <w:pStyle w:val="Normal"/>
              <w:bidi w:val="0"/>
              <w:jc w:val="left"/>
              <w:rPr/>
            </w:pPr>
            <w:r>
              <w:rPr/>
            </w:r>
          </w:p>
        </w:tc>
        <w:tc>
          <w:tcPr>
            <w:tcW w:w="170" w:type="dxa"/>
            <w:vMerge w:val="continue"/>
            <w:tcBorders/>
            <w:shd w:fill="0D3F64" w:val="clear"/>
            <w:vAlign w:val="center"/>
          </w:tcPr>
          <w:p>
            <w:pPr>
              <w:pStyle w:val="Normal"/>
              <w:bidi w:val="0"/>
              <w:jc w:val="left"/>
              <w:rPr/>
            </w:pPr>
            <w:r>
              <w:rPr/>
            </w:r>
          </w:p>
        </w:tc>
        <w:tc>
          <w:tcPr>
            <w:tcW w:w="170" w:type="dxa"/>
            <w:vMerge w:val="continue"/>
            <w:tcBorders/>
            <w:shd w:fill="0D3F64" w:val="clear"/>
            <w:vAlign w:val="center"/>
          </w:tcPr>
          <w:p>
            <w:pPr>
              <w:pStyle w:val="Normal"/>
              <w:bidi w:val="0"/>
              <w:jc w:val="left"/>
              <w:rPr/>
            </w:pPr>
            <w:r>
              <w:rPr/>
            </w:r>
          </w:p>
        </w:tc>
        <w:tc>
          <w:tcPr>
            <w:tcW w:w="540" w:type="dxa"/>
            <w:vMerge w:val="continue"/>
            <w:tcBorders/>
            <w:shd w:fill="0D3F64" w:val="clear"/>
            <w:vAlign w:val="center"/>
          </w:tcPr>
          <w:p>
            <w:pPr>
              <w:pStyle w:val="Normal"/>
              <w:bidi w:val="0"/>
              <w:jc w:val="left"/>
              <w:rPr/>
            </w:pPr>
            <w:r>
              <w:rPr/>
            </w:r>
          </w:p>
        </w:tc>
        <w:tc>
          <w:tcPr>
            <w:tcW w:w="217" w:type="dxa"/>
            <w:vMerge w:val="continue"/>
            <w:tcBorders/>
            <w:shd w:fill="0D3F64" w:val="clear"/>
            <w:vAlign w:val="center"/>
          </w:tcPr>
          <w:p>
            <w:pPr>
              <w:pStyle w:val="Normal"/>
              <w:bidi w:val="0"/>
              <w:jc w:val="left"/>
              <w:rPr/>
            </w:pPr>
            <w:r>
              <w:rPr/>
            </w:r>
          </w:p>
        </w:tc>
      </w:tr>
      <w:tr>
        <w:trPr/>
        <w:tc>
          <w:tcPr>
            <w:tcW w:w="185" w:type="dxa"/>
            <w:tcBorders/>
            <w:vAlign w:val="center"/>
          </w:tcPr>
          <w:p>
            <w:pPr>
              <w:pStyle w:val="TableContents"/>
              <w:bidi w:val="0"/>
              <w:spacing w:before="0" w:after="0"/>
              <w:jc w:val="left"/>
              <w:rPr/>
            </w:pPr>
            <w:r>
              <w:rPr/>
              <w:t> </w:t>
            </w:r>
          </w:p>
        </w:tc>
        <w:tc>
          <w:tcPr>
            <w:tcW w:w="628" w:type="dxa"/>
            <w:tcBorders/>
            <w:vAlign w:val="center"/>
          </w:tcPr>
          <w:p>
            <w:pPr>
              <w:pStyle w:val="TableContents"/>
              <w:bidi w:val="0"/>
              <w:spacing w:before="0" w:after="283"/>
              <w:ind w:left="20" w:right="0" w:hanging="0"/>
              <w:jc w:val="left"/>
              <w:rPr>
                <w:rFonts w:ascii="Arial;Helvetica;sans-serif" w:hAnsi="Arial;Helvetica;sans-serif"/>
                <w:color w:val="4C4C4C"/>
                <w:sz w:val="15"/>
              </w:rPr>
            </w:pPr>
            <w:r>
              <w:rPr>
                <w:rFonts w:ascii="Arial;Helvetica;sans-serif" w:hAnsi="Arial;Helvetica;sans-serif"/>
                <w:color w:val="4C4C4C"/>
                <w:sz w:val="15"/>
              </w:rPr>
              <w:t>Haiping Dun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jc w:val="center"/>
              <w:rPr>
                <w:rFonts w:ascii="Arial;Helvetica;sans-serif" w:hAnsi="Arial;Helvetica;sans-serif"/>
                <w:color w:val="4C4C4C"/>
                <w:sz w:val="15"/>
              </w:rPr>
            </w:pPr>
            <w:r>
              <w:rPr>
                <w:rFonts w:ascii="Arial;Helvetica;sans-serif" w:hAnsi="Arial;Helvetica;sans-serif"/>
                <w:color w:val="4C4C4C"/>
                <w:sz w:val="15"/>
              </w:rPr>
              <w:t>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center"/>
              <w:rPr>
                <w:rFonts w:ascii="Arial;Helvetica;sans-serif" w:hAnsi="Arial;Helvetica;sans-serif"/>
                <w:color w:val="4C4C4C"/>
                <w:sz w:val="15"/>
              </w:rPr>
            </w:pPr>
            <w:r>
              <w:rPr>
                <w:rFonts w:ascii="Arial;Helvetica;sans-serif" w:hAnsi="Arial;Helvetica;sans-serif"/>
                <w:color w:val="4C4C4C"/>
                <w:sz w:val="15"/>
              </w:rPr>
              <w:t>2003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59" w:type="dxa"/>
            <w:tcBorders/>
            <w:vAlign w:val="center"/>
          </w:tcPr>
          <w:p>
            <w:pPr>
              <w:pStyle w:val="TableContents"/>
              <w:bidi w:val="0"/>
              <w:spacing w:before="0" w:after="283"/>
              <w:ind w:left="0" w:right="0" w:hanging="0"/>
              <w:jc w:val="left"/>
              <w:rPr>
                <w:rFonts w:ascii="Arial;Helvetica;sans-serif" w:hAnsi="Arial;Helvetica;sans-serif"/>
                <w:color w:val="4C4C4C"/>
                <w:sz w:val="15"/>
              </w:rPr>
            </w:pPr>
            <w:r>
              <w:rPr>
                <w:rFonts w:ascii="Arial;Helvetica;sans-serif" w:hAnsi="Arial;Helvetica;sans-serif"/>
                <w:color w:val="4C4C4C"/>
                <w:sz w:val="15"/>
              </w:rPr>
              <w:t>Former Senior Director of Intel Corporation</w:t>
            </w:r>
          </w:p>
          <w:p>
            <w:pPr>
              <w:pStyle w:val="TableContents"/>
              <w:bidi w:val="0"/>
              <w:spacing w:before="0" w:after="283"/>
              <w:ind w:left="0" w:right="0" w:hanging="0"/>
              <w:jc w:val="left"/>
              <w:rPr>
                <w:rFonts w:ascii="Arial;Helvetica;sans-serif" w:hAnsi="Arial;Helvetica;sans-serif"/>
                <w:color w:val="4C4C4C"/>
                <w:sz w:val="15"/>
              </w:rPr>
            </w:pPr>
            <w:r>
              <w:rPr>
                <w:rFonts w:ascii="Arial;Helvetica;sans-serif" w:hAnsi="Arial;Helvetica;sans-serif"/>
                <w:color w:val="4C4C4C"/>
                <w:sz w:val="15"/>
              </w:rPr>
              <w:t>Former President of Champion Microelectronic Corp.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1" w:type="dxa"/>
            <w:tcBorders/>
            <w:vAlign w:val="center"/>
          </w:tcPr>
          <w:p>
            <w:pPr>
              <w:pStyle w:val="TableContents"/>
              <w:bidi w:val="0"/>
              <w:spacing w:before="0" w:after="283"/>
              <w:ind w:left="0" w:right="0" w:hanging="0"/>
              <w:jc w:val="left"/>
              <w:rPr>
                <w:color w:val="3F609D"/>
              </w:rPr>
            </w:pPr>
            <w:r>
              <w:rPr>
                <w:color w:val="3F609D"/>
              </w:rPr>
              <w:t>•</w:t>
            </w:r>
            <w:r>
              <w:rPr>
                <w:color w:val="4C4C4C"/>
              </w:rPr>
              <w:t> </w:t>
            </w:r>
            <w:r>
              <w:rPr>
                <w:rFonts w:ascii="Arial;Helvetica;sans-serif" w:hAnsi="Arial;Helvetica;sans-serif"/>
                <w:color w:val="4C4C4C"/>
                <w:sz w:val="15"/>
              </w:rPr>
              <w:t>Industry</w:t>
            </w:r>
          </w:p>
          <w:p>
            <w:pPr>
              <w:pStyle w:val="TableContents"/>
              <w:bidi w:val="0"/>
              <w:spacing w:before="0" w:after="283"/>
              <w:ind w:left="0" w:right="0" w:hanging="0"/>
              <w:jc w:val="left"/>
              <w:rPr>
                <w:color w:val="3F609D"/>
              </w:rPr>
            </w:pPr>
            <w:r>
              <w:rPr>
                <w:color w:val="3F609D"/>
              </w:rPr>
              <w:t>•</w:t>
            </w:r>
            <w:r>
              <w:rPr>
                <w:color w:val="4C4C4C"/>
              </w:rPr>
              <w:t> </w:t>
            </w:r>
            <w:r>
              <w:rPr>
                <w:rFonts w:ascii="Arial;Helvetica;sans-serif" w:hAnsi="Arial;Helvetica;sans-serif"/>
                <w:color w:val="4C4C4C"/>
                <w:sz w:val="15"/>
              </w:rPr>
              <w:t>Global</w:t>
            </w:r>
          </w:p>
          <w:p>
            <w:pPr>
              <w:pStyle w:val="TableContents"/>
              <w:bidi w:val="0"/>
              <w:spacing w:before="0" w:after="283"/>
              <w:ind w:left="0" w:right="0" w:hanging="0"/>
              <w:jc w:val="left"/>
              <w:rPr>
                <w:color w:val="3F609D"/>
              </w:rPr>
            </w:pPr>
            <w:r>
              <w:rPr>
                <w:color w:val="3F609D"/>
              </w:rPr>
              <w:t>•</w:t>
            </w:r>
            <w:r>
              <w:rPr>
                <w:color w:val="4C4C4C"/>
              </w:rPr>
              <w:t> </w:t>
            </w:r>
            <w:r>
              <w:rPr>
                <w:rFonts w:ascii="Arial;Helvetica;sans-serif" w:hAnsi="Arial;Helvetica;sans-serif"/>
                <w:color w:val="4C4C4C"/>
                <w:sz w:val="15"/>
              </w:rPr>
              <w:t>Leadership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jc w:val="center"/>
              <w:rPr>
                <w:color w:val="3F609D"/>
              </w:rPr>
            </w:pPr>
            <w:r>
              <w:rPr>
                <w:color w:val="3F609D"/>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4C4C4C"/>
              </w:rPr>
            </w:pPr>
            <w:r>
              <w:rPr>
                <w:color w:val="4C4C4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55" w:type="dxa"/>
            <w:tcBorders/>
            <w:vAlign w:val="center"/>
          </w:tcPr>
          <w:p>
            <w:pPr>
              <w:pStyle w:val="TableContents"/>
              <w:bidi w:val="0"/>
              <w:spacing w:before="0" w:after="283"/>
              <w:ind w:left="0" w:right="0" w:hanging="0"/>
              <w:jc w:val="left"/>
              <w:rPr>
                <w:color w:val="3F609D"/>
              </w:rPr>
            </w:pPr>
            <w:r>
              <w:rPr>
                <w:color w:val="3F609D"/>
              </w:rPr>
              <w:t>•</w:t>
            </w:r>
            <w:r>
              <w:rPr>
                <w:color w:val="4C4C4C"/>
              </w:rPr>
              <w:t> </w:t>
            </w:r>
            <w:r>
              <w:rPr>
                <w:rFonts w:ascii="Arial;Helvetica;sans-serif" w:hAnsi="Arial;Helvetica;sans-serif"/>
                <w:color w:val="4C4C4C"/>
                <w:sz w:val="15"/>
              </w:rPr>
              <w:t>Audit</w:t>
            </w:r>
          </w:p>
          <w:p>
            <w:pPr>
              <w:pStyle w:val="TableContents"/>
              <w:bidi w:val="0"/>
              <w:spacing w:before="0" w:after="283"/>
              <w:ind w:left="0" w:right="0" w:hanging="0"/>
              <w:jc w:val="left"/>
              <w:rPr>
                <w:color w:val="3F609D"/>
              </w:rPr>
            </w:pPr>
            <w:r>
              <w:rPr>
                <w:color w:val="3F609D"/>
              </w:rPr>
              <w:t>•</w:t>
            </w:r>
            <w:r>
              <w:rPr>
                <w:color w:val="4C4C4C"/>
              </w:rPr>
              <w:t> </w:t>
            </w:r>
            <w:r>
              <w:rPr>
                <w:rFonts w:ascii="Arial;Helvetica;sans-serif" w:hAnsi="Arial;Helvetica;sans-serif"/>
                <w:color w:val="4C4C4C"/>
                <w:sz w:val="15"/>
              </w:rPr>
              <w:t>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0" w:type="dxa"/>
            <w:tcBorders/>
            <w:vAlign w:val="center"/>
          </w:tcPr>
          <w:p>
            <w:pPr>
              <w:pStyle w:val="TableContents"/>
              <w:bidi w:val="0"/>
              <w:spacing w:before="0" w:after="0"/>
              <w:jc w:val="left"/>
              <w:rPr>
                <w:color w:val="4C4C4C"/>
              </w:rPr>
            </w:pPr>
            <w:r>
              <w:rPr>
                <w:color w:val="4C4C4C"/>
              </w:rPr>
              <w:t> </w:t>
            </w:r>
          </w:p>
        </w:tc>
        <w:tc>
          <w:tcPr>
            <w:tcW w:w="217" w:type="dxa"/>
            <w:tcBorders/>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628" w:type="dxa"/>
            <w:tcBorders/>
            <w:shd w:fill="BAE2F8" w:val="clear"/>
            <w:vAlign w:val="center"/>
          </w:tcPr>
          <w:p>
            <w:pPr>
              <w:pStyle w:val="TableContents"/>
              <w:bidi w:val="0"/>
              <w:spacing w:before="0" w:after="283"/>
              <w:ind w:left="20" w:right="0" w:hanging="0"/>
              <w:jc w:val="left"/>
              <w:rPr>
                <w:rFonts w:ascii="Arial;Helvetica;sans-serif" w:hAnsi="Arial;Helvetica;sans-serif"/>
                <w:color w:val="4C4C4C"/>
                <w:sz w:val="15"/>
              </w:rPr>
            </w:pPr>
            <w:r>
              <w:rPr>
                <w:rFonts w:ascii="Arial;Helvetica;sans-serif" w:hAnsi="Arial;Helvetica;sans-serif"/>
                <w:color w:val="4C4C4C"/>
                <w:sz w:val="15"/>
              </w:rPr>
              <w:t>Tracy Liu</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290" w:type="dxa"/>
            <w:tcBorders/>
            <w:shd w:fill="BAE2F8" w:val="clear"/>
            <w:vAlign w:val="center"/>
          </w:tcPr>
          <w:p>
            <w:pPr>
              <w:pStyle w:val="TableContents"/>
              <w:bidi w:val="0"/>
              <w:spacing w:before="0" w:after="283"/>
              <w:jc w:val="center"/>
              <w:rPr>
                <w:rFonts w:ascii="Arial;Helvetica;sans-serif" w:hAnsi="Arial;Helvetica;sans-serif"/>
                <w:color w:val="4C4C4C"/>
                <w:sz w:val="15"/>
              </w:rPr>
            </w:pPr>
            <w:r>
              <w:rPr>
                <w:rFonts w:ascii="Arial;Helvetica;sans-serif" w:hAnsi="Arial;Helvetica;sans-serif"/>
                <w:color w:val="4C4C4C"/>
                <w:sz w:val="15"/>
              </w:rPr>
              <w:t>60</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575" w:type="dxa"/>
            <w:tcBorders/>
            <w:shd w:fill="BAE2F8" w:val="clear"/>
            <w:vAlign w:val="center"/>
          </w:tcPr>
          <w:p>
            <w:pPr>
              <w:pStyle w:val="TableContents"/>
              <w:bidi w:val="0"/>
              <w:spacing w:before="0" w:after="283"/>
              <w:jc w:val="center"/>
              <w:rPr>
                <w:rFonts w:ascii="Arial;Helvetica;sans-serif" w:hAnsi="Arial;Helvetica;sans-serif"/>
                <w:color w:val="4C4C4C"/>
                <w:sz w:val="15"/>
              </w:rPr>
            </w:pPr>
            <w:r>
              <w:rPr>
                <w:rFonts w:ascii="Arial;Helvetica;sans-serif" w:hAnsi="Arial;Helvetica;sans-serif"/>
                <w:color w:val="4C4C4C"/>
                <w:sz w:val="15"/>
              </w:rPr>
              <w:t>2016</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459" w:type="dxa"/>
            <w:tcBorders/>
            <w:shd w:fill="BAE2F8" w:val="clear"/>
            <w:vAlign w:val="center"/>
          </w:tcPr>
          <w:p>
            <w:pPr>
              <w:pStyle w:val="TableContents"/>
              <w:bidi w:val="0"/>
              <w:spacing w:before="0" w:after="283"/>
              <w:ind w:left="0" w:right="0" w:hanging="0"/>
              <w:jc w:val="left"/>
              <w:rPr>
                <w:color w:val="4C4C4C"/>
              </w:rPr>
            </w:pPr>
            <w:r>
              <w:rPr>
                <w:color w:val="4C4C4C"/>
              </w:rPr>
              <w:t>​</w:t>
            </w:r>
            <w:r>
              <w:rPr>
                <w:rFonts w:ascii="Arial;Helvetica;sans-serif" w:hAnsi="Arial;Helvetica;sans-serif"/>
                <w:color w:val="4C4C4C"/>
                <w:sz w:val="15"/>
              </w:rPr>
              <w:t>CEO of HM CPA Services, P.C.</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971" w:type="dxa"/>
            <w:tcBorders/>
            <w:shd w:fill="BAE2F8" w:val="clear"/>
            <w:vAlign w:val="center"/>
          </w:tcPr>
          <w:p>
            <w:pPr>
              <w:pStyle w:val="TableContents"/>
              <w:bidi w:val="0"/>
              <w:spacing w:before="0" w:after="283"/>
              <w:ind w:left="0" w:right="0" w:hanging="0"/>
              <w:jc w:val="left"/>
              <w:rPr>
                <w:color w:val="4694D0"/>
              </w:rPr>
            </w:pPr>
            <w:r>
              <w:rPr>
                <w:color w:val="4694D0"/>
              </w:rPr>
              <w:t>•</w:t>
            </w:r>
            <w:r>
              <w:rPr>
                <w:color w:val="4C4C4C"/>
              </w:rPr>
              <w:t> </w:t>
            </w:r>
            <w:r>
              <w:rPr>
                <w:rFonts w:ascii="Arial;Helvetica;sans-serif" w:hAnsi="Arial;Helvetica;sans-serif"/>
                <w:color w:val="4C4C4C"/>
                <w:sz w:val="15"/>
              </w:rPr>
              <w:t>Finance</w:t>
            </w:r>
          </w:p>
          <w:p>
            <w:pPr>
              <w:pStyle w:val="TableContents"/>
              <w:bidi w:val="0"/>
              <w:spacing w:before="0" w:after="283"/>
              <w:ind w:left="0" w:right="0" w:hanging="0"/>
              <w:jc w:val="left"/>
              <w:rPr>
                <w:color w:val="4694D0"/>
              </w:rPr>
            </w:pPr>
            <w:r>
              <w:rPr>
                <w:color w:val="4694D0"/>
              </w:rPr>
              <w:t>•</w:t>
            </w:r>
            <w:r>
              <w:rPr>
                <w:color w:val="4C4C4C"/>
              </w:rPr>
              <w:t> </w:t>
            </w:r>
            <w:r>
              <w:rPr>
                <w:rFonts w:ascii="Arial;Helvetica;sans-serif" w:hAnsi="Arial;Helvetica;sans-serif"/>
                <w:color w:val="4C4C4C"/>
                <w:sz w:val="15"/>
              </w:rPr>
              <w:t>Leadership</w:t>
            </w:r>
          </w:p>
          <w:p>
            <w:pPr>
              <w:pStyle w:val="TableContents"/>
              <w:bidi w:val="0"/>
              <w:spacing w:before="0" w:after="283"/>
              <w:ind w:left="0" w:right="0" w:hanging="0"/>
              <w:jc w:val="left"/>
              <w:rPr>
                <w:color w:val="4694D0"/>
              </w:rPr>
            </w:pPr>
            <w:r>
              <w:rPr>
                <w:color w:val="4694D0"/>
              </w:rPr>
              <w:t>•</w:t>
            </w:r>
            <w:r>
              <w:rPr>
                <w:color w:val="4C4C4C"/>
              </w:rPr>
              <w:t> </w:t>
            </w:r>
            <w:r>
              <w:rPr>
                <w:rFonts w:ascii="Arial;Helvetica;sans-serif" w:hAnsi="Arial;Helvetica;sans-serif"/>
                <w:color w:val="4C4C4C"/>
                <w:sz w:val="15"/>
              </w:rPr>
              <w:t>Global</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290" w:type="dxa"/>
            <w:tcBorders/>
            <w:shd w:fill="BAE2F8" w:val="clear"/>
            <w:vAlign w:val="center"/>
          </w:tcPr>
          <w:p>
            <w:pPr>
              <w:pStyle w:val="TableContents"/>
              <w:bidi w:val="0"/>
              <w:spacing w:before="0" w:after="283"/>
              <w:jc w:val="center"/>
              <w:rPr>
                <w:color w:val="4694D0"/>
              </w:rPr>
            </w:pPr>
            <w:r>
              <w:rPr>
                <w:color w:val="4694D0"/>
              </w:rPr>
              <w:t>✔</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215" w:type="dxa"/>
            <w:tcBorders/>
            <w:shd w:fill="BAE2F8" w:val="clear"/>
            <w:vAlign w:val="center"/>
          </w:tcPr>
          <w:p>
            <w:pPr>
              <w:pStyle w:val="TableContents"/>
              <w:bidi w:val="0"/>
              <w:spacing w:before="0" w:after="283"/>
              <w:jc w:val="center"/>
              <w:rPr>
                <w:color w:val="4C4C4C"/>
              </w:rPr>
            </w:pPr>
            <w:r>
              <w:rPr>
                <w:color w:val="4C4C4C"/>
              </w:rPr>
              <w:t>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155" w:type="dxa"/>
            <w:tcBorders/>
            <w:shd w:fill="BAE2F8" w:val="clear"/>
            <w:vAlign w:val="center"/>
          </w:tcPr>
          <w:p>
            <w:pPr>
              <w:pStyle w:val="TableContents"/>
              <w:bidi w:val="0"/>
              <w:spacing w:before="0" w:after="283"/>
              <w:ind w:left="0" w:right="0" w:hanging="0"/>
              <w:jc w:val="left"/>
              <w:rPr>
                <w:color w:val="4694D0"/>
              </w:rPr>
            </w:pPr>
            <w:r>
              <w:rPr>
                <w:color w:val="4694D0"/>
              </w:rPr>
              <w:t>•</w:t>
            </w:r>
            <w:r>
              <w:rPr>
                <w:color w:val="4C4C4C"/>
              </w:rPr>
              <w:t> </w:t>
            </w:r>
          </w:p>
          <w:p>
            <w:pPr>
              <w:pStyle w:val="TableContents"/>
              <w:bidi w:val="0"/>
              <w:spacing w:before="0" w:after="283"/>
              <w:jc w:val="left"/>
              <w:rPr>
                <w:rFonts w:ascii="Arial;Helvetica;sans-serif" w:hAnsi="Arial;Helvetica;sans-serif"/>
                <w:color w:val="4C4C4C"/>
                <w:sz w:val="15"/>
              </w:rPr>
            </w:pPr>
            <w:r>
              <w:rPr>
                <w:rFonts w:ascii="Arial;Helvetica;sans-serif" w:hAnsi="Arial;Helvetica;sans-serif"/>
                <w:color w:val="4C4C4C"/>
                <w:sz w:val="15"/>
              </w:rPr>
              <w:t>Audit</w:t>
            </w:r>
          </w:p>
          <w:p>
            <w:pPr>
              <w:pStyle w:val="TableContents"/>
              <w:bidi w:val="0"/>
              <w:spacing w:before="0" w:after="283"/>
              <w:ind w:left="0" w:right="0" w:hanging="0"/>
              <w:jc w:val="left"/>
              <w:rPr>
                <w:color w:val="4694D0"/>
              </w:rPr>
            </w:pPr>
            <w:r>
              <w:rPr>
                <w:color w:val="4694D0"/>
              </w:rPr>
              <w:t>•</w:t>
            </w:r>
            <w:r>
              <w:rPr>
                <w:color w:val="4C4C4C"/>
              </w:rPr>
              <w:t> </w:t>
            </w:r>
          </w:p>
          <w:p>
            <w:pPr>
              <w:pStyle w:val="TableContents"/>
              <w:bidi w:val="0"/>
              <w:spacing w:before="0" w:after="283"/>
              <w:jc w:val="left"/>
              <w:rPr>
                <w:rFonts w:ascii="Arial;Helvetica;sans-serif" w:hAnsi="Arial;Helvetica;sans-serif"/>
                <w:color w:val="4C4C4C"/>
                <w:sz w:val="15"/>
              </w:rPr>
            </w:pPr>
            <w:r>
              <w:rPr>
                <w:rFonts w:ascii="Arial;Helvetica;sans-serif" w:hAnsi="Arial;Helvetica;sans-serif"/>
                <w:color w:val="4C4C4C"/>
                <w:sz w:val="15"/>
              </w:rPr>
              <w:t>Compensation</w:t>
            </w:r>
          </w:p>
          <w:p>
            <w:pPr>
              <w:pStyle w:val="TableContents"/>
              <w:bidi w:val="0"/>
              <w:spacing w:before="0" w:after="283"/>
              <w:ind w:left="0" w:right="0" w:hanging="0"/>
              <w:jc w:val="left"/>
              <w:rPr>
                <w:color w:val="4694D0"/>
              </w:rPr>
            </w:pPr>
            <w:r>
              <w:rPr>
                <w:color w:val="4694D0"/>
              </w:rPr>
              <w:t>•</w:t>
            </w:r>
            <w:r>
              <w:rPr>
                <w:color w:val="4C4C4C"/>
              </w:rPr>
              <w:t> </w:t>
            </w:r>
          </w:p>
          <w:p>
            <w:pPr>
              <w:pStyle w:val="TableContents"/>
              <w:bidi w:val="0"/>
              <w:spacing w:before="0" w:after="283"/>
              <w:jc w:val="left"/>
              <w:rPr>
                <w:rFonts w:ascii="Arial;Helvetica;sans-serif" w:hAnsi="Arial;Helvetica;sans-serif"/>
                <w:color w:val="4C4C4C"/>
                <w:sz w:val="15"/>
              </w:rPr>
            </w:pPr>
            <w:r>
              <w:rPr>
                <w:rFonts w:ascii="Arial;Helvetica;sans-serif" w:hAnsi="Arial;Helvetica;sans-serif"/>
                <w:color w:val="4C4C4C"/>
                <w:sz w:val="15"/>
              </w:rPr>
              <w:t>Nominating and Governance</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540" w:type="dxa"/>
            <w:tcBorders/>
            <w:shd w:fill="BAE2F8" w:val="clear"/>
            <w:vAlign w:val="center"/>
          </w:tcPr>
          <w:p>
            <w:pPr>
              <w:pStyle w:val="TableContents"/>
              <w:bidi w:val="0"/>
              <w:spacing w:before="0" w:after="283"/>
              <w:ind w:left="0" w:right="0" w:hanging="0"/>
              <w:jc w:val="left"/>
              <w:rPr>
                <w:color w:val="4C4C4C"/>
              </w:rPr>
            </w:pPr>
            <w:r>
              <w:rPr>
                <w:color w:val="4C4C4C"/>
              </w:rPr>
              <w:t> </w:t>
            </w:r>
          </w:p>
        </w:tc>
        <w:tc>
          <w:tcPr>
            <w:tcW w:w="217" w:type="dxa"/>
            <w:tcBorders/>
            <w:shd w:fill="BAE2F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28" w:type="dxa"/>
            <w:tcBorders/>
            <w:vAlign w:val="center"/>
          </w:tcPr>
          <w:p>
            <w:pPr>
              <w:pStyle w:val="TableContents"/>
              <w:bidi w:val="0"/>
              <w:spacing w:before="0" w:after="283"/>
              <w:ind w:left="20" w:right="0" w:hanging="0"/>
              <w:jc w:val="left"/>
              <w:rPr>
                <w:rFonts w:ascii="Arial;Helvetica;sans-serif" w:hAnsi="Arial;Helvetica;sans-serif"/>
                <w:color w:val="4C4C4C"/>
                <w:sz w:val="15"/>
              </w:rPr>
            </w:pPr>
            <w:r>
              <w:rPr>
                <w:rFonts w:ascii="Arial;Helvetica;sans-serif" w:hAnsi="Arial;Helvetica;sans-serif"/>
                <w:color w:val="4C4C4C"/>
                <w:sz w:val="15"/>
              </w:rPr>
              <w:t>David H. Wang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jc w:val="center"/>
              <w:rPr>
                <w:rFonts w:ascii="Arial;Helvetica;sans-serif" w:hAnsi="Arial;Helvetica;sans-serif"/>
                <w:color w:val="4C4C4C"/>
                <w:sz w:val="15"/>
              </w:rPr>
            </w:pPr>
            <w:r>
              <w:rPr>
                <w:rFonts w:ascii="Arial;Helvetica;sans-serif" w:hAnsi="Arial;Helvetica;sans-serif"/>
                <w:color w:val="4C4C4C"/>
                <w:sz w:val="15"/>
              </w:rPr>
              <w:t>63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center"/>
              <w:rPr>
                <w:rFonts w:ascii="Arial;Helvetica;sans-serif" w:hAnsi="Arial;Helvetica;sans-serif"/>
                <w:color w:val="4C4C4C"/>
                <w:sz w:val="15"/>
              </w:rPr>
            </w:pPr>
            <w:r>
              <w:rPr>
                <w:rFonts w:ascii="Arial;Helvetica;sans-serif" w:hAnsi="Arial;Helvetica;sans-serif"/>
                <w:color w:val="4C4C4C"/>
                <w:sz w:val="15"/>
              </w:rPr>
              <w:t>1998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59" w:type="dxa"/>
            <w:tcBorders/>
            <w:vAlign w:val="center"/>
          </w:tcPr>
          <w:p>
            <w:pPr>
              <w:pStyle w:val="TableContents"/>
              <w:bidi w:val="0"/>
              <w:spacing w:before="0" w:after="283"/>
              <w:ind w:left="0" w:right="0" w:hanging="0"/>
              <w:jc w:val="left"/>
              <w:rPr>
                <w:rFonts w:ascii="Arial;Helvetica;sans-serif" w:hAnsi="Arial;Helvetica;sans-serif"/>
                <w:color w:val="4C4C4C"/>
                <w:sz w:val="15"/>
              </w:rPr>
            </w:pPr>
            <w:r>
              <w:rPr>
                <w:rFonts w:ascii="Arial;Helvetica;sans-serif" w:hAnsi="Arial;Helvetica;sans-serif"/>
                <w:color w:val="4C4C4C"/>
                <w:sz w:val="15"/>
              </w:rPr>
              <w:t>Founder, Chief Executive Officer and President of ACM Research,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1" w:type="dxa"/>
            <w:tcBorders/>
            <w:vAlign w:val="center"/>
          </w:tcPr>
          <w:p>
            <w:pPr>
              <w:pStyle w:val="TableContents"/>
              <w:bidi w:val="0"/>
              <w:spacing w:before="0" w:after="283"/>
              <w:ind w:left="0" w:right="0" w:hanging="0"/>
              <w:jc w:val="left"/>
              <w:rPr>
                <w:color w:val="3F609D"/>
              </w:rPr>
            </w:pPr>
            <w:r>
              <w:rPr>
                <w:color w:val="3F609D"/>
              </w:rPr>
              <w:t>•</w:t>
            </w:r>
            <w:r>
              <w:rPr>
                <w:color w:val="4C4C4C"/>
              </w:rPr>
              <w:t> </w:t>
            </w:r>
            <w:r>
              <w:rPr>
                <w:rFonts w:ascii="Arial;Helvetica;sans-serif" w:hAnsi="Arial;Helvetica;sans-serif"/>
                <w:color w:val="4C4C4C"/>
                <w:sz w:val="15"/>
              </w:rPr>
              <w:t>Industry</w:t>
            </w:r>
          </w:p>
          <w:p>
            <w:pPr>
              <w:pStyle w:val="TableContents"/>
              <w:bidi w:val="0"/>
              <w:spacing w:before="0" w:after="283"/>
              <w:ind w:left="0" w:right="0" w:hanging="0"/>
              <w:jc w:val="left"/>
              <w:rPr>
                <w:color w:val="3F609D"/>
              </w:rPr>
            </w:pPr>
            <w:r>
              <w:rPr>
                <w:color w:val="3F609D"/>
              </w:rPr>
              <w:t>•</w:t>
            </w:r>
            <w:r>
              <w:rPr>
                <w:color w:val="4C4C4C"/>
              </w:rPr>
              <w:t> </w:t>
            </w:r>
            <w:r>
              <w:rPr>
                <w:rFonts w:ascii="Arial;Helvetica;sans-serif" w:hAnsi="Arial;Helvetica;sans-serif"/>
                <w:color w:val="4C4C4C"/>
                <w:sz w:val="15"/>
              </w:rPr>
              <w:t>Innovation</w:t>
            </w:r>
          </w:p>
          <w:p>
            <w:pPr>
              <w:pStyle w:val="TableContents"/>
              <w:bidi w:val="0"/>
              <w:spacing w:before="0" w:after="283"/>
              <w:ind w:left="0" w:right="0" w:hanging="0"/>
              <w:jc w:val="left"/>
              <w:rPr>
                <w:color w:val="3F609D"/>
              </w:rPr>
            </w:pPr>
            <w:r>
              <w:rPr>
                <w:color w:val="3F609D"/>
              </w:rPr>
              <w:t>•</w:t>
            </w:r>
            <w:r>
              <w:rPr>
                <w:color w:val="4C4C4C"/>
              </w:rPr>
              <w:t> </w:t>
            </w:r>
            <w:r>
              <w:rPr>
                <w:rFonts w:ascii="Arial;Helvetica;sans-serif" w:hAnsi="Arial;Helvetica;sans-serif"/>
                <w:color w:val="4C4C4C"/>
                <w:sz w:val="15"/>
              </w:rPr>
              <w:t>Leadership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0"/>
              <w:jc w:val="left"/>
              <w:rPr>
                <w:color w:val="4C4C4C"/>
              </w:rPr>
            </w:pPr>
            <w:r>
              <w:rPr>
                <w:color w:val="4C4C4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283"/>
              <w:jc w:val="center"/>
              <w:rPr>
                <w:color w:val="3F609D"/>
              </w:rPr>
            </w:pPr>
            <w:r>
              <w:rPr>
                <w:color w:val="3F609D"/>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55" w:type="dxa"/>
            <w:tcBorders/>
            <w:vAlign w:val="center"/>
          </w:tcPr>
          <w:p>
            <w:pPr>
              <w:pStyle w:val="TableContents"/>
              <w:bidi w:val="0"/>
              <w:spacing w:before="0" w:after="0"/>
              <w:jc w:val="left"/>
              <w:rPr>
                <w:color w:val="4C4C4C"/>
              </w:rPr>
            </w:pPr>
            <w:r>
              <w:rPr>
                <w:color w:val="4C4C4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0" w:type="dxa"/>
            <w:tcBorders/>
            <w:vAlign w:val="center"/>
          </w:tcPr>
          <w:p>
            <w:pPr>
              <w:pStyle w:val="TableContents"/>
              <w:bidi w:val="0"/>
              <w:spacing w:before="0" w:after="0"/>
              <w:jc w:val="left"/>
              <w:rPr>
                <w:color w:val="4C4C4C"/>
              </w:rPr>
            </w:pPr>
            <w:r>
              <w:rPr>
                <w:color w:val="4C4C4C"/>
              </w:rPr>
              <w:t> </w:t>
            </w:r>
          </w:p>
        </w:tc>
        <w:tc>
          <w:tcPr>
            <w:tcW w:w="217" w:type="dxa"/>
            <w:tcBorders/>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628" w:type="dxa"/>
            <w:tcBorders/>
            <w:shd w:fill="BAE2F8" w:val="clear"/>
            <w:vAlign w:val="center"/>
          </w:tcPr>
          <w:p>
            <w:pPr>
              <w:pStyle w:val="TableContents"/>
              <w:bidi w:val="0"/>
              <w:spacing w:before="0" w:after="283"/>
              <w:ind w:left="20" w:right="0" w:hanging="0"/>
              <w:jc w:val="left"/>
              <w:rPr>
                <w:rFonts w:ascii="Arial;Helvetica;sans-serif" w:hAnsi="Arial;Helvetica;sans-serif"/>
                <w:color w:val="4C4C4C"/>
                <w:sz w:val="15"/>
              </w:rPr>
            </w:pPr>
            <w:r>
              <w:rPr>
                <w:rFonts w:ascii="Arial;Helvetica;sans-serif" w:hAnsi="Arial;Helvetica;sans-serif"/>
                <w:color w:val="4C4C4C"/>
                <w:sz w:val="15"/>
              </w:rPr>
              <w:t>Charles Pappis</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290" w:type="dxa"/>
            <w:tcBorders/>
            <w:shd w:fill="BAE2F8" w:val="clear"/>
            <w:vAlign w:val="center"/>
          </w:tcPr>
          <w:p>
            <w:pPr>
              <w:pStyle w:val="TableContents"/>
              <w:bidi w:val="0"/>
              <w:spacing w:before="0" w:after="283"/>
              <w:jc w:val="center"/>
              <w:rPr>
                <w:rFonts w:ascii="Arial;Helvetica;sans-serif" w:hAnsi="Arial;Helvetica;sans-serif"/>
                <w:color w:val="4C4C4C"/>
                <w:sz w:val="15"/>
              </w:rPr>
            </w:pPr>
            <w:r>
              <w:rPr>
                <w:rFonts w:ascii="Arial;Helvetica;sans-serif" w:hAnsi="Arial;Helvetica;sans-serif"/>
                <w:color w:val="4C4C4C"/>
                <w:sz w:val="15"/>
              </w:rPr>
              <w:t>64</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575" w:type="dxa"/>
            <w:tcBorders/>
            <w:shd w:fill="BAE2F8" w:val="clear"/>
            <w:vAlign w:val="center"/>
          </w:tcPr>
          <w:p>
            <w:pPr>
              <w:pStyle w:val="TableContents"/>
              <w:bidi w:val="0"/>
              <w:spacing w:before="0" w:after="283"/>
              <w:jc w:val="center"/>
              <w:rPr>
                <w:rFonts w:ascii="Arial;Helvetica;sans-serif" w:hAnsi="Arial;Helvetica;sans-serif"/>
                <w:color w:val="4C4C4C"/>
                <w:sz w:val="15"/>
              </w:rPr>
            </w:pPr>
            <w:r>
              <w:rPr>
                <w:rFonts w:ascii="Arial;Helvetica;sans-serif" w:hAnsi="Arial;Helvetica;sans-serif"/>
                <w:color w:val="4C4C4C"/>
                <w:sz w:val="15"/>
              </w:rPr>
              <w:t>2025</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459"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15"/>
              </w:rPr>
            </w:pPr>
            <w:r>
              <w:rPr>
                <w:rFonts w:ascii="Arial;Helvetica;sans-serif" w:hAnsi="Arial;Helvetica;sans-serif"/>
                <w:color w:val="4C4C4C"/>
                <w:sz w:val="15"/>
              </w:rPr>
              <w:t>President of Pappis Consulting</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971" w:type="dxa"/>
            <w:tcBorders/>
            <w:shd w:fill="BAE2F8" w:val="clear"/>
            <w:vAlign w:val="center"/>
          </w:tcPr>
          <w:p>
            <w:pPr>
              <w:pStyle w:val="TableContents"/>
              <w:bidi w:val="0"/>
              <w:spacing w:before="0" w:after="283"/>
              <w:ind w:left="0" w:right="0" w:hanging="0"/>
              <w:jc w:val="left"/>
              <w:rPr>
                <w:color w:val="4694D0"/>
              </w:rPr>
            </w:pPr>
            <w:r>
              <w:rPr>
                <w:color w:val="4694D0"/>
              </w:rPr>
              <w:t>•</w:t>
            </w:r>
            <w:r>
              <w:rPr>
                <w:color w:val="4C4C4C"/>
              </w:rPr>
              <w:t> </w:t>
            </w:r>
            <w:r>
              <w:rPr>
                <w:rFonts w:ascii="Arial;Helvetica;sans-serif" w:hAnsi="Arial;Helvetica;sans-serif"/>
                <w:color w:val="4C4C4C"/>
                <w:sz w:val="15"/>
              </w:rPr>
              <w:t>Finance</w:t>
            </w:r>
          </w:p>
          <w:p>
            <w:pPr>
              <w:pStyle w:val="TableContents"/>
              <w:bidi w:val="0"/>
              <w:spacing w:before="0" w:after="283"/>
              <w:ind w:left="0" w:right="0" w:hanging="0"/>
              <w:jc w:val="left"/>
              <w:rPr>
                <w:color w:val="4694D0"/>
              </w:rPr>
            </w:pPr>
            <w:r>
              <w:rPr>
                <w:color w:val="4694D0"/>
              </w:rPr>
              <w:t>•</w:t>
            </w:r>
            <w:r>
              <w:rPr>
                <w:color w:val="4C4C4C"/>
              </w:rPr>
              <w:t> </w:t>
            </w:r>
            <w:r>
              <w:rPr>
                <w:rFonts w:ascii="Arial;Helvetica;sans-serif" w:hAnsi="Arial;Helvetica;sans-serif"/>
                <w:color w:val="4C4C4C"/>
                <w:sz w:val="15"/>
              </w:rPr>
              <w:t>Leadership</w:t>
            </w:r>
          </w:p>
          <w:p>
            <w:pPr>
              <w:pStyle w:val="TableContents"/>
              <w:bidi w:val="0"/>
              <w:spacing w:before="0" w:after="283"/>
              <w:ind w:left="0" w:right="0" w:hanging="0"/>
              <w:jc w:val="left"/>
              <w:rPr>
                <w:color w:val="4694D0"/>
              </w:rPr>
            </w:pPr>
            <w:r>
              <w:rPr>
                <w:color w:val="4694D0"/>
              </w:rPr>
              <w:t>•</w:t>
            </w:r>
            <w:r>
              <w:rPr>
                <w:color w:val="4C4C4C"/>
              </w:rPr>
              <w:t> </w:t>
            </w:r>
            <w:r>
              <w:rPr>
                <w:rFonts w:ascii="Arial;Helvetica;sans-serif" w:hAnsi="Arial;Helvetica;sans-serif"/>
                <w:color w:val="4C4C4C"/>
                <w:sz w:val="15"/>
              </w:rPr>
              <w:t>Global</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290" w:type="dxa"/>
            <w:tcBorders/>
            <w:shd w:fill="BAE2F8" w:val="clear"/>
            <w:vAlign w:val="center"/>
          </w:tcPr>
          <w:p>
            <w:pPr>
              <w:pStyle w:val="TableContents"/>
              <w:bidi w:val="0"/>
              <w:spacing w:before="0" w:after="283"/>
              <w:jc w:val="center"/>
              <w:rPr>
                <w:color w:val="4694D0"/>
              </w:rPr>
            </w:pPr>
            <w:r>
              <w:rPr>
                <w:color w:val="4694D0"/>
              </w:rPr>
              <w:t>✔</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215" w:type="dxa"/>
            <w:tcBorders/>
            <w:shd w:fill="BAE2F8" w:val="clear"/>
            <w:vAlign w:val="center"/>
          </w:tcPr>
          <w:p>
            <w:pPr>
              <w:pStyle w:val="TableContents"/>
              <w:bidi w:val="0"/>
              <w:spacing w:before="0" w:after="283"/>
              <w:jc w:val="center"/>
              <w:rPr>
                <w:color w:val="4C4C4C"/>
              </w:rPr>
            </w:pPr>
            <w:r>
              <w:rPr>
                <w:color w:val="4C4C4C"/>
              </w:rPr>
              <w:t>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155" w:type="dxa"/>
            <w:tcBorders/>
            <w:shd w:fill="BAE2F8" w:val="clear"/>
            <w:vAlign w:val="center"/>
          </w:tcPr>
          <w:p>
            <w:pPr>
              <w:pStyle w:val="TableContents"/>
              <w:bidi w:val="0"/>
              <w:spacing w:before="0" w:after="283"/>
              <w:ind w:left="0" w:right="0" w:hanging="0"/>
              <w:jc w:val="left"/>
              <w:rPr>
                <w:color w:val="4694D0"/>
              </w:rPr>
            </w:pPr>
            <w:r>
              <w:rPr>
                <w:color w:val="4694D0"/>
              </w:rPr>
              <w:t>•</w:t>
            </w:r>
            <w:r>
              <w:rPr>
                <w:color w:val="4C4C4C"/>
              </w:rPr>
              <w:t> </w:t>
            </w:r>
            <w:r>
              <w:rPr>
                <w:rFonts w:ascii="Arial;Helvetica;sans-serif" w:hAnsi="Arial;Helvetica;sans-serif"/>
                <w:color w:val="4C4C4C"/>
                <w:sz w:val="15"/>
              </w:rPr>
              <w:t>Audit</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540" w:type="dxa"/>
            <w:tcBorders/>
            <w:shd w:fill="BAE2F8" w:val="clear"/>
            <w:vAlign w:val="center"/>
          </w:tcPr>
          <w:p>
            <w:pPr>
              <w:pStyle w:val="TableContents"/>
              <w:bidi w:val="0"/>
              <w:spacing w:before="0" w:after="283"/>
              <w:ind w:left="0" w:right="0" w:hanging="0"/>
              <w:jc w:val="left"/>
              <w:rPr>
                <w:color w:val="4C4C4C"/>
              </w:rPr>
            </w:pPr>
            <w:r>
              <w:rPr>
                <w:color w:val="4C4C4C"/>
              </w:rPr>
              <w:t> </w:t>
            </w:r>
          </w:p>
        </w:tc>
        <w:tc>
          <w:tcPr>
            <w:tcW w:w="217" w:type="dxa"/>
            <w:tcBorders/>
            <w:shd w:fill="BAE2F8" w:val="clear"/>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628"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29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575"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459"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971"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29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215"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155"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540" w:type="dxa"/>
            <w:tcBorders/>
            <w:shd w:fill="BAE2F8" w:val="clear"/>
            <w:vAlign w:val="center"/>
          </w:tcPr>
          <w:p>
            <w:pPr>
              <w:pStyle w:val="TableContents"/>
              <w:bidi w:val="0"/>
              <w:spacing w:before="0" w:after="0"/>
              <w:jc w:val="left"/>
              <w:rPr/>
            </w:pPr>
            <w:r>
              <w:rPr/>
              <w:t> </w:t>
            </w:r>
          </w:p>
        </w:tc>
        <w:tc>
          <w:tcPr>
            <w:tcW w:w="217" w:type="dxa"/>
            <w:tcBorders/>
            <w:shd w:fill="BAE2F8" w:val="clear"/>
            <w:vAlign w:val="center"/>
          </w:tcPr>
          <w:p>
            <w:pPr>
              <w:pStyle w:val="TableContents"/>
              <w:bidi w:val="0"/>
              <w:spacing w:before="0" w:after="0"/>
              <w:jc w:val="left"/>
              <w:rPr/>
            </w:pPr>
            <w:r>
              <w:rPr/>
              <w:t> </w:t>
            </w:r>
          </w:p>
        </w:tc>
      </w:tr>
    </w:tbl>
    <w:p>
      <w:pPr>
        <w:pStyle w:val="TextBody"/>
        <w:bidi w:val="0"/>
        <w:spacing w:before="680" w:after="283"/>
        <w:ind w:left="960" w:right="0" w:hanging="0"/>
        <w:jc w:val="left"/>
        <w:rPr>
          <w:rFonts w:ascii="Arial;Helvetica;sans-serif" w:hAnsi="Arial;Helvetica;sans-serif"/>
          <w:b/>
          <w:i/>
          <w:color w:val="0079C1"/>
          <w:sz w:val="20"/>
          <w:bdr w:val="single" w:sz="40" w:space="1" w:color="BAE2F8"/>
        </w:rPr>
      </w:pPr>
      <w:r>
        <w:rPr>
          <w:rFonts w:ascii="Arial;Helvetica;sans-serif" w:hAnsi="Arial;Helvetica;sans-serif"/>
          <w:b/>
          <w:i/>
          <w:color w:val="0079C1"/>
          <w:sz w:val="20"/>
          <w:bdr w:val="single" w:sz="40" w:space="1" w:color="BAE2F8"/>
        </w:rPr>
        <w:t>Director Nominee Representation</w:t>
      </w:r>
    </w:p>
    <w:tbl>
      <w:tblPr>
        <w:tblW w:w="9245" w:type="dxa"/>
        <w:jc w:val="left"/>
        <w:tblInd w:w="960" w:type="dxa"/>
        <w:tblLayout w:type="fixed"/>
        <w:tblCellMar>
          <w:top w:w="0" w:type="dxa"/>
          <w:left w:w="0" w:type="dxa"/>
          <w:bottom w:w="0" w:type="dxa"/>
          <w:right w:w="0" w:type="dxa"/>
        </w:tblCellMar>
      </w:tblPr>
      <w:tblGrid>
        <w:gridCol w:w="2530"/>
        <w:gridCol w:w="170"/>
        <w:gridCol w:w="170"/>
        <w:gridCol w:w="3022"/>
        <w:gridCol w:w="170"/>
        <w:gridCol w:w="170"/>
        <w:gridCol w:w="3013"/>
      </w:tblGrid>
      <w:tr>
        <w:trPr/>
        <w:tc>
          <w:tcPr>
            <w:tcW w:w="25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2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13" w:type="dxa"/>
            <w:tcBorders/>
            <w:vAlign w:val="center"/>
          </w:tcPr>
          <w:p>
            <w:pPr>
              <w:pStyle w:val="TableContents"/>
              <w:bidi w:val="0"/>
              <w:spacing w:before="0" w:after="0"/>
              <w:jc w:val="left"/>
              <w:rPr/>
            </w:pPr>
            <w:r>
              <w:rPr/>
              <w:t> </w:t>
            </w:r>
          </w:p>
        </w:tc>
      </w:tr>
      <w:tr>
        <w:trPr/>
        <w:tc>
          <w:tcPr>
            <w:tcW w:w="2530" w:type="dxa"/>
            <w:tcBorders/>
            <w:vAlign w:val="center"/>
          </w:tcPr>
          <w:p>
            <w:pPr>
              <w:pStyle w:val="TableContents"/>
              <w:bidi w:val="0"/>
              <w:spacing w:before="0" w:after="283"/>
              <w:ind w:left="0" w:right="0" w:hanging="0"/>
              <w:jc w:val="left"/>
              <w:rPr>
                <w:rFonts w:ascii="Arial;Helvetica;sans-serif" w:hAnsi="Arial;Helvetica;sans-serif"/>
                <w:b/>
                <w:color w:val="3F609D"/>
                <w:sz w:val="20"/>
              </w:rPr>
            </w:pPr>
            <w:r>
              <w:rPr>
                <w:rFonts w:ascii="Arial;Helvetica;sans-serif" w:hAnsi="Arial;Helvetica;sans-serif"/>
                <w:b/>
                <w:color w:val="3F609D"/>
                <w:sz w:val="20"/>
              </w:rPr>
              <w:t>DIVERSITY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22" w:type="dxa"/>
            <w:tcBorders/>
            <w:vAlign w:val="center"/>
          </w:tcPr>
          <w:p>
            <w:pPr>
              <w:pStyle w:val="TableContents"/>
              <w:bidi w:val="0"/>
              <w:spacing w:before="0" w:after="283"/>
              <w:ind w:left="0" w:right="0" w:hanging="0"/>
              <w:jc w:val="left"/>
              <w:rPr>
                <w:rFonts w:ascii="Arial;Helvetica;sans-serif" w:hAnsi="Arial;Helvetica;sans-serif"/>
                <w:b/>
                <w:color w:val="3F609D"/>
                <w:sz w:val="20"/>
              </w:rPr>
            </w:pPr>
            <w:r>
              <w:rPr>
                <w:rFonts w:ascii="Arial;Helvetica;sans-serif" w:hAnsi="Arial;Helvetica;sans-serif"/>
                <w:b/>
                <w:color w:val="3F609D"/>
                <w:sz w:val="20"/>
              </w:rPr>
              <w:t>INDEPENDENCE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13" w:type="dxa"/>
            <w:tcBorders/>
            <w:vAlign w:val="center"/>
          </w:tcPr>
          <w:p>
            <w:pPr>
              <w:pStyle w:val="TableContents"/>
              <w:bidi w:val="0"/>
              <w:spacing w:before="0" w:after="283"/>
              <w:ind w:left="0" w:right="0" w:hanging="0"/>
              <w:jc w:val="left"/>
              <w:rPr>
                <w:rFonts w:ascii="Arial;Helvetica;sans-serif" w:hAnsi="Arial;Helvetica;sans-serif"/>
                <w:b/>
                <w:color w:val="3F609D"/>
                <w:sz w:val="20"/>
              </w:rPr>
            </w:pPr>
            <w:r>
              <w:rPr>
                <w:rFonts w:ascii="Arial;Helvetica;sans-serif" w:hAnsi="Arial;Helvetica;sans-serif"/>
                <w:b/>
                <w:color w:val="3F609D"/>
                <w:sz w:val="20"/>
              </w:rPr>
              <w:t>TENURE</w:t>
            </w:r>
          </w:p>
        </w:tc>
      </w:tr>
      <w:tr>
        <w:trPr/>
        <w:tc>
          <w:tcPr>
            <w:tcW w:w="2530" w:type="dxa"/>
            <w:tcBorders/>
            <w:vAlign w:val="center"/>
          </w:tcPr>
          <w:p>
            <w:pPr>
              <w:pStyle w:val="TableContents"/>
              <w:bidi w:val="0"/>
              <w:spacing w:before="0" w:after="0"/>
              <w:jc w:val="left"/>
              <w:rPr>
                <w:color w:val="4C4C4C"/>
              </w:rPr>
            </w:pPr>
            <w:r>
              <w:rPr>
                <w:color w:val="4C4C4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22" w:type="dxa"/>
            <w:tcBorders/>
            <w:vAlign w:val="center"/>
          </w:tcPr>
          <w:p>
            <w:pPr>
              <w:pStyle w:val="TableContents"/>
              <w:bidi w:val="0"/>
              <w:spacing w:before="0" w:after="0"/>
              <w:jc w:val="left"/>
              <w:rPr>
                <w:color w:val="4C4C4C"/>
              </w:rPr>
            </w:pPr>
            <w:r>
              <w:rPr>
                <w:color w:val="4C4C4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13" w:type="dxa"/>
            <w:tcBorders/>
            <w:vAlign w:val="center"/>
          </w:tcPr>
          <w:p>
            <w:pPr>
              <w:pStyle w:val="TableContents"/>
              <w:bidi w:val="0"/>
              <w:spacing w:before="0" w:after="0"/>
              <w:jc w:val="left"/>
              <w:rPr>
                <w:color w:val="4C4C4C"/>
              </w:rPr>
            </w:pPr>
            <w:r>
              <w:rPr>
                <w:color w:val="4C4C4C"/>
              </w:rPr>
              <w:t> </w:t>
            </w:r>
          </w:p>
        </w:tc>
      </w:tr>
      <w:tr>
        <w:trPr/>
        <w:tc>
          <w:tcPr>
            <w:tcW w:w="2530" w:type="dxa"/>
            <w:tcBorders/>
            <w:vAlign w:val="center"/>
          </w:tcPr>
          <w:p>
            <w:pPr>
              <w:pStyle w:val="TableContents"/>
              <w:bidi w:val="0"/>
              <w:spacing w:before="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Three of our director nominees voluntarily self-identify as having a diverse identity (gender or race).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22" w:type="dxa"/>
            <w:tcBorders/>
            <w:vAlign w:val="center"/>
          </w:tcPr>
          <w:p>
            <w:pPr>
              <w:pStyle w:val="TableContents"/>
              <w:bidi w:val="0"/>
              <w:spacing w:before="0" w:after="283"/>
              <w:ind w:left="0" w:right="0" w:hanging="0"/>
              <w:jc w:val="both"/>
              <w:rPr>
                <w:rFonts w:ascii="Arial;Helvetica;sans-serif" w:hAnsi="Arial;Helvetica;sans-serif"/>
                <w:color w:val="4C4C4C"/>
                <w:spacing w:val="-2"/>
                <w:sz w:val="20"/>
              </w:rPr>
            </w:pPr>
            <w:r>
              <w:rPr>
                <w:rFonts w:ascii="Arial;Helvetica;sans-serif" w:hAnsi="Arial;Helvetica;sans-serif"/>
                <w:color w:val="4C4C4C"/>
                <w:spacing w:val="-2"/>
                <w:sz w:val="20"/>
              </w:rPr>
              <w:t>Three of our four director nominees qualify as independent under SEC regulations and NASDAQ standards.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13" w:type="dxa"/>
            <w:tcBorders/>
            <w:vAlign w:val="center"/>
          </w:tcPr>
          <w:p>
            <w:pPr>
              <w:pStyle w:val="TableContents"/>
              <w:bidi w:val="0"/>
              <w:spacing w:before="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The tenure of our director nominees reflects a mix of experience and perspective. </w:t>
            </w:r>
          </w:p>
        </w:tc>
      </w:tr>
      <w:tr>
        <w:trPr/>
        <w:tc>
          <w:tcPr>
            <w:tcW w:w="2530" w:type="dxa"/>
            <w:tcBorders/>
            <w:vAlign w:val="center"/>
          </w:tcPr>
          <w:p>
            <w:pPr>
              <w:pStyle w:val="TableContents"/>
              <w:bidi w:val="0"/>
              <w:spacing w:before="0" w:after="0"/>
              <w:jc w:val="left"/>
              <w:rPr>
                <w:color w:val="4C4C4C"/>
              </w:rPr>
            </w:pPr>
            <w:r>
              <w:rPr>
                <w:color w:val="4C4C4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22" w:type="dxa"/>
            <w:tcBorders/>
            <w:vAlign w:val="center"/>
          </w:tcPr>
          <w:p>
            <w:pPr>
              <w:pStyle w:val="TableContents"/>
              <w:bidi w:val="0"/>
              <w:spacing w:before="0" w:after="0"/>
              <w:jc w:val="left"/>
              <w:rPr>
                <w:color w:val="4C4C4C"/>
              </w:rPr>
            </w:pPr>
            <w:r>
              <w:rPr>
                <w:color w:val="4C4C4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13" w:type="dxa"/>
            <w:tcBorders/>
            <w:vAlign w:val="center"/>
          </w:tcPr>
          <w:p>
            <w:pPr>
              <w:pStyle w:val="TableContents"/>
              <w:bidi w:val="0"/>
              <w:spacing w:before="0" w:after="0"/>
              <w:jc w:val="left"/>
              <w:rPr>
                <w:color w:val="4C4C4C"/>
              </w:rPr>
            </w:pPr>
            <w:r>
              <w:rPr>
                <w:color w:val="4C4C4C"/>
              </w:rPr>
              <w:t> </w:t>
            </w:r>
          </w:p>
        </w:tc>
      </w:tr>
      <w:tr>
        <w:trPr/>
        <w:tc>
          <w:tcPr>
            <w:tcW w:w="2530" w:type="dxa"/>
            <w:tcBorders/>
            <w:vAlign w:val="center"/>
          </w:tcPr>
          <w:p>
            <w:pPr>
              <w:pStyle w:val="TableContents"/>
              <w:bidi w:val="0"/>
              <w:spacing w:before="0" w:after="0"/>
              <w:jc w:val="left"/>
              <w:rPr>
                <w:color w:val="4C4C4C"/>
              </w:rPr>
            </w:pPr>
            <w:r>
              <w:rPr>
                <w:color w:val="4C4C4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22" w:type="dxa"/>
            <w:tcBorders/>
            <w:vAlign w:val="center"/>
          </w:tcPr>
          <w:p>
            <w:pPr>
              <w:pStyle w:val="TableContents"/>
              <w:bidi w:val="0"/>
              <w:spacing w:before="0" w:after="0"/>
              <w:jc w:val="left"/>
              <w:rPr>
                <w:color w:val="4C4C4C"/>
              </w:rPr>
            </w:pPr>
            <w:r>
              <w:rPr>
                <w:color w:val="4C4C4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13" w:type="dxa"/>
            <w:tcBorders/>
            <w:vAlign w:val="center"/>
          </w:tcPr>
          <w:p>
            <w:pPr>
              <w:pStyle w:val="TableContents"/>
              <w:bidi w:val="0"/>
              <w:spacing w:before="0" w:after="283"/>
              <w:jc w:val="center"/>
              <w:rPr>
                <w:color w:val="4C4C4C"/>
              </w:rPr>
            </w:pPr>
            <w:r>
              <w:rPr>
                <w:color w:val="4C4C4C"/>
              </w:rPr>
              <w:drawing>
                <wp:inline distT="0" distB="0" distL="0" distR="0">
                  <wp:extent cx="1247775" cy="1209675"/>
                  <wp:effectExtent l="0" t="0" r="0" b="0"/>
                  <wp:docPr id="1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2" descr=""/>
                          <pic:cNvPicPr>
                            <a:picLocks noChangeAspect="1" noChangeArrowheads="1"/>
                          </pic:cNvPicPr>
                        </pic:nvPicPr>
                        <pic:blipFill>
                          <a:blip r:embed="rId16"/>
                          <a:stretch>
                            <a:fillRect/>
                          </a:stretch>
                        </pic:blipFill>
                        <pic:spPr bwMode="auto">
                          <a:xfrm>
                            <a:off x="0" y="0"/>
                            <a:ext cx="1247775" cy="1209675"/>
                          </a:xfrm>
                          <a:prstGeom prst="rect">
                            <a:avLst/>
                          </a:prstGeom>
                        </pic:spPr>
                      </pic:pic>
                    </a:graphicData>
                  </a:graphic>
                </wp:inline>
              </w:drawing>
            </w:r>
          </w:p>
          <w:p>
            <w:pPr>
              <w:pStyle w:val="TableContents"/>
              <w:bidi w:val="0"/>
              <w:spacing w:before="0" w:after="283"/>
              <w:ind w:left="0" w:right="0" w:hanging="0"/>
              <w:jc w:val="left"/>
              <w:rPr>
                <w:color w:val="4C4C4C"/>
              </w:rPr>
            </w:pPr>
            <w:r>
              <w:rPr>
                <w:color w:val="4C4C4C"/>
              </w:rPr>
              <w:t> </w:t>
            </w:r>
          </w:p>
        </w:tc>
      </w:tr>
      <w:tr>
        <w:trPr/>
        <w:tc>
          <w:tcPr>
            <w:tcW w:w="25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2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13" w:type="dxa"/>
            <w:tcBorders/>
            <w:vAlign w:val="center"/>
          </w:tcPr>
          <w:p>
            <w:pPr>
              <w:pStyle w:val="TableContents"/>
              <w:bidi w:val="0"/>
              <w:spacing w:before="0" w:after="0"/>
              <w:jc w:val="left"/>
              <w:rPr/>
            </w:pPr>
            <w:r>
              <w:rPr/>
              <w:t> </w:t>
            </w:r>
          </w:p>
        </w:tc>
      </w:tr>
    </w:tbl>
    <w:tbl>
      <w:tblPr>
        <w:tblW w:w="230" w:type="dxa"/>
        <w:jc w:val="left"/>
        <w:tblInd w:w="96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3" w:name="ny20042784x1_def14a_106-summary_pg3"/>
        <w:bookmarkEnd w:id="13"/>
        <w:r>
          <w:rPr>
            <w:rStyle w:val="InternetLink"/>
            <w:rFonts w:ascii="Times New Roman;Times;Serif" w:hAnsi="Times New Roman;Times;Serif"/>
            <w:b/>
            <w:caps w:val="false"/>
            <w:smallCaps w:val="false"/>
            <w:color w:val="000000"/>
            <w:sz w:val="16"/>
            <w:bdr w:val="single" w:sz="40" w:space="1" w:color="BAE2F8"/>
          </w:rPr>
          <w:t>TABLE OF CONTENTS</w:t>
        </w:r>
      </w:hyperlink>
    </w:p>
    <w:p>
      <w:pPr>
        <w:pStyle w:val="TextBody"/>
        <w:bidi w:val="0"/>
        <w:spacing w:before="135" w:after="283"/>
        <w:ind w:left="960" w:right="0" w:hanging="0"/>
        <w:jc w:val="left"/>
        <w:rPr>
          <w:rFonts w:ascii="Arial;Helvetica;sans-serif" w:hAnsi="Arial;Helvetica;sans-serif"/>
          <w:b/>
          <w:i/>
          <w:color w:val="0079C1"/>
          <w:sz w:val="20"/>
          <w:bdr w:val="single" w:sz="40" w:space="1" w:color="BAE2F8"/>
        </w:rPr>
      </w:pPr>
      <w:r>
        <w:rPr>
          <w:rFonts w:ascii="Arial;Helvetica;sans-serif" w:hAnsi="Arial;Helvetica;sans-serif"/>
          <w:b/>
          <w:i/>
          <w:color w:val="0079C1"/>
          <w:sz w:val="20"/>
          <w:bdr w:val="single" w:sz="40" w:space="1" w:color="BAE2F8"/>
        </w:rPr>
        <w:t>Board Diversity Matrix</w:t>
      </w:r>
    </w:p>
    <w:tbl>
      <w:tblPr>
        <w:tblW w:w="5265" w:type="dxa"/>
        <w:jc w:val="left"/>
        <w:tblInd w:w="960" w:type="dxa"/>
        <w:tblLayout w:type="fixed"/>
        <w:tblCellMar>
          <w:top w:w="0" w:type="dxa"/>
          <w:left w:w="0" w:type="dxa"/>
          <w:bottom w:w="0" w:type="dxa"/>
          <w:right w:w="0" w:type="dxa"/>
        </w:tblCellMar>
      </w:tblPr>
      <w:tblGrid>
        <w:gridCol w:w="185"/>
        <w:gridCol w:w="3155"/>
        <w:gridCol w:w="170"/>
        <w:gridCol w:w="170"/>
        <w:gridCol w:w="620"/>
        <w:gridCol w:w="170"/>
        <w:gridCol w:w="170"/>
        <w:gridCol w:w="410"/>
        <w:gridCol w:w="215"/>
      </w:tblGrid>
      <w:tr>
        <w:trPr/>
        <w:tc>
          <w:tcPr>
            <w:tcW w:w="185" w:type="dxa"/>
            <w:tcBorders/>
            <w:shd w:fill="0D3F64" w:val="clear"/>
            <w:vAlign w:val="center"/>
          </w:tcPr>
          <w:p>
            <w:pPr>
              <w:pStyle w:val="TableContents"/>
              <w:bidi w:val="0"/>
              <w:spacing w:before="0" w:after="0"/>
              <w:jc w:val="left"/>
              <w:rPr/>
            </w:pPr>
            <w:r>
              <w:rPr/>
              <w:t> </w:t>
            </w:r>
          </w:p>
        </w:tc>
        <w:tc>
          <w:tcPr>
            <w:tcW w:w="3155"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370" w:type="dxa"/>
            <w:gridSpan w:val="4"/>
            <w:tcBorders/>
            <w:shd w:fill="0D3F64" w:val="clear"/>
            <w:vAlign w:val="center"/>
          </w:tcPr>
          <w:p>
            <w:pPr>
              <w:pStyle w:val="TableContents"/>
              <w:bidi w:val="0"/>
              <w:spacing w:before="0" w:after="0"/>
              <w:jc w:val="left"/>
              <w:rPr/>
            </w:pPr>
            <w:r>
              <w:rPr/>
              <w:t> </w:t>
            </w:r>
          </w:p>
        </w:tc>
        <w:tc>
          <w:tcPr>
            <w:tcW w:w="215" w:type="dxa"/>
            <w:tcBorders/>
            <w:shd w:fill="0D3F64" w:val="clear"/>
            <w:vAlign w:val="center"/>
          </w:tcPr>
          <w:p>
            <w:pPr>
              <w:pStyle w:val="TableContents"/>
              <w:bidi w:val="0"/>
              <w:spacing w:before="0" w:after="0"/>
              <w:jc w:val="left"/>
              <w:rPr/>
            </w:pPr>
            <w:r>
              <w:rPr/>
              <w:t> </w:t>
            </w:r>
          </w:p>
        </w:tc>
      </w:tr>
      <w:tr>
        <w:trPr/>
        <w:tc>
          <w:tcPr>
            <w:tcW w:w="185" w:type="dxa"/>
            <w:tcBorders/>
            <w:shd w:fill="0D3F64" w:val="clear"/>
            <w:vAlign w:val="center"/>
          </w:tcPr>
          <w:p>
            <w:pPr>
              <w:pStyle w:val="TableContents"/>
              <w:bidi w:val="0"/>
              <w:spacing w:before="0" w:after="0"/>
              <w:jc w:val="left"/>
              <w:rPr/>
            </w:pPr>
            <w:r>
              <w:rPr/>
              <w:t> </w:t>
            </w:r>
          </w:p>
        </w:tc>
        <w:tc>
          <w:tcPr>
            <w:tcW w:w="3155" w:type="dxa"/>
            <w:tcBorders/>
            <w:shd w:fill="0D3F64" w:val="clear"/>
            <w:vAlign w:val="center"/>
          </w:tcPr>
          <w:p>
            <w:pPr>
              <w:pStyle w:val="TableContents"/>
              <w:bidi w:val="0"/>
              <w:spacing w:before="0" w:after="283"/>
              <w:ind w:left="20" w:right="0" w:hanging="0"/>
              <w:jc w:val="left"/>
              <w:rPr>
                <w:rFonts w:ascii="Arial;Helvetica;sans-serif" w:hAnsi="Arial;Helvetica;sans-serif"/>
                <w:b/>
                <w:color w:val="FFFFFF"/>
                <w:sz w:val="16"/>
              </w:rPr>
            </w:pPr>
            <w:r>
              <w:rPr>
                <w:rFonts w:ascii="Arial;Helvetica;sans-serif" w:hAnsi="Arial;Helvetica;sans-serif"/>
                <w:b/>
                <w:color w:val="FFFFFF"/>
                <w:sz w:val="16"/>
              </w:rPr>
              <w:t>Total Number of Current Directors</w:t>
            </w:r>
          </w:p>
        </w:tc>
        <w:tc>
          <w:tcPr>
            <w:tcW w:w="170" w:type="dxa"/>
            <w:tcBorders/>
            <w:shd w:fill="0D3F64" w:val="clear"/>
            <w:vAlign w:val="center"/>
          </w:tcPr>
          <w:p>
            <w:pPr>
              <w:pStyle w:val="TableContents"/>
              <w:bidi w:val="0"/>
              <w:spacing w:before="0" w:after="0"/>
              <w:jc w:val="left"/>
              <w:rPr/>
            </w:pPr>
            <w:r>
              <w:rPr/>
              <w:t> </w:t>
            </w:r>
          </w:p>
        </w:tc>
        <w:tc>
          <w:tcPr>
            <w:tcW w:w="170" w:type="dxa"/>
            <w:tcBorders>
              <w:bottom w:val="single" w:sz="8" w:space="0" w:color="FFFFFF"/>
            </w:tcBorders>
            <w:shd w:fill="0D3F64" w:val="clear"/>
            <w:tcMar>
              <w:bottom w:w="28" w:type="dxa"/>
            </w:tcMar>
            <w:vAlign w:val="center"/>
          </w:tcPr>
          <w:p>
            <w:pPr>
              <w:pStyle w:val="TableContents"/>
              <w:bidi w:val="0"/>
              <w:spacing w:before="0" w:after="0"/>
              <w:jc w:val="left"/>
              <w:rPr/>
            </w:pPr>
            <w:r>
              <w:rPr/>
              <w:t> </w:t>
            </w:r>
          </w:p>
        </w:tc>
        <w:tc>
          <w:tcPr>
            <w:tcW w:w="1370" w:type="dxa"/>
            <w:gridSpan w:val="4"/>
            <w:tcBorders>
              <w:bottom w:val="single" w:sz="8" w:space="0" w:color="FFFFFF"/>
            </w:tcBorders>
            <w:shd w:fill="0D3F64" w:val="clear"/>
            <w:tcMar>
              <w:bottom w:w="93"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4</w:t>
            </w:r>
          </w:p>
        </w:tc>
        <w:tc>
          <w:tcPr>
            <w:tcW w:w="215" w:type="dxa"/>
            <w:tcBorders>
              <w:bottom w:val="single" w:sz="8" w:space="0" w:color="FFFFFF"/>
            </w:tcBorders>
            <w:shd w:fill="0D3F64" w:val="clear"/>
            <w:tcMar>
              <w:bottom w:w="28" w:type="dxa"/>
            </w:tcMar>
            <w:vAlign w:val="center"/>
          </w:tcPr>
          <w:p>
            <w:pPr>
              <w:pStyle w:val="TableContents"/>
              <w:bidi w:val="0"/>
              <w:spacing w:before="0" w:after="0"/>
              <w:jc w:val="left"/>
              <w:rPr/>
            </w:pPr>
            <w:r>
              <w:rPr/>
              <w:t> </w:t>
            </w:r>
          </w:p>
        </w:tc>
      </w:tr>
      <w:tr>
        <w:trPr/>
        <w:tc>
          <w:tcPr>
            <w:tcW w:w="185" w:type="dxa"/>
            <w:tcBorders/>
            <w:shd w:fill="0D3F64" w:val="clear"/>
            <w:vAlign w:val="center"/>
          </w:tcPr>
          <w:p>
            <w:pPr>
              <w:pStyle w:val="TableContents"/>
              <w:bidi w:val="0"/>
              <w:spacing w:before="0" w:after="0"/>
              <w:jc w:val="left"/>
              <w:rPr/>
            </w:pPr>
            <w:r>
              <w:rPr/>
              <w:t> </w:t>
            </w:r>
          </w:p>
        </w:tc>
        <w:tc>
          <w:tcPr>
            <w:tcW w:w="3155" w:type="dxa"/>
            <w:tcBorders/>
            <w:shd w:fill="0D3F64" w:val="clear"/>
            <w:vAlign w:val="center"/>
          </w:tcPr>
          <w:p>
            <w:pPr>
              <w:pStyle w:val="TableContents"/>
              <w:bidi w:val="0"/>
              <w:spacing w:before="0" w:after="283"/>
              <w:jc w:val="center"/>
              <w:rPr>
                <w:color w:val="FFFFFF"/>
              </w:rPr>
            </w:pPr>
            <w:r>
              <w:rPr>
                <w:color w:val="FFFFFF"/>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620" w:type="dxa"/>
            <w:tcBorders/>
            <w:shd w:fill="0D3F64"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Female</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410" w:type="dxa"/>
            <w:tcBorders/>
            <w:shd w:fill="0D3F64"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Male</w:t>
            </w:r>
          </w:p>
        </w:tc>
        <w:tc>
          <w:tcPr>
            <w:tcW w:w="215" w:type="dxa"/>
            <w:tcBorders/>
            <w:shd w:fill="0D3F6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283"/>
              <w:ind w:left="20" w:right="0" w:hanging="0"/>
              <w:jc w:val="left"/>
              <w:rPr>
                <w:rFonts w:ascii="Arial;Helvetica;sans-serif" w:hAnsi="Arial;Helvetica;sans-serif"/>
                <w:b/>
                <w:i/>
                <w:color w:val="4C4C4C"/>
                <w:sz w:val="20"/>
              </w:rPr>
            </w:pPr>
            <w:r>
              <w:rPr>
                <w:rFonts w:ascii="Arial;Helvetica;sans-serif" w:hAnsi="Arial;Helvetica;sans-serif"/>
                <w:b/>
                <w:i/>
                <w:color w:val="4C4C4C"/>
                <w:sz w:val="20"/>
              </w:rPr>
              <w:t>Part I: Gender Identity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color w:val="4C4C4C"/>
              </w:rPr>
            </w:pPr>
            <w:r>
              <w:rPr>
                <w:color w:val="4C4C4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color w:val="4C4C4C"/>
              </w:rPr>
            </w:pPr>
            <w:r>
              <w:rPr>
                <w:color w:val="4C4C4C"/>
              </w:rPr>
              <w:t> </w:t>
            </w:r>
          </w:p>
        </w:tc>
        <w:tc>
          <w:tcPr>
            <w:tcW w:w="215" w:type="dxa"/>
            <w:tcBorders/>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3155" w:type="dxa"/>
            <w:tcBorders/>
            <w:shd w:fill="BAE2F8" w:val="clear"/>
            <w:vAlign w:val="center"/>
          </w:tcPr>
          <w:p>
            <w:pPr>
              <w:pStyle w:val="TableContents"/>
              <w:bidi w:val="0"/>
              <w:spacing w:before="0" w:after="283"/>
              <w:ind w:left="220" w:right="0" w:hanging="0"/>
              <w:jc w:val="left"/>
              <w:rPr>
                <w:rFonts w:ascii="Arial;Helvetica;sans-serif" w:hAnsi="Arial;Helvetica;sans-serif"/>
                <w:color w:val="4C4C4C"/>
                <w:sz w:val="20"/>
              </w:rPr>
            </w:pPr>
            <w:r>
              <w:rPr>
                <w:rFonts w:ascii="Arial;Helvetica;sans-serif" w:hAnsi="Arial;Helvetica;sans-serif"/>
                <w:color w:val="4C4C4C"/>
                <w:sz w:val="20"/>
              </w:rPr>
              <w:t xml:space="preserve">Directors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620" w:type="dxa"/>
            <w:tcBorders/>
            <w:shd w:fill="BAE2F8" w:val="clear"/>
            <w:vAlign w:val="center"/>
          </w:tcPr>
          <w:p>
            <w:pPr>
              <w:pStyle w:val="TableContents"/>
              <w:bidi w:val="0"/>
              <w:spacing w:before="0" w:after="283"/>
              <w:jc w:val="center"/>
              <w:rPr>
                <w:rFonts w:ascii="Arial;Helvetica;sans-serif" w:hAnsi="Arial;Helvetica;sans-serif"/>
                <w:color w:val="4C4C4C"/>
                <w:sz w:val="20"/>
              </w:rPr>
            </w:pPr>
            <w:r>
              <w:rPr>
                <w:rFonts w:ascii="Arial;Helvetica;sans-serif" w:hAnsi="Arial;Helvetica;sans-serif"/>
                <w:color w:val="4C4C4C"/>
                <w:sz w:val="20"/>
              </w:rPr>
              <w:t>1</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410" w:type="dxa"/>
            <w:tcBorders/>
            <w:shd w:fill="BAE2F8" w:val="clear"/>
            <w:vAlign w:val="center"/>
          </w:tcPr>
          <w:p>
            <w:pPr>
              <w:pStyle w:val="TableContents"/>
              <w:bidi w:val="0"/>
              <w:spacing w:before="0" w:after="283"/>
              <w:jc w:val="center"/>
              <w:rPr>
                <w:rFonts w:ascii="Arial;Helvetica;sans-serif" w:hAnsi="Arial;Helvetica;sans-serif"/>
                <w:color w:val="4C4C4C"/>
                <w:sz w:val="20"/>
              </w:rPr>
            </w:pPr>
            <w:r>
              <w:rPr>
                <w:rFonts w:ascii="Arial;Helvetica;sans-serif" w:hAnsi="Arial;Helvetica;sans-serif"/>
                <w:color w:val="4C4C4C"/>
                <w:sz w:val="20"/>
              </w:rPr>
              <w:t>3</w:t>
            </w:r>
          </w:p>
        </w:tc>
        <w:tc>
          <w:tcPr>
            <w:tcW w:w="215" w:type="dxa"/>
            <w:tcBorders/>
            <w:shd w:fill="BAE2F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283"/>
              <w:ind w:left="20" w:right="0" w:hanging="0"/>
              <w:jc w:val="left"/>
              <w:rPr>
                <w:rFonts w:ascii="Arial;Helvetica;sans-serif" w:hAnsi="Arial;Helvetica;sans-serif"/>
                <w:b/>
                <w:i/>
                <w:color w:val="4C4C4C"/>
                <w:sz w:val="20"/>
              </w:rPr>
            </w:pPr>
            <w:r>
              <w:rPr>
                <w:rFonts w:ascii="Arial;Helvetica;sans-serif" w:hAnsi="Arial;Helvetica;sans-serif"/>
                <w:b/>
                <w:i/>
                <w:color w:val="4C4C4C"/>
                <w:sz w:val="20"/>
              </w:rPr>
              <w:t>Part II: Demographic Background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color w:val="4C4C4C"/>
              </w:rPr>
            </w:pPr>
            <w:r>
              <w:rPr>
                <w:color w:val="4C4C4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color w:val="4C4C4C"/>
              </w:rPr>
            </w:pPr>
            <w:r>
              <w:rPr>
                <w:color w:val="4C4C4C"/>
              </w:rPr>
              <w:t> </w:t>
            </w:r>
          </w:p>
        </w:tc>
        <w:tc>
          <w:tcPr>
            <w:tcW w:w="215" w:type="dxa"/>
            <w:tcBorders/>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3155" w:type="dxa"/>
            <w:tcBorders/>
            <w:shd w:fill="BAE2F8" w:val="clear"/>
            <w:vAlign w:val="center"/>
          </w:tcPr>
          <w:p>
            <w:pPr>
              <w:pStyle w:val="TableContents"/>
              <w:bidi w:val="0"/>
              <w:spacing w:before="0" w:after="283"/>
              <w:ind w:left="220" w:right="0" w:hanging="0"/>
              <w:jc w:val="left"/>
              <w:rPr>
                <w:rFonts w:ascii="Arial;Helvetica;sans-serif" w:hAnsi="Arial;Helvetica;sans-serif"/>
                <w:color w:val="4C4C4C"/>
                <w:sz w:val="20"/>
              </w:rPr>
            </w:pPr>
            <w:r>
              <w:rPr>
                <w:rFonts w:ascii="Arial;Helvetica;sans-serif" w:hAnsi="Arial;Helvetica;sans-serif"/>
                <w:color w:val="4C4C4C"/>
                <w:sz w:val="20"/>
              </w:rPr>
              <w:t xml:space="preserve">Asian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620" w:type="dxa"/>
            <w:tcBorders/>
            <w:shd w:fill="BAE2F8" w:val="clear"/>
            <w:vAlign w:val="center"/>
          </w:tcPr>
          <w:p>
            <w:pPr>
              <w:pStyle w:val="TableContents"/>
              <w:bidi w:val="0"/>
              <w:spacing w:before="0" w:after="283"/>
              <w:jc w:val="center"/>
              <w:rPr>
                <w:rFonts w:ascii="Arial;Helvetica;sans-serif" w:hAnsi="Arial;Helvetica;sans-serif"/>
                <w:color w:val="4C4C4C"/>
                <w:sz w:val="20"/>
              </w:rPr>
            </w:pPr>
            <w:r>
              <w:rPr>
                <w:rFonts w:ascii="Arial;Helvetica;sans-serif" w:hAnsi="Arial;Helvetica;sans-serif"/>
                <w:color w:val="4C4C4C"/>
                <w:sz w:val="20"/>
              </w:rPr>
              <w:t>1</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410" w:type="dxa"/>
            <w:tcBorders/>
            <w:shd w:fill="BAE2F8" w:val="clear"/>
            <w:vAlign w:val="center"/>
          </w:tcPr>
          <w:p>
            <w:pPr>
              <w:pStyle w:val="TableContents"/>
              <w:bidi w:val="0"/>
              <w:spacing w:before="0" w:after="283"/>
              <w:jc w:val="center"/>
              <w:rPr>
                <w:rFonts w:ascii="Arial;Helvetica;sans-serif" w:hAnsi="Arial;Helvetica;sans-serif"/>
                <w:color w:val="4C4C4C"/>
                <w:sz w:val="20"/>
              </w:rPr>
            </w:pPr>
            <w:r>
              <w:rPr>
                <w:rFonts w:ascii="Arial;Helvetica;sans-serif" w:hAnsi="Arial;Helvetica;sans-serif"/>
                <w:color w:val="4C4C4C"/>
                <w:sz w:val="20"/>
              </w:rPr>
              <w:t>2</w:t>
            </w:r>
          </w:p>
        </w:tc>
        <w:tc>
          <w:tcPr>
            <w:tcW w:w="215" w:type="dxa"/>
            <w:tcBorders/>
            <w:shd w:fill="BAE2F8" w:val="clear"/>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3155"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62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410" w:type="dxa"/>
            <w:tcBorders/>
            <w:shd w:fill="BAE2F8" w:val="clear"/>
            <w:vAlign w:val="center"/>
          </w:tcPr>
          <w:p>
            <w:pPr>
              <w:pStyle w:val="TableContents"/>
              <w:bidi w:val="0"/>
              <w:spacing w:before="0" w:after="0"/>
              <w:jc w:val="left"/>
              <w:rPr/>
            </w:pPr>
            <w:r>
              <w:rPr/>
              <w:t> </w:t>
            </w:r>
          </w:p>
        </w:tc>
        <w:tc>
          <w:tcPr>
            <w:tcW w:w="215" w:type="dxa"/>
            <w:tcBorders/>
            <w:shd w:fill="BAE2F8" w:val="clear"/>
            <w:vAlign w:val="center"/>
          </w:tcPr>
          <w:p>
            <w:pPr>
              <w:pStyle w:val="TableContents"/>
              <w:bidi w:val="0"/>
              <w:spacing w:before="0" w:after="0"/>
              <w:jc w:val="left"/>
              <w:rPr/>
            </w:pPr>
            <w:r>
              <w:rPr/>
              <w:t> </w:t>
            </w:r>
          </w:p>
        </w:tc>
      </w:tr>
    </w:tbl>
    <w:p>
      <w:pPr>
        <w:pStyle w:val="TextBody"/>
        <w:bidi w:val="0"/>
        <w:spacing w:before="200" w:after="283"/>
        <w:ind w:left="960" w:right="0" w:hanging="0"/>
        <w:jc w:val="left"/>
        <w:rPr>
          <w:rFonts w:ascii="Arial;Helvetica;sans-serif" w:hAnsi="Arial;Helvetica;sans-serif"/>
          <w:b/>
          <w:i/>
          <w:color w:val="0079C1"/>
          <w:sz w:val="20"/>
          <w:bdr w:val="single" w:sz="40" w:space="1" w:color="BAE2F8"/>
        </w:rPr>
      </w:pPr>
      <w:r>
        <w:rPr>
          <w:rFonts w:ascii="Arial;Helvetica;sans-serif" w:hAnsi="Arial;Helvetica;sans-serif"/>
          <w:b/>
          <w:i/>
          <w:color w:val="0079C1"/>
          <w:sz w:val="20"/>
          <w:bdr w:val="single" w:sz="40" w:space="1" w:color="BAE2F8"/>
        </w:rPr>
        <w:t>Board Governance Practices</w:t>
      </w:r>
    </w:p>
    <w:tbl>
      <w:tblPr>
        <w:tblW w:w="8370" w:type="dxa"/>
        <w:jc w:val="left"/>
        <w:tblInd w:w="960" w:type="dxa"/>
        <w:tblLayout w:type="fixed"/>
        <w:tblCellMar>
          <w:top w:w="0" w:type="dxa"/>
          <w:left w:w="0" w:type="dxa"/>
          <w:bottom w:w="0" w:type="dxa"/>
          <w:right w:w="0" w:type="dxa"/>
        </w:tblCellMar>
      </w:tblPr>
      <w:tblGrid>
        <w:gridCol w:w="185"/>
        <w:gridCol w:w="1640"/>
        <w:gridCol w:w="170"/>
        <w:gridCol w:w="170"/>
        <w:gridCol w:w="5030"/>
        <w:gridCol w:w="170"/>
        <w:gridCol w:w="170"/>
        <w:gridCol w:w="620"/>
        <w:gridCol w:w="215"/>
      </w:tblGrid>
      <w:tr>
        <w:trPr/>
        <w:tc>
          <w:tcPr>
            <w:tcW w:w="185"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1640" w:type="dxa"/>
            <w:vMerge w:val="restart"/>
            <w:tcBorders/>
            <w:vAlign w:val="center"/>
          </w:tcPr>
          <w:p>
            <w:pPr>
              <w:pStyle w:val="TableContents"/>
              <w:bidi w:val="0"/>
              <w:spacing w:before="0" w:after="283"/>
              <w:ind w:left="20" w:right="0" w:hanging="0"/>
              <w:jc w:val="left"/>
              <w:rPr>
                <w:rFonts w:ascii="Arial;Helvetica;sans-serif" w:hAnsi="Arial;Helvetica;sans-serif"/>
                <w:b/>
                <w:i/>
                <w:color w:val="3F609D"/>
                <w:sz w:val="16"/>
              </w:rPr>
            </w:pPr>
            <w:r>
              <w:rPr>
                <w:rFonts w:ascii="Arial;Helvetica;sans-serif" w:hAnsi="Arial;Helvetica;sans-serif"/>
                <w:b/>
                <w:i/>
                <w:color w:val="3F609D"/>
                <w:sz w:val="16"/>
              </w:rPr>
              <w:t>Elections:</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0" w:type="dxa"/>
            <w:tcBorders/>
            <w:vAlign w:val="center"/>
          </w:tcPr>
          <w:p>
            <w:pPr>
              <w:pStyle w:val="TableContents"/>
              <w:bidi w:val="0"/>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 xml:space="preserve">Classified Board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No</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64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30" w:type="dxa"/>
            <w:tcBorders/>
            <w:vAlign w:val="center"/>
          </w:tcPr>
          <w:p>
            <w:pPr>
              <w:pStyle w:val="TableContents"/>
              <w:bidi w:val="0"/>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 xml:space="preserve">Frequency of Director Elections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Annual</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64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30" w:type="dxa"/>
            <w:tcBorders/>
            <w:vAlign w:val="center"/>
          </w:tcPr>
          <w:p>
            <w:pPr>
              <w:pStyle w:val="TableContents"/>
              <w:bidi w:val="0"/>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 xml:space="preserve">Voting Standard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Plurality</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64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30" w:type="dxa"/>
            <w:tcBorders/>
            <w:vAlign w:val="center"/>
          </w:tcPr>
          <w:p>
            <w:pPr>
              <w:pStyle w:val="TableContents"/>
              <w:bidi w:val="0"/>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 xml:space="preserve">Resignation Policy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Yes</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64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30" w:type="dxa"/>
            <w:tcBorders/>
            <w:vAlign w:val="center"/>
          </w:tcPr>
          <w:p>
            <w:pPr>
              <w:pStyle w:val="TableContents"/>
              <w:bidi w:val="0"/>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 xml:space="preserve">Mandatory Retirement Age or Tenure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No</w:t>
            </w:r>
          </w:p>
        </w:tc>
        <w:tc>
          <w:tcPr>
            <w:tcW w:w="215" w:type="dxa"/>
            <w:tcBorders/>
            <w:vAlign w:val="center"/>
          </w:tcPr>
          <w:p>
            <w:pPr>
              <w:pStyle w:val="TableContents"/>
              <w:bidi w:val="0"/>
              <w:spacing w:before="0" w:after="0"/>
              <w:jc w:val="left"/>
              <w:rPr/>
            </w:pPr>
            <w:r>
              <w:rPr/>
              <w:t> </w:t>
            </w:r>
          </w:p>
        </w:tc>
      </w:tr>
      <w:tr>
        <w:trPr/>
        <w:tc>
          <w:tcPr>
            <w:tcW w:w="185" w:type="dxa"/>
            <w:vMerge w:val="restart"/>
            <w:tcBorders/>
            <w:shd w:fill="BAE2F8" w:val="clear"/>
            <w:vAlign w:val="center"/>
          </w:tcPr>
          <w:p>
            <w:pPr>
              <w:pStyle w:val="TableContents"/>
              <w:bidi w:val="0"/>
              <w:spacing w:before="0" w:after="0"/>
              <w:jc w:val="left"/>
              <w:rPr/>
            </w:pPr>
            <w:r>
              <w:rPr/>
              <w:t> </w:t>
            </w:r>
          </w:p>
        </w:tc>
        <w:tc>
          <w:tcPr>
            <w:tcW w:w="1640" w:type="dxa"/>
            <w:vMerge w:val="restart"/>
            <w:tcBorders/>
            <w:shd w:fill="BAE2F8" w:val="clear"/>
            <w:vAlign w:val="center"/>
          </w:tcPr>
          <w:p>
            <w:pPr>
              <w:pStyle w:val="TableContents"/>
              <w:bidi w:val="0"/>
              <w:spacing w:before="0" w:after="283"/>
              <w:ind w:left="20" w:right="0" w:hanging="0"/>
              <w:jc w:val="left"/>
              <w:rPr>
                <w:rFonts w:ascii="Arial;Helvetica;sans-serif" w:hAnsi="Arial;Helvetica;sans-serif"/>
                <w:b/>
                <w:i/>
                <w:color w:val="3F609D"/>
                <w:sz w:val="16"/>
              </w:rPr>
            </w:pPr>
            <w:r>
              <w:rPr>
                <w:rFonts w:ascii="Arial;Helvetica;sans-serif" w:hAnsi="Arial;Helvetica;sans-serif"/>
                <w:b/>
                <w:i/>
                <w:color w:val="3F609D"/>
                <w:sz w:val="16"/>
              </w:rPr>
              <w:t>Chair:</w:t>
            </w:r>
          </w:p>
        </w:tc>
        <w:tc>
          <w:tcPr>
            <w:tcW w:w="170" w:type="dxa"/>
            <w:vMerge w:val="restart"/>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5030"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 xml:space="preserve">Separate Chair of the Board and CEO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620"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No</w:t>
            </w:r>
          </w:p>
        </w:tc>
        <w:tc>
          <w:tcPr>
            <w:tcW w:w="215" w:type="dxa"/>
            <w:tcBorders/>
            <w:shd w:fill="BAE2F8" w:val="clear"/>
            <w:vAlign w:val="center"/>
          </w:tcPr>
          <w:p>
            <w:pPr>
              <w:pStyle w:val="TableContents"/>
              <w:bidi w:val="0"/>
              <w:spacing w:before="0" w:after="0"/>
              <w:jc w:val="left"/>
              <w:rPr/>
            </w:pPr>
            <w:r>
              <w:rPr/>
              <w:t> </w:t>
            </w:r>
          </w:p>
        </w:tc>
      </w:tr>
      <w:tr>
        <w:trPr/>
        <w:tc>
          <w:tcPr>
            <w:tcW w:w="185" w:type="dxa"/>
            <w:vMerge w:val="continue"/>
            <w:tcBorders/>
            <w:shd w:fill="BAE2F8" w:val="clear"/>
            <w:vAlign w:val="center"/>
          </w:tcPr>
          <w:p>
            <w:pPr>
              <w:pStyle w:val="Normal"/>
              <w:bidi w:val="0"/>
              <w:jc w:val="left"/>
              <w:rPr/>
            </w:pPr>
            <w:r>
              <w:rPr/>
            </w:r>
          </w:p>
        </w:tc>
        <w:tc>
          <w:tcPr>
            <w:tcW w:w="1640" w:type="dxa"/>
            <w:vMerge w:val="continue"/>
            <w:tcBorders/>
            <w:shd w:fill="BAE2F8" w:val="clear"/>
            <w:vAlign w:val="center"/>
          </w:tcPr>
          <w:p>
            <w:pPr>
              <w:pStyle w:val="Normal"/>
              <w:bidi w:val="0"/>
              <w:jc w:val="left"/>
              <w:rPr/>
            </w:pPr>
            <w:r>
              <w:rPr/>
            </w:r>
          </w:p>
        </w:tc>
        <w:tc>
          <w:tcPr>
            <w:tcW w:w="170" w:type="dxa"/>
            <w:vMerge w:val="continue"/>
            <w:tcBorders/>
            <w:shd w:fill="BAE2F8" w:val="clear"/>
            <w:vAlign w:val="center"/>
          </w:tcPr>
          <w:p>
            <w:pPr>
              <w:pStyle w:val="Normal"/>
              <w:bidi w:val="0"/>
              <w:jc w:val="left"/>
              <w:rPr/>
            </w:pPr>
            <w:r>
              <w:rPr/>
            </w:r>
          </w:p>
        </w:tc>
        <w:tc>
          <w:tcPr>
            <w:tcW w:w="170" w:type="dxa"/>
            <w:tcBorders/>
            <w:shd w:fill="BAE2F8" w:val="clear"/>
            <w:vAlign w:val="center"/>
          </w:tcPr>
          <w:p>
            <w:pPr>
              <w:pStyle w:val="TableContents"/>
              <w:bidi w:val="0"/>
              <w:spacing w:before="0" w:after="0"/>
              <w:jc w:val="left"/>
              <w:rPr/>
            </w:pPr>
            <w:r>
              <w:rPr/>
              <w:t> </w:t>
            </w:r>
          </w:p>
        </w:tc>
        <w:tc>
          <w:tcPr>
            <w:tcW w:w="5030"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 xml:space="preserve">Independent Lead Director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620"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Yes</w:t>
            </w:r>
          </w:p>
        </w:tc>
        <w:tc>
          <w:tcPr>
            <w:tcW w:w="215" w:type="dxa"/>
            <w:tcBorders/>
            <w:shd w:fill="BAE2F8" w:val="clear"/>
            <w:vAlign w:val="center"/>
          </w:tcPr>
          <w:p>
            <w:pPr>
              <w:pStyle w:val="TableContents"/>
              <w:bidi w:val="0"/>
              <w:spacing w:before="0" w:after="0"/>
              <w:jc w:val="left"/>
              <w:rPr/>
            </w:pPr>
            <w:r>
              <w:rPr/>
              <w:t> </w:t>
            </w:r>
          </w:p>
        </w:tc>
      </w:tr>
      <w:tr>
        <w:trPr/>
        <w:tc>
          <w:tcPr>
            <w:tcW w:w="185" w:type="dxa"/>
            <w:vMerge w:val="continue"/>
            <w:tcBorders/>
            <w:shd w:fill="BAE2F8" w:val="clear"/>
            <w:vAlign w:val="center"/>
          </w:tcPr>
          <w:p>
            <w:pPr>
              <w:pStyle w:val="Normal"/>
              <w:bidi w:val="0"/>
              <w:jc w:val="left"/>
              <w:rPr/>
            </w:pPr>
            <w:r>
              <w:rPr/>
            </w:r>
          </w:p>
        </w:tc>
        <w:tc>
          <w:tcPr>
            <w:tcW w:w="1640" w:type="dxa"/>
            <w:vMerge w:val="continue"/>
            <w:tcBorders/>
            <w:shd w:fill="BAE2F8" w:val="clear"/>
            <w:vAlign w:val="center"/>
          </w:tcPr>
          <w:p>
            <w:pPr>
              <w:pStyle w:val="Normal"/>
              <w:bidi w:val="0"/>
              <w:jc w:val="left"/>
              <w:rPr/>
            </w:pPr>
            <w:r>
              <w:rPr/>
            </w:r>
          </w:p>
        </w:tc>
        <w:tc>
          <w:tcPr>
            <w:tcW w:w="170" w:type="dxa"/>
            <w:vMerge w:val="continue"/>
            <w:tcBorders/>
            <w:shd w:fill="BAE2F8" w:val="clear"/>
            <w:vAlign w:val="center"/>
          </w:tcPr>
          <w:p>
            <w:pPr>
              <w:pStyle w:val="Normal"/>
              <w:bidi w:val="0"/>
              <w:jc w:val="left"/>
              <w:rPr/>
            </w:pPr>
            <w:r>
              <w:rPr/>
            </w:r>
          </w:p>
        </w:tc>
        <w:tc>
          <w:tcPr>
            <w:tcW w:w="170" w:type="dxa"/>
            <w:tcBorders/>
            <w:shd w:fill="BAE2F8" w:val="clear"/>
            <w:vAlign w:val="center"/>
          </w:tcPr>
          <w:p>
            <w:pPr>
              <w:pStyle w:val="TableContents"/>
              <w:bidi w:val="0"/>
              <w:spacing w:before="0" w:after="0"/>
              <w:jc w:val="left"/>
              <w:rPr/>
            </w:pPr>
            <w:r>
              <w:rPr/>
              <w:t> </w:t>
            </w:r>
          </w:p>
        </w:tc>
        <w:tc>
          <w:tcPr>
            <w:tcW w:w="5030"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 xml:space="preserve">Robust Responsibilities and Duties Assigned to Independent Chair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620"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Yes</w:t>
            </w:r>
          </w:p>
        </w:tc>
        <w:tc>
          <w:tcPr>
            <w:tcW w:w="215" w:type="dxa"/>
            <w:tcBorders/>
            <w:shd w:fill="BAE2F8"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1640" w:type="dxa"/>
            <w:vMerge w:val="restart"/>
            <w:tcBorders/>
            <w:vAlign w:val="center"/>
          </w:tcPr>
          <w:p>
            <w:pPr>
              <w:pStyle w:val="TableContents"/>
              <w:bidi w:val="0"/>
              <w:spacing w:before="0" w:after="283"/>
              <w:ind w:left="20" w:right="0" w:hanging="0"/>
              <w:jc w:val="left"/>
              <w:rPr>
                <w:rFonts w:ascii="Arial;Helvetica;sans-serif" w:hAnsi="Arial;Helvetica;sans-serif"/>
                <w:b/>
                <w:i/>
                <w:color w:val="3F609D"/>
                <w:sz w:val="16"/>
              </w:rPr>
            </w:pPr>
            <w:r>
              <w:rPr>
                <w:rFonts w:ascii="Arial;Helvetica;sans-serif" w:hAnsi="Arial;Helvetica;sans-serif"/>
                <w:b/>
                <w:i/>
                <w:color w:val="3F609D"/>
                <w:sz w:val="16"/>
              </w:rPr>
              <w:t>Meetings:</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0" w:type="dxa"/>
            <w:tcBorders/>
            <w:vAlign w:val="center"/>
          </w:tcPr>
          <w:p>
            <w:pPr>
              <w:pStyle w:val="TableContents"/>
              <w:bidi w:val="0"/>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 xml:space="preserve">Number of Board Meetings Held in 2024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4</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64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30" w:type="dxa"/>
            <w:tcBorders/>
            <w:vAlign w:val="center"/>
          </w:tcPr>
          <w:p>
            <w:pPr>
              <w:pStyle w:val="TableContents"/>
              <w:bidi w:val="0"/>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 xml:space="preserve">Directors Attending Fewer than 75% of Board Meetings in 2024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0</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64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30" w:type="dxa"/>
            <w:tcBorders/>
            <w:vAlign w:val="center"/>
          </w:tcPr>
          <w:p>
            <w:pPr>
              <w:pStyle w:val="TableContents"/>
              <w:bidi w:val="0"/>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 xml:space="preserve">Independent Directors Meet Without Management Present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Yes</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64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30" w:type="dxa"/>
            <w:tcBorders/>
            <w:vAlign w:val="center"/>
          </w:tcPr>
          <w:p>
            <w:pPr>
              <w:pStyle w:val="TableContents"/>
              <w:bidi w:val="0"/>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 xml:space="preserve">Number of Standing Committee Meetings Held in 2024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9</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64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30" w:type="dxa"/>
            <w:tcBorders/>
            <w:vAlign w:val="center"/>
          </w:tcPr>
          <w:p>
            <w:pPr>
              <w:pStyle w:val="TableContents"/>
              <w:bidi w:val="0"/>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 xml:space="preserve">Members Attending Fewer than 75% of Committee Meetings in 2024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0</w:t>
            </w:r>
          </w:p>
        </w:tc>
        <w:tc>
          <w:tcPr>
            <w:tcW w:w="215" w:type="dxa"/>
            <w:tcBorders/>
            <w:vAlign w:val="center"/>
          </w:tcPr>
          <w:p>
            <w:pPr>
              <w:pStyle w:val="TableContents"/>
              <w:bidi w:val="0"/>
              <w:spacing w:before="0" w:after="0"/>
              <w:jc w:val="left"/>
              <w:rPr/>
            </w:pPr>
            <w:r>
              <w:rPr/>
              <w:t> </w:t>
            </w:r>
          </w:p>
        </w:tc>
      </w:tr>
      <w:tr>
        <w:trPr/>
        <w:tc>
          <w:tcPr>
            <w:tcW w:w="185" w:type="dxa"/>
            <w:vMerge w:val="restart"/>
            <w:tcBorders/>
            <w:shd w:fill="BAE2F8" w:val="clear"/>
            <w:vAlign w:val="center"/>
          </w:tcPr>
          <w:p>
            <w:pPr>
              <w:pStyle w:val="TableContents"/>
              <w:bidi w:val="0"/>
              <w:spacing w:before="0" w:after="0"/>
              <w:jc w:val="left"/>
              <w:rPr/>
            </w:pPr>
            <w:r>
              <w:rPr/>
              <w:t> </w:t>
            </w:r>
          </w:p>
        </w:tc>
        <w:tc>
          <w:tcPr>
            <w:tcW w:w="1640" w:type="dxa"/>
            <w:vMerge w:val="restart"/>
            <w:tcBorders/>
            <w:shd w:fill="BAE2F8" w:val="clear"/>
            <w:vAlign w:val="center"/>
          </w:tcPr>
          <w:p>
            <w:pPr>
              <w:pStyle w:val="TableContents"/>
              <w:bidi w:val="0"/>
              <w:spacing w:before="0" w:after="283"/>
              <w:ind w:left="20" w:right="0" w:hanging="0"/>
              <w:jc w:val="left"/>
              <w:rPr>
                <w:rFonts w:ascii="Arial;Helvetica;sans-serif" w:hAnsi="Arial;Helvetica;sans-serif"/>
                <w:b/>
                <w:i/>
                <w:color w:val="3F609D"/>
                <w:sz w:val="16"/>
              </w:rPr>
            </w:pPr>
            <w:r>
              <w:rPr>
                <w:rFonts w:ascii="Arial;Helvetica;sans-serif" w:hAnsi="Arial;Helvetica;sans-serif"/>
                <w:b/>
                <w:i/>
                <w:color w:val="3F609D"/>
                <w:sz w:val="16"/>
              </w:rPr>
              <w:t>Director Status:</w:t>
            </w:r>
          </w:p>
        </w:tc>
        <w:tc>
          <w:tcPr>
            <w:tcW w:w="170" w:type="dxa"/>
            <w:vMerge w:val="restart"/>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5030"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 xml:space="preserve">Directors Overboarded per ISS or Glass Lewis Voting Guidelines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620"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None</w:t>
            </w:r>
          </w:p>
        </w:tc>
        <w:tc>
          <w:tcPr>
            <w:tcW w:w="215" w:type="dxa"/>
            <w:tcBorders/>
            <w:shd w:fill="BAE2F8" w:val="clear"/>
            <w:vAlign w:val="center"/>
          </w:tcPr>
          <w:p>
            <w:pPr>
              <w:pStyle w:val="TableContents"/>
              <w:bidi w:val="0"/>
              <w:spacing w:before="0" w:after="0"/>
              <w:jc w:val="left"/>
              <w:rPr/>
            </w:pPr>
            <w:r>
              <w:rPr/>
              <w:t> </w:t>
            </w:r>
          </w:p>
        </w:tc>
      </w:tr>
      <w:tr>
        <w:trPr/>
        <w:tc>
          <w:tcPr>
            <w:tcW w:w="185" w:type="dxa"/>
            <w:vMerge w:val="continue"/>
            <w:tcBorders/>
            <w:shd w:fill="BAE2F8" w:val="clear"/>
            <w:vAlign w:val="center"/>
          </w:tcPr>
          <w:p>
            <w:pPr>
              <w:pStyle w:val="Normal"/>
              <w:bidi w:val="0"/>
              <w:jc w:val="left"/>
              <w:rPr/>
            </w:pPr>
            <w:r>
              <w:rPr/>
            </w:r>
          </w:p>
        </w:tc>
        <w:tc>
          <w:tcPr>
            <w:tcW w:w="1640" w:type="dxa"/>
            <w:vMerge w:val="continue"/>
            <w:tcBorders/>
            <w:shd w:fill="BAE2F8" w:val="clear"/>
            <w:vAlign w:val="center"/>
          </w:tcPr>
          <w:p>
            <w:pPr>
              <w:pStyle w:val="Normal"/>
              <w:bidi w:val="0"/>
              <w:jc w:val="left"/>
              <w:rPr/>
            </w:pPr>
            <w:r>
              <w:rPr/>
            </w:r>
          </w:p>
        </w:tc>
        <w:tc>
          <w:tcPr>
            <w:tcW w:w="170" w:type="dxa"/>
            <w:vMerge w:val="continue"/>
            <w:tcBorders/>
            <w:shd w:fill="BAE2F8" w:val="clear"/>
            <w:vAlign w:val="center"/>
          </w:tcPr>
          <w:p>
            <w:pPr>
              <w:pStyle w:val="Normal"/>
              <w:bidi w:val="0"/>
              <w:jc w:val="left"/>
              <w:rPr/>
            </w:pPr>
            <w:r>
              <w:rPr/>
            </w:r>
          </w:p>
        </w:tc>
        <w:tc>
          <w:tcPr>
            <w:tcW w:w="170" w:type="dxa"/>
            <w:tcBorders/>
            <w:shd w:fill="BAE2F8" w:val="clear"/>
            <w:vAlign w:val="center"/>
          </w:tcPr>
          <w:p>
            <w:pPr>
              <w:pStyle w:val="TableContents"/>
              <w:bidi w:val="0"/>
              <w:spacing w:before="0" w:after="0"/>
              <w:jc w:val="left"/>
              <w:rPr/>
            </w:pPr>
            <w:r>
              <w:rPr/>
              <w:t> </w:t>
            </w:r>
          </w:p>
        </w:tc>
        <w:tc>
          <w:tcPr>
            <w:tcW w:w="5030"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 xml:space="preserve">Standing Board Committee Membership Independence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620"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100%</w:t>
            </w:r>
          </w:p>
        </w:tc>
        <w:tc>
          <w:tcPr>
            <w:tcW w:w="215" w:type="dxa"/>
            <w:tcBorders/>
            <w:shd w:fill="BAE2F8" w:val="clear"/>
            <w:vAlign w:val="center"/>
          </w:tcPr>
          <w:p>
            <w:pPr>
              <w:pStyle w:val="TableContents"/>
              <w:bidi w:val="0"/>
              <w:spacing w:before="0" w:after="0"/>
              <w:jc w:val="left"/>
              <w:rPr/>
            </w:pPr>
            <w:r>
              <w:rPr/>
              <w:t> </w:t>
            </w:r>
          </w:p>
        </w:tc>
      </w:tr>
      <w:tr>
        <w:trPr/>
        <w:tc>
          <w:tcPr>
            <w:tcW w:w="185" w:type="dxa"/>
            <w:vMerge w:val="continue"/>
            <w:tcBorders/>
            <w:shd w:fill="BAE2F8" w:val="clear"/>
            <w:vAlign w:val="center"/>
          </w:tcPr>
          <w:p>
            <w:pPr>
              <w:pStyle w:val="Normal"/>
              <w:bidi w:val="0"/>
              <w:jc w:val="left"/>
              <w:rPr/>
            </w:pPr>
            <w:r>
              <w:rPr/>
            </w:r>
          </w:p>
        </w:tc>
        <w:tc>
          <w:tcPr>
            <w:tcW w:w="1640" w:type="dxa"/>
            <w:vMerge w:val="continue"/>
            <w:tcBorders/>
            <w:shd w:fill="BAE2F8" w:val="clear"/>
            <w:vAlign w:val="center"/>
          </w:tcPr>
          <w:p>
            <w:pPr>
              <w:pStyle w:val="Normal"/>
              <w:bidi w:val="0"/>
              <w:jc w:val="left"/>
              <w:rPr/>
            </w:pPr>
            <w:r>
              <w:rPr/>
            </w:r>
          </w:p>
        </w:tc>
        <w:tc>
          <w:tcPr>
            <w:tcW w:w="170" w:type="dxa"/>
            <w:vMerge w:val="continue"/>
            <w:tcBorders/>
            <w:shd w:fill="BAE2F8" w:val="clear"/>
            <w:vAlign w:val="center"/>
          </w:tcPr>
          <w:p>
            <w:pPr>
              <w:pStyle w:val="Normal"/>
              <w:bidi w:val="0"/>
              <w:jc w:val="left"/>
              <w:rPr/>
            </w:pPr>
            <w:r>
              <w:rPr/>
            </w:r>
          </w:p>
        </w:tc>
        <w:tc>
          <w:tcPr>
            <w:tcW w:w="170" w:type="dxa"/>
            <w:tcBorders/>
            <w:shd w:fill="BAE2F8" w:val="clear"/>
            <w:vAlign w:val="center"/>
          </w:tcPr>
          <w:p>
            <w:pPr>
              <w:pStyle w:val="TableContents"/>
              <w:bidi w:val="0"/>
              <w:spacing w:before="0" w:after="0"/>
              <w:jc w:val="left"/>
              <w:rPr/>
            </w:pPr>
            <w:r>
              <w:rPr/>
              <w:t> </w:t>
            </w:r>
          </w:p>
        </w:tc>
        <w:tc>
          <w:tcPr>
            <w:tcW w:w="5030"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 xml:space="preserve">Board Oversight of Company Strategy and Risk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620"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Yes</w:t>
            </w:r>
          </w:p>
        </w:tc>
        <w:tc>
          <w:tcPr>
            <w:tcW w:w="215" w:type="dxa"/>
            <w:tcBorders/>
            <w:shd w:fill="BAE2F8" w:val="clear"/>
            <w:vAlign w:val="center"/>
          </w:tcPr>
          <w:p>
            <w:pPr>
              <w:pStyle w:val="TableContents"/>
              <w:bidi w:val="0"/>
              <w:spacing w:before="0" w:after="0"/>
              <w:jc w:val="left"/>
              <w:rPr/>
            </w:pPr>
            <w:r>
              <w:rPr/>
              <w:t> </w:t>
            </w:r>
          </w:p>
        </w:tc>
      </w:tr>
      <w:tr>
        <w:trPr/>
        <w:tc>
          <w:tcPr>
            <w:tcW w:w="185" w:type="dxa"/>
            <w:vMerge w:val="continue"/>
            <w:tcBorders/>
            <w:shd w:fill="BAE2F8" w:val="clear"/>
            <w:vAlign w:val="center"/>
          </w:tcPr>
          <w:p>
            <w:pPr>
              <w:pStyle w:val="Normal"/>
              <w:bidi w:val="0"/>
              <w:jc w:val="left"/>
              <w:rPr/>
            </w:pPr>
            <w:r>
              <w:rPr/>
            </w:r>
          </w:p>
        </w:tc>
        <w:tc>
          <w:tcPr>
            <w:tcW w:w="1640" w:type="dxa"/>
            <w:vMerge w:val="continue"/>
            <w:tcBorders/>
            <w:shd w:fill="BAE2F8" w:val="clear"/>
            <w:vAlign w:val="center"/>
          </w:tcPr>
          <w:p>
            <w:pPr>
              <w:pStyle w:val="Normal"/>
              <w:bidi w:val="0"/>
              <w:jc w:val="left"/>
              <w:rPr/>
            </w:pPr>
            <w:r>
              <w:rPr/>
            </w:r>
          </w:p>
        </w:tc>
        <w:tc>
          <w:tcPr>
            <w:tcW w:w="170" w:type="dxa"/>
            <w:vMerge w:val="continue"/>
            <w:tcBorders/>
            <w:shd w:fill="BAE2F8" w:val="clear"/>
            <w:vAlign w:val="center"/>
          </w:tcPr>
          <w:p>
            <w:pPr>
              <w:pStyle w:val="Normal"/>
              <w:bidi w:val="0"/>
              <w:jc w:val="left"/>
              <w:rPr/>
            </w:pPr>
            <w:r>
              <w:rPr/>
            </w:r>
          </w:p>
        </w:tc>
        <w:tc>
          <w:tcPr>
            <w:tcW w:w="170" w:type="dxa"/>
            <w:tcBorders/>
            <w:shd w:fill="BAE2F8" w:val="clear"/>
            <w:vAlign w:val="center"/>
          </w:tcPr>
          <w:p>
            <w:pPr>
              <w:pStyle w:val="TableContents"/>
              <w:bidi w:val="0"/>
              <w:spacing w:before="0" w:after="0"/>
              <w:jc w:val="left"/>
              <w:rPr/>
            </w:pPr>
            <w:r>
              <w:rPr/>
              <w:t> </w:t>
            </w:r>
          </w:p>
        </w:tc>
        <w:tc>
          <w:tcPr>
            <w:tcW w:w="5030"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 xml:space="preserve">Shares Pledged by Directors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620"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None</w:t>
            </w:r>
          </w:p>
        </w:tc>
        <w:tc>
          <w:tcPr>
            <w:tcW w:w="215" w:type="dxa"/>
            <w:tcBorders/>
            <w:shd w:fill="BAE2F8"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1640" w:type="dxa"/>
            <w:vMerge w:val="restart"/>
            <w:tcBorders/>
            <w:vAlign w:val="center"/>
          </w:tcPr>
          <w:p>
            <w:pPr>
              <w:pStyle w:val="TableContents"/>
              <w:bidi w:val="0"/>
              <w:spacing w:before="0" w:after="283"/>
              <w:ind w:left="20" w:right="0" w:hanging="0"/>
              <w:jc w:val="left"/>
              <w:rPr>
                <w:rFonts w:ascii="Arial;Helvetica;sans-serif" w:hAnsi="Arial;Helvetica;sans-serif"/>
                <w:b/>
                <w:i/>
                <w:color w:val="3F609D"/>
                <w:sz w:val="16"/>
              </w:rPr>
            </w:pPr>
            <w:r>
              <w:rPr>
                <w:rFonts w:ascii="Arial;Helvetica;sans-serif" w:hAnsi="Arial;Helvetica;sans-serif"/>
                <w:b/>
                <w:i/>
                <w:color w:val="3F609D"/>
                <w:sz w:val="16"/>
              </w:rPr>
              <w:t>Stockholder Rights:</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0" w:type="dxa"/>
            <w:tcBorders/>
            <w:vAlign w:val="center"/>
          </w:tcPr>
          <w:p>
            <w:pPr>
              <w:pStyle w:val="TableContents"/>
              <w:bidi w:val="0"/>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 xml:space="preserve">Cumulative Voting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No</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64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30" w:type="dxa"/>
            <w:tcBorders/>
            <w:vAlign w:val="center"/>
          </w:tcPr>
          <w:p>
            <w:pPr>
              <w:pStyle w:val="TableContents"/>
              <w:bidi w:val="0"/>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 xml:space="preserve">Proxy Access Bylaw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Yes</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7340" w:type="dxa"/>
        <w:jc w:val="left"/>
        <w:tblInd w:w="960" w:type="dxa"/>
        <w:tblLayout w:type="fixed"/>
        <w:tblCellMar>
          <w:top w:w="0" w:type="dxa"/>
          <w:left w:w="0" w:type="dxa"/>
          <w:bottom w:w="0" w:type="dxa"/>
          <w:right w:w="0" w:type="dxa"/>
        </w:tblCellMar>
      </w:tblPr>
      <w:tblGrid>
        <w:gridCol w:w="465"/>
        <w:gridCol w:w="6875"/>
      </w:tblGrid>
      <w:tr>
        <w:trPr/>
        <w:tc>
          <w:tcPr>
            <w:tcW w:w="465" w:type="dxa"/>
            <w:tcBorders/>
            <w:vAlign w:val="center"/>
          </w:tcPr>
          <w:p>
            <w:pPr>
              <w:pStyle w:val="TableContents"/>
              <w:bidi w:val="0"/>
              <w:spacing w:before="0" w:after="0"/>
              <w:jc w:val="left"/>
              <w:rPr>
                <w:color w:val="0079C1"/>
              </w:rPr>
            </w:pPr>
            <w:r>
              <w:rPr>
                <w:color w:val="0079C1"/>
              </w:rPr>
              <w:drawing>
                <wp:inline distT="0" distB="0" distL="0" distR="0">
                  <wp:extent cx="276225" cy="276225"/>
                  <wp:effectExtent l="0" t="0" r="0" b="0"/>
                  <wp:docPr id="1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3" descr=""/>
                          <pic:cNvPicPr>
                            <a:picLocks noChangeAspect="1" noChangeArrowheads="1"/>
                          </pic:cNvPicPr>
                        </pic:nvPicPr>
                        <pic:blipFill>
                          <a:blip r:embed="rId17"/>
                          <a:stretch>
                            <a:fillRect/>
                          </a:stretch>
                        </pic:blipFill>
                        <pic:spPr bwMode="auto">
                          <a:xfrm>
                            <a:off x="0" y="0"/>
                            <a:ext cx="276225" cy="276225"/>
                          </a:xfrm>
                          <a:prstGeom prst="rect">
                            <a:avLst/>
                          </a:prstGeom>
                        </pic:spPr>
                      </pic:pic>
                    </a:graphicData>
                  </a:graphic>
                </wp:inline>
              </w:drawing>
            </w:r>
          </w:p>
        </w:tc>
        <w:tc>
          <w:tcPr>
            <w:tcW w:w="6875" w:type="dxa"/>
            <w:tcBorders/>
            <w:vAlign w:val="center"/>
          </w:tcPr>
          <w:p>
            <w:pPr>
              <w:pStyle w:val="TableContents"/>
              <w:bidi w:val="0"/>
              <w:spacing w:before="0" w:after="0"/>
              <w:jc w:val="left"/>
              <w:rPr>
                <w:rFonts w:ascii="Arial;Helvetica;sans-serif" w:hAnsi="Arial;Helvetica;sans-serif"/>
                <w:b/>
                <w:color w:val="0079C1"/>
                <w:sz w:val="24"/>
              </w:rPr>
            </w:pPr>
            <w:r>
              <w:rPr>
                <w:rFonts w:ascii="Arial;Helvetica;sans-serif" w:hAnsi="Arial;Helvetica;sans-serif"/>
                <w:b/>
                <w:color w:val="0079C1"/>
                <w:sz w:val="24"/>
              </w:rPr>
              <w:t>Ratification of Appointment of Independent Auditor for 2025</w:t>
            </w:r>
          </w:p>
        </w:tc>
      </w:tr>
    </w:tbl>
    <w:p>
      <w:pPr>
        <w:pStyle w:val="TextBody"/>
        <w:bidi w:val="0"/>
        <w:spacing w:before="200" w:after="283"/>
        <w:ind w:left="960" w:right="0" w:hanging="0"/>
        <w:jc w:val="both"/>
        <w:rPr>
          <w:rFonts w:ascii="Arial;Helvetica;sans-serif" w:hAnsi="Arial;Helvetica;sans-serif"/>
          <w:color w:val="4C4C4C"/>
          <w:sz w:val="20"/>
          <w:bdr w:val="single" w:sz="40" w:space="1" w:color="BAE2F8"/>
        </w:rPr>
      </w:pPr>
      <w:r>
        <w:rPr>
          <w:rFonts w:ascii="Arial;Helvetica;sans-serif" w:hAnsi="Arial;Helvetica;sans-serif"/>
          <w:color w:val="4C4C4C"/>
          <w:sz w:val="20"/>
          <w:bdr w:val="single" w:sz="40" w:space="1" w:color="BAE2F8"/>
        </w:rPr>
        <w:t>We are asking stockholders to ratify the audit committee’s retention of Ernst &amp; Young Hua Ming LLP as our independent registered public accounting firm to examine and report on our consolidated financial statements and internal controls over financial reporting for the fiscal year ending December 31, 2025.</w:t>
      </w:r>
    </w:p>
    <w:p>
      <w:pPr>
        <w:pStyle w:val="TextBody"/>
        <w:bidi w:val="0"/>
        <w:spacing w:before="280" w:after="283"/>
        <w:ind w:left="960" w:right="0" w:hanging="0"/>
        <w:jc w:val="left"/>
        <w:rPr>
          <w:rFonts w:ascii="Arial;Helvetica;sans-serif" w:hAnsi="Arial;Helvetica;sans-serif"/>
          <w:b/>
          <w:color w:val="0079C1"/>
          <w:sz w:val="24"/>
          <w:bdr w:val="single" w:sz="40" w:space="1" w:color="BAE2F8"/>
        </w:rPr>
      </w:pPr>
      <w:r>
        <w:rPr>
          <w:rFonts w:ascii="Arial;Helvetica;sans-serif" w:hAnsi="Arial;Helvetica;sans-serif"/>
          <w:b/>
          <w:color w:val="0079C1"/>
          <w:sz w:val="24"/>
          <w:bdr w:val="single" w:sz="40" w:space="1" w:color="BAE2F8"/>
        </w:rPr>
        <w:t>Participation in the Virtual Annual Meeting</w:t>
      </w:r>
    </w:p>
    <w:p>
      <w:pPr>
        <w:pStyle w:val="TextBody"/>
        <w:bidi w:val="0"/>
        <w:spacing w:before="200" w:after="283"/>
        <w:ind w:left="960" w:right="0" w:hanging="0"/>
        <w:jc w:val="both"/>
        <w:rPr>
          <w:rFonts w:ascii="Arial;Helvetica;sans-serif" w:hAnsi="Arial;Helvetica;sans-serif"/>
          <w:color w:val="4C4C4C"/>
          <w:sz w:val="20"/>
          <w:bdr w:val="single" w:sz="40" w:space="1" w:color="BAE2F8"/>
        </w:rPr>
      </w:pPr>
      <w:r>
        <w:rPr>
          <w:rFonts w:ascii="Arial;Helvetica;sans-serif" w:hAnsi="Arial;Helvetica;sans-serif"/>
          <w:color w:val="4C4C4C"/>
          <w:sz w:val="20"/>
          <w:bdr w:val="single" w:sz="40" w:space="1" w:color="BAE2F8"/>
        </w:rPr>
        <w:t>The board of directors considers the appropriate format of our Annual Meeting of Stockholders on an annual basis. This year the board again chose a virtual meeting format for the Annual Meeting in an effort to facilitate stockholder attendance and participation by enabling stockholders to participate fully, and equally, from any location around the world, at no cost. The virtual meeting format will allow our stockholders to engage with us at the Annual Meeting from any geographic location, using any convenient internet connected devices, including smart phones and tablets, laptop or desktop computers. We will be able to engage with all stockholders as opposed to just those who can afford to travel to an in-person meeting. The virtual format allows stockholders to submit questions and comments during the meeting.</w:t>
      </w:r>
    </w:p>
    <w:tbl>
      <w:tblPr>
        <w:tblW w:w="230" w:type="dxa"/>
        <w:jc w:val="left"/>
        <w:tblInd w:w="96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4" w:name="ny20042784x1_def14a_106-summary_pg4"/>
        <w:bookmarkEnd w:id="14"/>
        <w:r>
          <w:rPr>
            <w:rStyle w:val="InternetLink"/>
            <w:rFonts w:ascii="Times New Roman;Times;Serif" w:hAnsi="Times New Roman;Times;Serif"/>
            <w:b/>
            <w:caps w:val="false"/>
            <w:smallCaps w:val="false"/>
            <w:color w:val="000000"/>
            <w:sz w:val="16"/>
            <w:bdr w:val="single" w:sz="40" w:space="1" w:color="BAE2F8"/>
          </w:rPr>
          <w:t>TABLE OF CONTENTS</w:t>
        </w:r>
      </w:hyperlink>
    </w:p>
    <w:p>
      <w:pPr>
        <w:pStyle w:val="TextBody"/>
        <w:bidi w:val="0"/>
        <w:spacing w:before="135" w:after="283"/>
        <w:ind w:left="960" w:right="0" w:hanging="0"/>
        <w:jc w:val="both"/>
        <w:rPr>
          <w:rFonts w:ascii="Arial;Helvetica;sans-serif" w:hAnsi="Arial;Helvetica;sans-serif"/>
          <w:color w:val="4C4C4C"/>
          <w:sz w:val="20"/>
          <w:bdr w:val="single" w:sz="40" w:space="1" w:color="BAE2F8"/>
        </w:rPr>
      </w:pPr>
      <w:r>
        <w:rPr>
          <w:rFonts w:ascii="Arial;Helvetica;sans-serif" w:hAnsi="Arial;Helvetica;sans-serif"/>
          <w:color w:val="4C4C4C"/>
          <w:sz w:val="20"/>
          <w:bdr w:val="single" w:sz="40" w:space="1" w:color="BAE2F8"/>
        </w:rPr>
        <w:t xml:space="preserve">The live audio webcast of the Annual Meeting will be available for listening by the general public, but participation in the Annual Meeting, including voting shares and submitting questions, will be limited to stockholders. To ensure they can participate, stockholders and proxy holders should visit </w:t>
      </w:r>
      <w:r>
        <w:rPr>
          <w:rFonts w:ascii="Arial;Helvetica;sans-serif" w:hAnsi="Arial;Helvetica;sans-serif"/>
          <w:i/>
          <w:color w:val="000000"/>
          <w:sz w:val="20"/>
          <w:bdr w:val="single" w:sz="40" w:space="1" w:color="BAE2F8"/>
        </w:rPr>
        <w:t>virtualshareholdermeeting.com/ACMR2025</w:t>
      </w:r>
      <w:r>
        <w:rPr>
          <w:rFonts w:ascii="Arial;Helvetica;sans-serif" w:hAnsi="Arial;Helvetica;sans-serif"/>
          <w:color w:val="4C4C4C"/>
          <w:sz w:val="20"/>
          <w:bdr w:val="single" w:sz="40" w:space="1" w:color="BAE2F8"/>
        </w:rPr>
        <w:t xml:space="preserve"> and enter the 16-digit control number included on their Notice of Internet Availability of Proxy Materials or proxy card. If you wish to participate in the meeting and your shares are held in street name, you must obtain, from the broker, bank or other organization that holds your shares, the information required, including a 16-digit control number, in order for you to be able to participate in, and vote at, the Annual Meeting.</w:t>
      </w:r>
    </w:p>
    <w:p>
      <w:pPr>
        <w:pStyle w:val="TextBody"/>
        <w:bidi w:val="0"/>
        <w:spacing w:before="200" w:after="283"/>
        <w:ind w:left="960" w:right="0" w:hanging="0"/>
        <w:jc w:val="both"/>
        <w:rPr>
          <w:rFonts w:ascii="Arial;Helvetica;sans-serif" w:hAnsi="Arial;Helvetica;sans-serif"/>
          <w:color w:val="4C4C4C"/>
          <w:sz w:val="20"/>
          <w:bdr w:val="single" w:sz="40" w:space="1" w:color="BAE2F8"/>
        </w:rPr>
      </w:pPr>
      <w:r>
        <w:rPr>
          <w:rFonts w:ascii="Arial;Helvetica;sans-serif" w:hAnsi="Arial;Helvetica;sans-serif"/>
          <w:color w:val="4C4C4C"/>
          <w:sz w:val="20"/>
          <w:bdr w:val="single" w:sz="40" w:space="1" w:color="BAE2F8"/>
        </w:rPr>
        <w:t xml:space="preserve">Stockholders can vote their shares and submit questions via the Internet during the Annual Meeting by accessing the Annual Meeting website at </w:t>
      </w:r>
      <w:r>
        <w:rPr>
          <w:rFonts w:ascii="Arial;Helvetica;sans-serif" w:hAnsi="Arial;Helvetica;sans-serif"/>
          <w:i/>
          <w:color w:val="000000"/>
          <w:sz w:val="20"/>
          <w:bdr w:val="single" w:sz="40" w:space="1" w:color="BAE2F8"/>
        </w:rPr>
        <w:t>virtualshareholdermeeting.com/ACMR2025</w:t>
      </w:r>
      <w:r>
        <w:rPr>
          <w:rFonts w:ascii="Arial;Helvetica;sans-serif" w:hAnsi="Arial;Helvetica;sans-serif"/>
          <w:color w:val="4C4C4C"/>
          <w:sz w:val="20"/>
          <w:bdr w:val="single" w:sz="40" w:space="1" w:color="BAE2F8"/>
        </w:rPr>
        <w:t xml:space="preserve">. We will answer any timely submitted questions on a matter to be voted on at the Annual Meeting before voting is closed on the matter. Following adjournment of the formal business of the Annual Meeting, we will address appropriate general questions from stockholders regarding ACM Research in the order in which the questions are received. Questions relating to stockholder proposals or ACM Research may be submitted in the field provided in the web portal at or before the time the questions are to be discussed. All questions received during the Annual Meeting will be presented as submitted, uncensored and unedited, except that we may omit certain personal details for data protection issues and we may edit profanity or other inappropriate language. If we receive substantially similar questions, we will group those questions together and provide a single response to avoid repetition. Additional information regarding the submission of questions during the Annual Meeting can be found in our 2025 Rules of Conduct and Procedure, a copy of which is attached hereto as </w:t>
      </w:r>
      <w:r>
        <w:rPr>
          <w:rFonts w:ascii="Arial;Helvetica;sans-serif" w:hAnsi="Arial;Helvetica;sans-serif"/>
          <w:i/>
          <w:color w:val="000000"/>
          <w:sz w:val="20"/>
          <w:bdr w:val="single" w:sz="40" w:space="1" w:color="BAE2F8"/>
        </w:rPr>
        <w:t xml:space="preserve">Appendix A. </w:t>
      </w:r>
      <w:r>
        <w:rPr>
          <w:rFonts w:ascii="Arial;Helvetica;sans-serif" w:hAnsi="Arial;Helvetica;sans-serif"/>
          <w:color w:val="4C4C4C"/>
          <w:sz w:val="20"/>
          <w:bdr w:val="single" w:sz="40" w:space="1" w:color="BAE2F8"/>
        </w:rPr>
        <w:t>Any material changes or updates to the 2025 Rules of Conduct and Procedure will be posted on our website and disclosed in a periodic report to the SEC on Form 8-K.</w:t>
      </w:r>
    </w:p>
    <w:p>
      <w:pPr>
        <w:pStyle w:val="TextBody"/>
        <w:bidi w:val="0"/>
        <w:spacing w:before="200" w:after="283"/>
        <w:ind w:left="960" w:right="0" w:hanging="0"/>
        <w:jc w:val="both"/>
        <w:rPr>
          <w:rFonts w:ascii="Arial;Helvetica;sans-serif" w:hAnsi="Arial;Helvetica;sans-serif"/>
          <w:color w:val="4C4C4C"/>
          <w:sz w:val="20"/>
          <w:bdr w:val="single" w:sz="40" w:space="1" w:color="BAE2F8"/>
        </w:rPr>
      </w:pPr>
      <w:r>
        <w:rPr>
          <w:rFonts w:ascii="Arial;Helvetica;sans-serif" w:hAnsi="Arial;Helvetica;sans-serif"/>
          <w:color w:val="4C4C4C"/>
          <w:sz w:val="20"/>
          <w:bdr w:val="single" w:sz="40" w:space="1" w:color="BAE2F8"/>
        </w:rPr>
        <w:t xml:space="preserve">Online check-in to the Annual Meeting webcast will begin at 6:45 a.m., Pacific time, and you should allow ample time to log in to the meeting webcast and test your computer audio system. During online check-in and continuing through the length of the Annual Meeting, we will have technicians standing by to assist you with any technical difficulties you may have accessing the virtual meeting. If you encounter any difficulties accessing the Annual Meeting during the check-in or at meeting time, you should call the technical support number available at </w:t>
      </w:r>
      <w:r>
        <w:rPr>
          <w:rFonts w:ascii="Arial;Helvetica;sans-serif" w:hAnsi="Arial;Helvetica;sans-serif"/>
          <w:i/>
          <w:color w:val="000000"/>
          <w:sz w:val="20"/>
          <w:bdr w:val="single" w:sz="40" w:space="1" w:color="BAE2F8"/>
        </w:rPr>
        <w:t>virtualshareholdermeeting.com/ACMR2025</w:t>
      </w:r>
      <w:r>
        <w:rPr>
          <w:rFonts w:ascii="Arial;Helvetica;sans-serif" w:hAnsi="Arial;Helvetica;sans-serif"/>
          <w:color w:val="4C4C4C"/>
          <w:sz w:val="20"/>
          <w:bdr w:val="single" w:sz="40" w:space="1" w:color="BAE2F8"/>
        </w:rPr>
        <w:t>.</w:t>
      </w:r>
    </w:p>
    <w:p>
      <w:pPr>
        <w:pStyle w:val="TextBody"/>
        <w:bidi w:val="0"/>
        <w:spacing w:before="200" w:after="283"/>
        <w:ind w:left="960" w:right="0" w:hanging="0"/>
        <w:jc w:val="both"/>
        <w:rPr>
          <w:rFonts w:ascii="Arial;Helvetica;sans-serif" w:hAnsi="Arial;Helvetica;sans-serif"/>
          <w:color w:val="4C4C4C"/>
          <w:sz w:val="20"/>
          <w:bdr w:val="single" w:sz="40" w:space="1" w:color="BAE2F8"/>
        </w:rPr>
      </w:pPr>
      <w:r>
        <w:rPr>
          <w:rFonts w:ascii="Arial;Helvetica;sans-serif" w:hAnsi="Arial;Helvetica;sans-serif"/>
          <w:color w:val="4C4C4C"/>
          <w:sz w:val="20"/>
          <w:bdr w:val="single" w:sz="40" w:space="1" w:color="BAE2F8"/>
        </w:rPr>
        <w:t xml:space="preserve">We have designed our virtual format to enhance, rather than constrain, stockholder access, participation and communication. For example, stockholders will be able to communicate with us during the Annual Meeting so they can ask questions. An audio replay of the Annual Meeting will be made publicly available at </w:t>
      </w:r>
      <w:r>
        <w:rPr>
          <w:rFonts w:ascii="Arial;Helvetica;sans-serif" w:hAnsi="Arial;Helvetica;sans-serif"/>
          <w:i/>
          <w:color w:val="000000"/>
          <w:sz w:val="20"/>
          <w:bdr w:val="single" w:sz="40" w:space="1" w:color="BAE2F8"/>
        </w:rPr>
        <w:t xml:space="preserve">ir.acmr.com/presentations </w:t>
      </w:r>
      <w:r>
        <w:rPr>
          <w:rFonts w:ascii="Arial;Helvetica;sans-serif" w:hAnsi="Arial;Helvetica;sans-serif"/>
          <w:color w:val="4C4C4C"/>
          <w:sz w:val="20"/>
          <w:bdr w:val="single" w:sz="40" w:space="1" w:color="BAE2F8"/>
        </w:rPr>
        <w:t>until our 2025 annual meeting of stockholders.</w:t>
      </w:r>
    </w:p>
    <w:p>
      <w:pPr>
        <w:pStyle w:val="TextBody"/>
        <w:bidi w:val="0"/>
        <w:spacing w:before="200" w:after="283"/>
        <w:ind w:left="960" w:right="0" w:hanging="0"/>
        <w:jc w:val="both"/>
        <w:rPr>
          <w:rFonts w:ascii="Arial;Helvetica;sans-serif" w:hAnsi="Arial;Helvetica;sans-serif"/>
          <w:color w:val="4C4C4C"/>
          <w:sz w:val="20"/>
          <w:bdr w:val="single" w:sz="40" w:space="1" w:color="BAE2F8"/>
        </w:rPr>
      </w:pPr>
      <w:r>
        <w:rPr>
          <w:rFonts w:ascii="Arial;Helvetica;sans-serif" w:hAnsi="Arial;Helvetica;sans-serif"/>
          <w:color w:val="4C4C4C"/>
          <w:sz w:val="20"/>
          <w:bdr w:val="single" w:sz="40" w:space="1" w:color="BAE2F8"/>
        </w:rPr>
        <w:t>This audio replay will include each stockholder question addressed during the Annual Meeting. We are utilizing technology from Broadridge Financial Solutions, Inc., or Broadridge, for the virtual meeting. The Broadridge platform is expected to accommodate most, if not all, stockholders.</w:t>
      </w:r>
    </w:p>
    <w:tbl>
      <w:tblPr>
        <w:tblW w:w="230" w:type="dxa"/>
        <w:jc w:val="left"/>
        <w:tblInd w:w="96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5" w:name="ny20042784x1_def14a_107-qa_pg1"/>
        <w:bookmarkEnd w:id="15"/>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Arial;Helvetica;sans-serif" w:hAnsi="Arial;Helvetica;sans-serif"/>
          <w:b/>
          <w:color w:val="0D3F64"/>
          <w:sz w:val="28"/>
        </w:rPr>
      </w:pPr>
      <w:bookmarkStart w:id="16" w:name="tQAA"/>
      <w:bookmarkEnd w:id="16"/>
      <w:r>
        <w:rPr>
          <w:rFonts w:ascii="Arial;Helvetica;sans-serif" w:hAnsi="Arial;Helvetica;sans-serif"/>
          <w:b/>
          <w:color w:val="0D3F64"/>
          <w:sz w:val="28"/>
        </w:rPr>
        <w:t>Questions and Answers About the Annual Meeting</w:t>
      </w:r>
    </w:p>
    <w:tbl>
      <w:tblPr>
        <w:tblW w:w="5605" w:type="dxa"/>
        <w:jc w:val="left"/>
        <w:tblInd w:w="0" w:type="dxa"/>
        <w:tblLayout w:type="fixed"/>
        <w:tblCellMar>
          <w:top w:w="0" w:type="dxa"/>
          <w:left w:w="0" w:type="dxa"/>
          <w:bottom w:w="0" w:type="dxa"/>
          <w:right w:w="0" w:type="dxa"/>
        </w:tblCellMar>
      </w:tblPr>
      <w:tblGrid>
        <w:gridCol w:w="305"/>
        <w:gridCol w:w="5300"/>
      </w:tblGrid>
      <w:tr>
        <w:trPr/>
        <w:tc>
          <w:tcPr>
            <w:tcW w:w="305"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Q:</w:t>
            </w:r>
          </w:p>
        </w:tc>
        <w:tc>
          <w:tcPr>
            <w:tcW w:w="5300"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When and where will the Annual Meeting be held?</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Arial;Helvetica;sans-serif" w:hAnsi="Arial;Helvetica;sans-serif"/>
                <w:b/>
                <w:color w:val="4C4C4C"/>
                <w:sz w:val="20"/>
              </w:rPr>
            </w:pPr>
            <w:r>
              <w:rPr>
                <w:rFonts w:ascii="Arial;Helvetica;sans-serif" w:hAnsi="Arial;Helvetica;sans-serif"/>
                <w:b/>
                <w:color w:val="4C4C4C"/>
                <w:sz w:val="20"/>
              </w:rPr>
              <w:t>A:</w:t>
            </w:r>
          </w:p>
        </w:tc>
        <w:tc>
          <w:tcPr>
            <w:tcW w:w="9998" w:type="dxa"/>
            <w:tcBorders/>
            <w:vAlign w:val="center"/>
          </w:tcPr>
          <w:p>
            <w:pPr>
              <w:pStyle w:val="TableContents"/>
              <w:bidi w:val="0"/>
              <w:spacing w:before="0" w:after="0"/>
              <w:jc w:val="both"/>
              <w:rPr>
                <w:rFonts w:ascii="Arial;Helvetica;sans-serif" w:hAnsi="Arial;Helvetica;sans-serif"/>
                <w:b/>
                <w:color w:val="4C4C4C"/>
                <w:sz w:val="20"/>
              </w:rPr>
            </w:pPr>
            <w:r>
              <w:rPr>
                <w:rFonts w:ascii="Arial;Helvetica;sans-serif" w:hAnsi="Arial;Helvetica;sans-serif"/>
                <w:b w:val="false"/>
                <w:color w:val="4C4C4C"/>
                <w:sz w:val="20"/>
              </w:rPr>
              <w:t xml:space="preserve">This year the Annual Meeting of Stockholders of ACM Research, Inc., which we refer to as the Annual Meeting, will again be held exclusively by webcast at </w:t>
            </w:r>
            <w:r>
              <w:rPr>
                <w:rFonts w:ascii="Arial;Helvetica;sans-serif" w:hAnsi="Arial;Helvetica;sans-serif"/>
                <w:b w:val="false"/>
                <w:i/>
                <w:color w:val="4C4C4C"/>
                <w:sz w:val="20"/>
              </w:rPr>
              <w:t xml:space="preserve">virtualshareholdermeeting.com/ACMR2025, </w:t>
            </w:r>
            <w:r>
              <w:rPr>
                <w:rFonts w:ascii="Arial;Helvetica;sans-serif" w:hAnsi="Arial;Helvetica;sans-serif"/>
                <w:b w:val="false"/>
                <w:color w:val="4C4C4C"/>
                <w:sz w:val="20"/>
              </w:rPr>
              <w:t>beginning at 7 a.m., Pacific time, on June 12, 2025.</w:t>
            </w:r>
          </w:p>
        </w:tc>
      </w:tr>
    </w:tbl>
    <w:tbl>
      <w:tblPr>
        <w:tblW w:w="4030" w:type="dxa"/>
        <w:jc w:val="left"/>
        <w:tblInd w:w="0" w:type="dxa"/>
        <w:tblLayout w:type="fixed"/>
        <w:tblCellMar>
          <w:top w:w="0" w:type="dxa"/>
          <w:left w:w="0" w:type="dxa"/>
          <w:bottom w:w="0" w:type="dxa"/>
          <w:right w:w="0" w:type="dxa"/>
        </w:tblCellMar>
      </w:tblPr>
      <w:tblGrid>
        <w:gridCol w:w="305"/>
        <w:gridCol w:w="3725"/>
      </w:tblGrid>
      <w:tr>
        <w:trPr/>
        <w:tc>
          <w:tcPr>
            <w:tcW w:w="305"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Q:</w:t>
            </w:r>
          </w:p>
        </w:tc>
        <w:tc>
          <w:tcPr>
            <w:tcW w:w="3725"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Who may join the Annual Meeting?</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Arial;Helvetica;sans-serif" w:hAnsi="Arial;Helvetica;sans-serif"/>
                <w:b/>
                <w:color w:val="4C4C4C"/>
                <w:sz w:val="20"/>
              </w:rPr>
            </w:pPr>
            <w:r>
              <w:rPr>
                <w:rFonts w:ascii="Arial;Helvetica;sans-serif" w:hAnsi="Arial;Helvetica;sans-serif"/>
                <w:b/>
                <w:color w:val="4C4C4C"/>
                <w:sz w:val="20"/>
              </w:rPr>
              <w:t>A:</w:t>
            </w:r>
          </w:p>
        </w:tc>
        <w:tc>
          <w:tcPr>
            <w:tcW w:w="10009" w:type="dxa"/>
            <w:tcBorders/>
            <w:vAlign w:val="center"/>
          </w:tcPr>
          <w:p>
            <w:pPr>
              <w:pStyle w:val="TableContents"/>
              <w:bidi w:val="0"/>
              <w:spacing w:before="0" w:after="0"/>
              <w:jc w:val="both"/>
              <w:rPr>
                <w:rFonts w:ascii="Arial;Helvetica;sans-serif" w:hAnsi="Arial;Helvetica;sans-serif"/>
                <w:b/>
                <w:color w:val="4C4C4C"/>
                <w:sz w:val="20"/>
              </w:rPr>
            </w:pPr>
            <w:r>
              <w:rPr>
                <w:rFonts w:ascii="Arial;Helvetica;sans-serif" w:hAnsi="Arial;Helvetica;sans-serif"/>
                <w:b w:val="false"/>
                <w:color w:val="4C4C4C"/>
                <w:sz w:val="20"/>
              </w:rPr>
              <w:t xml:space="preserve">The live audio webcast of the Annual Meeting will be available for listening by the general public, but participation in the Annual Meeting, including voting shares and submitting questions, will be limited to stockholders. To ensure they can participate, stockholders and proxy holders should visit </w:t>
            </w:r>
            <w:r>
              <w:rPr>
                <w:rFonts w:ascii="Arial;Helvetica;sans-serif" w:hAnsi="Arial;Helvetica;sans-serif"/>
                <w:b w:val="false"/>
                <w:i/>
                <w:color w:val="4C4C4C"/>
                <w:sz w:val="20"/>
              </w:rPr>
              <w:t>virtualshareholdermeeting.com/ACMR2025</w:t>
            </w:r>
            <w:r>
              <w:rPr>
                <w:rFonts w:ascii="Arial;Helvetica;sans-serif" w:hAnsi="Arial;Helvetica;sans-serif"/>
                <w:b/>
                <w:color w:val="4C4C4C"/>
                <w:sz w:val="20"/>
              </w:rPr>
              <w:t xml:space="preserve"> </w:t>
            </w:r>
            <w:r>
              <w:rPr>
                <w:rFonts w:ascii="Arial;Helvetica;sans-serif" w:hAnsi="Arial;Helvetica;sans-serif"/>
                <w:b w:val="false"/>
                <w:color w:val="4C4C4C"/>
                <w:sz w:val="20"/>
              </w:rPr>
              <w:t>and enter the 16-digit control number included on their Notice of Internet Availability of Proxy Materials or proxy card.</w:t>
            </w:r>
          </w:p>
        </w:tc>
      </w:tr>
    </w:tbl>
    <w:p>
      <w:pPr>
        <w:pStyle w:val="TextBody"/>
        <w:bidi w:val="0"/>
        <w:spacing w:before="200" w:after="283"/>
        <w:ind w:left="400" w:right="0" w:hanging="0"/>
        <w:jc w:val="both"/>
        <w:rPr>
          <w:rFonts w:ascii="Arial;Helvetica;sans-serif" w:hAnsi="Arial;Helvetica;sans-serif"/>
          <w:color w:val="4C4C4C"/>
          <w:sz w:val="20"/>
        </w:rPr>
      </w:pPr>
      <w:r>
        <w:rPr>
          <w:rFonts w:ascii="Arial;Helvetica;sans-serif" w:hAnsi="Arial;Helvetica;sans-serif"/>
          <w:color w:val="4C4C4C"/>
          <w:sz w:val="20"/>
        </w:rPr>
        <w:t>Online check-in to the Annual Meeting webcast will begin at 6:45 a.m., Pacific time. We encourage you to allow ample time to log in to the meeting webcast and test your computer audio system.</w:t>
      </w:r>
    </w:p>
    <w:tbl>
      <w:tblPr>
        <w:tblW w:w="10075" w:type="dxa"/>
        <w:jc w:val="left"/>
        <w:tblInd w:w="0" w:type="dxa"/>
        <w:tblLayout w:type="fixed"/>
        <w:tblCellMar>
          <w:top w:w="0" w:type="dxa"/>
          <w:left w:w="0" w:type="dxa"/>
          <w:bottom w:w="0" w:type="dxa"/>
          <w:right w:w="0" w:type="dxa"/>
        </w:tblCellMar>
      </w:tblPr>
      <w:tblGrid>
        <w:gridCol w:w="305"/>
        <w:gridCol w:w="9770"/>
      </w:tblGrid>
      <w:tr>
        <w:trPr/>
        <w:tc>
          <w:tcPr>
            <w:tcW w:w="305"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Q:</w:t>
            </w:r>
          </w:p>
        </w:tc>
        <w:tc>
          <w:tcPr>
            <w:tcW w:w="9770"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What materials have been prepared for stockholders in connection with the Annual Meeting?</w:t>
            </w:r>
          </w:p>
        </w:tc>
      </w:tr>
    </w:tbl>
    <w:tbl>
      <w:tblPr>
        <w:tblW w:w="8080" w:type="dxa"/>
        <w:jc w:val="left"/>
        <w:tblInd w:w="0" w:type="dxa"/>
        <w:tblLayout w:type="fixed"/>
        <w:tblCellMar>
          <w:top w:w="0" w:type="dxa"/>
          <w:left w:w="0" w:type="dxa"/>
          <w:bottom w:w="0" w:type="dxa"/>
          <w:right w:w="0" w:type="dxa"/>
        </w:tblCellMar>
      </w:tblPr>
      <w:tblGrid>
        <w:gridCol w:w="245"/>
        <w:gridCol w:w="7835"/>
      </w:tblGrid>
      <w:tr>
        <w:trPr/>
        <w:tc>
          <w:tcPr>
            <w:tcW w:w="245" w:type="dxa"/>
            <w:tcBorders/>
            <w:vAlign w:val="center"/>
          </w:tcPr>
          <w:p>
            <w:pPr>
              <w:pStyle w:val="TableContents"/>
              <w:bidi w:val="0"/>
              <w:spacing w:before="0" w:after="0"/>
              <w:jc w:val="left"/>
              <w:rPr>
                <w:rFonts w:ascii="Arial;Helvetica;sans-serif" w:hAnsi="Arial;Helvetica;sans-serif"/>
                <w:b/>
                <w:color w:val="4C4C4C"/>
                <w:sz w:val="20"/>
              </w:rPr>
            </w:pPr>
            <w:r>
              <w:rPr>
                <w:rFonts w:ascii="Arial;Helvetica;sans-serif" w:hAnsi="Arial;Helvetica;sans-serif"/>
                <w:b/>
                <w:color w:val="4C4C4C"/>
                <w:sz w:val="20"/>
              </w:rPr>
              <w:t>A:</w:t>
            </w:r>
          </w:p>
        </w:tc>
        <w:tc>
          <w:tcPr>
            <w:tcW w:w="7835" w:type="dxa"/>
            <w:tcBorders/>
            <w:vAlign w:val="center"/>
          </w:tcPr>
          <w:p>
            <w:pPr>
              <w:pStyle w:val="TableContents"/>
              <w:bidi w:val="0"/>
              <w:spacing w:before="0" w:after="0"/>
              <w:jc w:val="left"/>
              <w:rPr>
                <w:rFonts w:ascii="Arial;Helvetica;sans-serif" w:hAnsi="Arial;Helvetica;sans-serif"/>
                <w:b w:val="false"/>
                <w:color w:val="4C4C4C"/>
                <w:sz w:val="20"/>
              </w:rPr>
            </w:pPr>
            <w:r>
              <w:rPr>
                <w:rFonts w:ascii="Arial;Helvetica;sans-serif" w:hAnsi="Arial;Helvetica;sans-serif"/>
                <w:b w:val="false"/>
                <w:color w:val="4C4C4C"/>
                <w:sz w:val="20"/>
              </w:rPr>
              <w:t>We are furnishing you and other stockholders of record with the following proxy materials:</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C4C4C"/>
              </w:rPr>
            </w:pPr>
            <w:r>
              <w:rPr>
                <w:color w:val="4C4C4C"/>
              </w:rPr>
              <w:t>•</w:t>
            </w:r>
          </w:p>
        </w:tc>
        <w:tc>
          <w:tcPr>
            <w:tcW w:w="10065" w:type="dxa"/>
            <w:tcBorders/>
            <w:vAlign w:val="center"/>
          </w:tcPr>
          <w:p>
            <w:pPr>
              <w:pStyle w:val="TableContents"/>
              <w:bidi w:val="0"/>
              <w:spacing w:before="0" w:after="0"/>
              <w:jc w:val="both"/>
              <w:rPr>
                <w:rFonts w:ascii="Arial;Helvetica;sans-serif" w:hAnsi="Arial;Helvetica;sans-serif"/>
                <w:color w:val="4C4C4C"/>
                <w:sz w:val="20"/>
              </w:rPr>
            </w:pPr>
            <w:r>
              <w:rPr>
                <w:rFonts w:ascii="Arial;Helvetica;sans-serif" w:hAnsi="Arial;Helvetica;sans-serif"/>
                <w:color w:val="4C4C4C"/>
                <w:sz w:val="20"/>
              </w:rPr>
              <w:t>our 2024 Annual Report to Stockholders, which we refer to as the 2024 Annual Report and which includes our Annual Report on Form 10-K for the fiscal year ended December 31, 2024 (including our audited consolidated financial statements for 2024, 2023 and 2022);</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C4C4C"/>
              </w:rPr>
            </w:pPr>
            <w:r>
              <w:rPr>
                <w:color w:val="4C4C4C"/>
              </w:rPr>
              <w:t>•</w:t>
            </w:r>
          </w:p>
        </w:tc>
        <w:tc>
          <w:tcPr>
            <w:tcW w:w="10065" w:type="dxa"/>
            <w:tcBorders/>
            <w:vAlign w:val="center"/>
          </w:tcPr>
          <w:p>
            <w:pPr>
              <w:pStyle w:val="TableContents"/>
              <w:bidi w:val="0"/>
              <w:spacing w:before="0" w:after="0"/>
              <w:jc w:val="both"/>
              <w:rPr>
                <w:rFonts w:ascii="Arial;Helvetica;sans-serif" w:hAnsi="Arial;Helvetica;sans-serif"/>
                <w:color w:val="4C4C4C"/>
                <w:sz w:val="20"/>
              </w:rPr>
            </w:pPr>
            <w:r>
              <w:rPr>
                <w:rFonts w:ascii="Arial;Helvetica;sans-serif" w:hAnsi="Arial;Helvetica;sans-serif"/>
                <w:color w:val="4C4C4C"/>
                <w:sz w:val="20"/>
              </w:rPr>
              <w:t>this Proxy Statement for the 2025 Annual Meeting, which we refer to as this Proxy Statement and which also includes a letter from our Chief Executive Officer and President to stockholders, and a Notice of 2025 Annual Meeting of Stockholders; and</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C4C4C"/>
              </w:rPr>
            </w:pPr>
            <w:r>
              <w:rPr>
                <w:color w:val="4C4C4C"/>
              </w:rPr>
              <w:t>•</w:t>
            </w:r>
          </w:p>
        </w:tc>
        <w:tc>
          <w:tcPr>
            <w:tcW w:w="10065" w:type="dxa"/>
            <w:tcBorders/>
            <w:vAlign w:val="center"/>
          </w:tcPr>
          <w:p>
            <w:pPr>
              <w:pStyle w:val="TableContents"/>
              <w:bidi w:val="0"/>
              <w:spacing w:before="0" w:after="0"/>
              <w:jc w:val="both"/>
              <w:rPr>
                <w:rFonts w:ascii="Arial;Helvetica;sans-serif" w:hAnsi="Arial;Helvetica;sans-serif"/>
                <w:color w:val="4C4C4C"/>
                <w:sz w:val="20"/>
              </w:rPr>
            </w:pPr>
            <w:r>
              <w:rPr>
                <w:rFonts w:ascii="Arial;Helvetica;sans-serif" w:hAnsi="Arial;Helvetica;sans-serif"/>
                <w:color w:val="4C4C4C"/>
                <w:sz w:val="20"/>
              </w:rPr>
              <w:t>a Notice of Internet Availability of Proxy Materials, which we refer to as the Notice of Internet Availability, which includes a control number for use in submitting proxies and accessing the Annual Meeting webcast.</w:t>
            </w:r>
          </w:p>
        </w:tc>
      </w:tr>
    </w:tbl>
    <w:p>
      <w:pPr>
        <w:pStyle w:val="TextBody"/>
        <w:bidi w:val="0"/>
        <w:spacing w:before="250" w:after="283"/>
        <w:ind w:left="400" w:right="0" w:hanging="0"/>
        <w:jc w:val="left"/>
        <w:rPr>
          <w:rFonts w:ascii="Arial;Helvetica;sans-serif" w:hAnsi="Arial;Helvetica;sans-serif"/>
          <w:color w:val="4C4C4C"/>
          <w:sz w:val="20"/>
        </w:rPr>
      </w:pPr>
      <w:r>
        <w:rPr>
          <w:rFonts w:ascii="Arial;Helvetica;sans-serif" w:hAnsi="Arial;Helvetica;sans-serif"/>
          <w:color w:val="4C4C4C"/>
          <w:sz w:val="20"/>
        </w:rPr>
        <w:t>These materials were first mailed or made available to stockholders on or about April 29, 2025.</w:t>
      </w:r>
    </w:p>
    <w:p>
      <w:pPr>
        <w:pStyle w:val="TextBody"/>
        <w:bidi w:val="0"/>
        <w:spacing w:before="200" w:after="283"/>
        <w:ind w:left="400" w:right="0" w:hanging="0"/>
        <w:jc w:val="both"/>
        <w:rPr>
          <w:rFonts w:ascii="Arial;Helvetica;sans-serif" w:hAnsi="Arial;Helvetica;sans-serif"/>
          <w:color w:val="4C4C4C"/>
          <w:sz w:val="20"/>
        </w:rPr>
      </w:pPr>
      <w:r>
        <w:rPr>
          <w:rFonts w:ascii="Arial;Helvetica;sans-serif" w:hAnsi="Arial;Helvetica;sans-serif"/>
          <w:color w:val="4C4C4C"/>
          <w:sz w:val="20"/>
        </w:rPr>
        <w:t>If you request, in accordance with the instructions provided in the Notice of Internet Availability, a printed set of proxy materials, you will receive by mail, at no charge, printed copies of the 2024 Annual Report, this Proxy Statement, a proxy card for the Annual Meeting and a postage-paid, pre-addressed envelope to be used to return the completed proxy card. Your proxy card will include a control number for use in accessing the Annual Meeting webcast. If, in accordance with the instructions provided in the Notice of Internet Availability, you request that a set of proxy materials be emailed to you, you will receive by email, at no charge, electronic copies of the 2024 Annual Report and this Proxy Statement.</w:t>
      </w:r>
    </w:p>
    <w:tbl>
      <w:tblPr>
        <w:tblW w:w="10195" w:type="dxa"/>
        <w:jc w:val="left"/>
        <w:tblInd w:w="0" w:type="dxa"/>
        <w:tblLayout w:type="fixed"/>
        <w:tblCellMar>
          <w:top w:w="0" w:type="dxa"/>
          <w:left w:w="0" w:type="dxa"/>
          <w:bottom w:w="0" w:type="dxa"/>
          <w:right w:w="0" w:type="dxa"/>
        </w:tblCellMar>
      </w:tblPr>
      <w:tblGrid>
        <w:gridCol w:w="305"/>
        <w:gridCol w:w="9890"/>
      </w:tblGrid>
      <w:tr>
        <w:trPr/>
        <w:tc>
          <w:tcPr>
            <w:tcW w:w="305"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Q:</w:t>
            </w:r>
          </w:p>
        </w:tc>
        <w:tc>
          <w:tcPr>
            <w:tcW w:w="9890"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Why was I mailed a Notice of Internet Availability, rather than a printed set of proxy materials?</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Arial;Helvetica;sans-serif" w:hAnsi="Arial;Helvetica;sans-serif"/>
                <w:b/>
                <w:color w:val="4C4C4C"/>
                <w:sz w:val="20"/>
              </w:rPr>
            </w:pPr>
            <w:r>
              <w:rPr>
                <w:rFonts w:ascii="Arial;Helvetica;sans-serif" w:hAnsi="Arial;Helvetica;sans-serif"/>
                <w:b/>
                <w:color w:val="4C4C4C"/>
                <w:sz w:val="20"/>
              </w:rPr>
              <w:t>A:</w:t>
            </w:r>
          </w:p>
        </w:tc>
        <w:tc>
          <w:tcPr>
            <w:tcW w:w="10010" w:type="dxa"/>
            <w:tcBorders/>
            <w:vAlign w:val="center"/>
          </w:tcPr>
          <w:p>
            <w:pPr>
              <w:pStyle w:val="TableContents"/>
              <w:bidi w:val="0"/>
              <w:spacing w:before="0" w:after="0"/>
              <w:jc w:val="both"/>
              <w:rPr>
                <w:rFonts w:ascii="Arial;Helvetica;sans-serif" w:hAnsi="Arial;Helvetica;sans-serif"/>
                <w:b w:val="false"/>
                <w:color w:val="4C4C4C"/>
                <w:sz w:val="20"/>
              </w:rPr>
            </w:pPr>
            <w:r>
              <w:rPr>
                <w:rFonts w:ascii="Arial;Helvetica;sans-serif" w:hAnsi="Arial;Helvetica;sans-serif"/>
                <w:b w:val="false"/>
                <w:color w:val="4C4C4C"/>
                <w:sz w:val="20"/>
              </w:rPr>
              <w:t>In accordance with rules adopted by the SEC, we are furnishing the proxy materials to stockholders by providing access via the Internet, instead of mailing printed copies. This process expedites the delivery of proxy materials to our stockholders, lowers our costs and reduces the environmental impact of the Annual Meeting. The Notice of Internet Availability tells you how to access and review the proxy materials on the Internet and how to vote on the Internet. It also provides instructions you may follow to request paper or emailed copies of the proxy materials.</w:t>
            </w:r>
          </w:p>
        </w:tc>
      </w:tr>
    </w:tbl>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5</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7" w:name="ny20042784x1_def14a_107-qa_pg2"/>
        <w:bookmarkEnd w:id="17"/>
        <w:r>
          <w:rPr>
            <w:rStyle w:val="InternetLink"/>
            <w:rFonts w:ascii="Times New Roman;Times;Serif" w:hAnsi="Times New Roman;Times;Serif"/>
            <w:b/>
            <w:caps w:val="false"/>
            <w:smallCaps w:val="false"/>
            <w:color w:val="000000"/>
            <w:sz w:val="16"/>
          </w:rPr>
          <w:t>TABLE OF CONTENTS</w:t>
        </w:r>
      </w:hyperlink>
    </w:p>
    <w:tbl>
      <w:tblPr>
        <w:tblW w:w="5560" w:type="dxa"/>
        <w:jc w:val="left"/>
        <w:tblInd w:w="0" w:type="dxa"/>
        <w:tblLayout w:type="fixed"/>
        <w:tblCellMar>
          <w:top w:w="0" w:type="dxa"/>
          <w:left w:w="0" w:type="dxa"/>
          <w:bottom w:w="0" w:type="dxa"/>
          <w:right w:w="0" w:type="dxa"/>
        </w:tblCellMar>
      </w:tblPr>
      <w:tblGrid>
        <w:gridCol w:w="305"/>
        <w:gridCol w:w="5255"/>
      </w:tblGrid>
      <w:tr>
        <w:trPr/>
        <w:tc>
          <w:tcPr>
            <w:tcW w:w="305"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Q:</w:t>
            </w:r>
          </w:p>
        </w:tc>
        <w:tc>
          <w:tcPr>
            <w:tcW w:w="5255"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Are the proxy materials available via the Internet?</w:t>
            </w:r>
          </w:p>
        </w:tc>
      </w:tr>
    </w:tbl>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jc w:val="left"/>
              <w:rPr>
                <w:rFonts w:ascii="Arial;Helvetica;sans-serif" w:hAnsi="Arial;Helvetica;sans-serif"/>
                <w:b/>
                <w:color w:val="4C4C4C"/>
                <w:sz w:val="20"/>
              </w:rPr>
            </w:pPr>
            <w:r>
              <w:rPr>
                <w:rFonts w:ascii="Arial;Helvetica;sans-serif" w:hAnsi="Arial;Helvetica;sans-serif"/>
                <w:b/>
                <w:color w:val="4C4C4C"/>
                <w:sz w:val="20"/>
              </w:rPr>
              <w:t>A:</w:t>
            </w:r>
          </w:p>
        </w:tc>
        <w:tc>
          <w:tcPr>
            <w:tcW w:w="10006" w:type="dxa"/>
            <w:tcBorders/>
            <w:vAlign w:val="center"/>
          </w:tcPr>
          <w:p>
            <w:pPr>
              <w:pStyle w:val="TableContents"/>
              <w:bidi w:val="0"/>
              <w:spacing w:before="0" w:after="0"/>
              <w:jc w:val="both"/>
              <w:rPr>
                <w:rFonts w:ascii="Arial;Helvetica;sans-serif" w:hAnsi="Arial;Helvetica;sans-serif"/>
                <w:b/>
                <w:color w:val="4C4C4C"/>
                <w:sz w:val="20"/>
              </w:rPr>
            </w:pPr>
            <w:r>
              <w:rPr>
                <w:rFonts w:ascii="Arial;Helvetica;sans-serif" w:hAnsi="Arial;Helvetica;sans-serif"/>
                <w:b w:val="false"/>
                <w:color w:val="4C4C4C"/>
                <w:sz w:val="20"/>
              </w:rPr>
              <w:t xml:space="preserve">You can access and review the proxy materials for the Annual Meeting at </w:t>
            </w:r>
            <w:r>
              <w:rPr>
                <w:rFonts w:ascii="Arial;Helvetica;sans-serif" w:hAnsi="Arial;Helvetica;sans-serif"/>
                <w:b w:val="false"/>
                <w:i/>
                <w:color w:val="4C4C4C"/>
                <w:sz w:val="20"/>
              </w:rPr>
              <w:t>ir.acmr.com/financial-information/proxymaterials</w:t>
            </w:r>
            <w:r>
              <w:rPr>
                <w:rFonts w:ascii="Arial;Helvetica;sans-serif" w:hAnsi="Arial;Helvetica;sans-serif"/>
                <w:b/>
                <w:color w:val="4C4C4C"/>
                <w:sz w:val="20"/>
              </w:rPr>
              <w:t xml:space="preserve"> </w:t>
            </w:r>
            <w:r>
              <w:rPr>
                <w:rFonts w:ascii="Arial;Helvetica;sans-serif" w:hAnsi="Arial;Helvetica;sans-serif"/>
                <w:b w:val="false"/>
                <w:color w:val="4C4C4C"/>
                <w:sz w:val="20"/>
              </w:rPr>
              <w:t xml:space="preserve">or </w:t>
            </w:r>
            <w:r>
              <w:rPr>
                <w:rFonts w:ascii="Arial;Helvetica;sans-serif" w:hAnsi="Arial;Helvetica;sans-serif"/>
                <w:b w:val="false"/>
                <w:i/>
                <w:color w:val="4C4C4C"/>
                <w:sz w:val="20"/>
              </w:rPr>
              <w:t>proxyvote.com</w:t>
            </w:r>
            <w:r>
              <w:rPr>
                <w:rFonts w:ascii="Arial;Helvetica;sans-serif" w:hAnsi="Arial;Helvetica;sans-serif"/>
                <w:b w:val="false"/>
                <w:color w:val="4C4C4C"/>
                <w:sz w:val="20"/>
              </w:rPr>
              <w:t>. In order to submit your proxies or access the Annual Meeting webcast, however, you will need to refer to the Notice of Internet Availability or proxy card to obtain your 16-digit control number and other personal information needed to vote by proxy or virtually.</w:t>
            </w:r>
          </w:p>
        </w:tc>
      </w:tr>
    </w:tbl>
    <w:tbl>
      <w:tblPr>
        <w:tblW w:w="2140" w:type="dxa"/>
        <w:jc w:val="left"/>
        <w:tblInd w:w="0" w:type="dxa"/>
        <w:tblLayout w:type="fixed"/>
        <w:tblCellMar>
          <w:top w:w="0" w:type="dxa"/>
          <w:left w:w="0" w:type="dxa"/>
          <w:bottom w:w="0" w:type="dxa"/>
          <w:right w:w="0" w:type="dxa"/>
        </w:tblCellMar>
      </w:tblPr>
      <w:tblGrid>
        <w:gridCol w:w="305"/>
        <w:gridCol w:w="1835"/>
      </w:tblGrid>
      <w:tr>
        <w:trPr/>
        <w:tc>
          <w:tcPr>
            <w:tcW w:w="305"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Q:</w:t>
            </w:r>
          </w:p>
        </w:tc>
        <w:tc>
          <w:tcPr>
            <w:tcW w:w="1835"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What is a proxy?</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Arial;Helvetica;sans-serif" w:hAnsi="Arial;Helvetica;sans-serif"/>
                <w:b/>
                <w:color w:val="4C4C4C"/>
                <w:sz w:val="20"/>
              </w:rPr>
            </w:pPr>
            <w:r>
              <w:rPr>
                <w:rFonts w:ascii="Arial;Helvetica;sans-serif" w:hAnsi="Arial;Helvetica;sans-serif"/>
                <w:b/>
                <w:color w:val="4C4C4C"/>
                <w:sz w:val="20"/>
              </w:rPr>
              <w:t>A:</w:t>
            </w:r>
          </w:p>
        </w:tc>
        <w:tc>
          <w:tcPr>
            <w:tcW w:w="9995" w:type="dxa"/>
            <w:tcBorders/>
            <w:vAlign w:val="center"/>
          </w:tcPr>
          <w:p>
            <w:pPr>
              <w:pStyle w:val="TableContents"/>
              <w:bidi w:val="0"/>
              <w:spacing w:before="0" w:after="0"/>
              <w:jc w:val="both"/>
              <w:rPr>
                <w:rFonts w:ascii="Arial;Helvetica;sans-serif" w:hAnsi="Arial;Helvetica;sans-serif"/>
                <w:b w:val="false"/>
                <w:color w:val="4C4C4C"/>
                <w:sz w:val="20"/>
              </w:rPr>
            </w:pPr>
            <w:r>
              <w:rPr>
                <w:rFonts w:ascii="Arial;Helvetica;sans-serif" w:hAnsi="Arial;Helvetica;sans-serif"/>
                <w:b w:val="false"/>
                <w:color w:val="4C4C4C"/>
                <w:sz w:val="20"/>
              </w:rPr>
              <w:t>The term “proxy”, when used with respect to stockholder, refers to either a person or persons legally authorized to act on the stockholder’s behalf or a format that allows the stockholder to vote without being physically present at the Annual Meeting.</w:t>
            </w:r>
          </w:p>
        </w:tc>
      </w:tr>
    </w:tbl>
    <w:p>
      <w:pPr>
        <w:pStyle w:val="TextBody"/>
        <w:bidi w:val="0"/>
        <w:spacing w:before="200" w:after="283"/>
        <w:ind w:left="400" w:right="0" w:hanging="0"/>
        <w:jc w:val="both"/>
        <w:rPr>
          <w:rFonts w:ascii="Arial;Helvetica;sans-serif" w:hAnsi="Arial;Helvetica;sans-serif"/>
          <w:color w:val="4C4C4C"/>
          <w:sz w:val="20"/>
        </w:rPr>
      </w:pPr>
      <w:r>
        <w:rPr>
          <w:rFonts w:ascii="Arial;Helvetica;sans-serif" w:hAnsi="Arial;Helvetica;sans-serif"/>
          <w:color w:val="4C4C4C"/>
          <w:sz w:val="20"/>
        </w:rPr>
        <w:t>Because it is important that as many stockholders as possible be represented at the Annual Meeting, the board of directors is asking that you review this Proxy Statement carefully and then vote by following the instructions set forth on the Notice of Internet Availability or proxy card. In voting prior to the Annual Meeting, you will deliver your proxy to the proxy holders, which means you will authorize the proxy holders to vote your shares at the Annual Meeting in the way you instruct. The proxy holders consist of David Wang and Mark McKechnie. All shares represented by valid proxies will be voted in accordance with the stockholder’s specific instructions.</w:t>
      </w:r>
    </w:p>
    <w:tbl>
      <w:tblPr>
        <w:tblW w:w="7330" w:type="dxa"/>
        <w:jc w:val="left"/>
        <w:tblInd w:w="0" w:type="dxa"/>
        <w:tblLayout w:type="fixed"/>
        <w:tblCellMar>
          <w:top w:w="0" w:type="dxa"/>
          <w:left w:w="0" w:type="dxa"/>
          <w:bottom w:w="0" w:type="dxa"/>
          <w:right w:w="0" w:type="dxa"/>
        </w:tblCellMar>
      </w:tblPr>
      <w:tblGrid>
        <w:gridCol w:w="305"/>
        <w:gridCol w:w="7025"/>
      </w:tblGrid>
      <w:tr>
        <w:trPr/>
        <w:tc>
          <w:tcPr>
            <w:tcW w:w="305"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Q:</w:t>
            </w:r>
          </w:p>
        </w:tc>
        <w:tc>
          <w:tcPr>
            <w:tcW w:w="7025"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What matters will the stockholders vote on at the Annual Meeting?</w:t>
            </w:r>
          </w:p>
        </w:tc>
      </w:tr>
    </w:tbl>
    <w:tbl>
      <w:tblPr>
        <w:tblW w:w="7636" w:type="dxa"/>
        <w:jc w:val="left"/>
        <w:tblInd w:w="0" w:type="dxa"/>
        <w:tblLayout w:type="fixed"/>
        <w:tblCellMar>
          <w:top w:w="0" w:type="dxa"/>
          <w:left w:w="0" w:type="dxa"/>
          <w:bottom w:w="0" w:type="dxa"/>
          <w:right w:w="0" w:type="dxa"/>
        </w:tblCellMar>
      </w:tblPr>
      <w:tblGrid>
        <w:gridCol w:w="260"/>
        <w:gridCol w:w="170"/>
        <w:gridCol w:w="170"/>
        <w:gridCol w:w="1205"/>
        <w:gridCol w:w="170"/>
        <w:gridCol w:w="170"/>
        <w:gridCol w:w="2509"/>
        <w:gridCol w:w="249"/>
        <w:gridCol w:w="249"/>
        <w:gridCol w:w="2110"/>
        <w:gridCol w:w="249"/>
        <w:gridCol w:w="125"/>
      </w:tblGrid>
      <w:tr>
        <w:trPr/>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91" w:type="dxa"/>
            <w:gridSpan w:val="6"/>
            <w:tcBorders/>
            <w:vAlign w:val="center"/>
          </w:tcPr>
          <w:p>
            <w:pPr>
              <w:pStyle w:val="TableContents"/>
              <w:bidi w:val="0"/>
              <w:spacing w:before="0" w:after="0"/>
              <w:jc w:val="left"/>
              <w:rPr/>
            </w:pPr>
            <w:r>
              <w:rPr/>
              <w:t> </w:t>
            </w:r>
          </w:p>
        </w:tc>
      </w:tr>
      <w:tr>
        <w:trPr/>
        <w:tc>
          <w:tcPr>
            <w:tcW w:w="260" w:type="dxa"/>
            <w:tcBorders/>
            <w:vAlign w:val="center"/>
          </w:tcPr>
          <w:p>
            <w:pPr>
              <w:pStyle w:val="TableContents"/>
              <w:bidi w:val="0"/>
              <w:spacing w:before="0" w:after="283"/>
              <w:ind w:left="0" w:right="0" w:hanging="0"/>
              <w:jc w:val="left"/>
              <w:rPr>
                <w:rFonts w:ascii="Arial;Helvetica;sans-serif" w:hAnsi="Arial;Helvetica;sans-serif"/>
                <w:b/>
                <w:color w:val="4C4C4C"/>
                <w:sz w:val="20"/>
              </w:rPr>
            </w:pPr>
            <w:r>
              <w:rPr>
                <w:rFonts w:ascii="Arial;Helvetica;sans-serif" w:hAnsi="Arial;Helvetica;sans-serif"/>
                <w:b/>
                <w:color w:val="4C4C4C"/>
                <w:sz w:val="20"/>
              </w:rPr>
              <w:t>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Proposal </w:t>
            </w:r>
            <w:r>
              <w:rPr>
                <w:rFonts w:ascii="Arial;Helvetica;sans-serif" w:hAnsi="Arial;Helvetica;sans-serif"/>
                <w:color w:val="4C4C4C"/>
                <w:sz w:val="20"/>
              </w:rPr>
              <w:drawing>
                <wp:inline distT="0" distB="0" distL="0" distR="0">
                  <wp:extent cx="142875" cy="142875"/>
                  <wp:effectExtent l="0" t="0" r="0" b="0"/>
                  <wp:docPr id="1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4" descr=""/>
                          <pic:cNvPicPr>
                            <a:picLocks noChangeAspect="1" noChangeArrowheads="1"/>
                          </pic:cNvPicPr>
                        </pic:nvPicPr>
                        <pic:blipFill>
                          <a:blip r:embed="rId18"/>
                          <a:stretch>
                            <a:fillRect/>
                          </a:stretch>
                        </pic:blipFill>
                        <pic:spPr bwMode="auto">
                          <a:xfrm>
                            <a:off x="0" y="0"/>
                            <a:ext cx="142875" cy="142875"/>
                          </a:xfrm>
                          <a:prstGeom prst="rect">
                            <a:avLst/>
                          </a:prstGeom>
                        </pic:spPr>
                      </pic:pic>
                    </a:graphicData>
                  </a:graphic>
                </wp:inline>
              </w:drawing>
            </w:r>
            <w:r>
              <w:rPr>
                <w:rFonts w:ascii="Arial;Helvetica;sans-serif" w:hAnsi="Arial;Helvetica;sans-serif"/>
                <w:color w:val="4C4C4C"/>
                <w:sz w:val="2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91" w:type="dxa"/>
            <w:gridSpan w:val="6"/>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Election of the following four director nominees:</w:t>
            </w:r>
          </w:p>
        </w:tc>
      </w:tr>
      <w:tr>
        <w:trPr/>
        <w:tc>
          <w:tcPr>
            <w:tcW w:w="260" w:type="dxa"/>
            <w:tcBorders/>
            <w:vAlign w:val="center"/>
          </w:tcPr>
          <w:p>
            <w:pPr>
              <w:pStyle w:val="TableContents"/>
              <w:bidi w:val="0"/>
              <w:spacing w:before="0" w:after="0"/>
              <w:jc w:val="left"/>
              <w:rPr>
                <w:color w:val="4C4C4C"/>
              </w:rPr>
            </w:pPr>
            <w:r>
              <w:rPr>
                <w:color w:val="4C4C4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color w:val="4C4C4C"/>
              </w:rPr>
            </w:pPr>
            <w:r>
              <w:rPr>
                <w:color w:val="4C4C4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09" w:type="dxa"/>
            <w:tcBorders/>
            <w:vAlign w:val="center"/>
          </w:tcPr>
          <w:p>
            <w:pPr>
              <w:pStyle w:val="TableContents"/>
              <w:bidi w:val="0"/>
              <w:spacing w:before="0" w:after="283"/>
              <w:ind w:left="0" w:right="0" w:hanging="0"/>
              <w:jc w:val="left"/>
              <w:rPr>
                <w:color w:val="4C4C4C"/>
              </w:rPr>
            </w:pPr>
            <w:r>
              <w:rPr>
                <w:color w:val="4C4C4C"/>
              </w:rPr>
              <w:t>• </w:t>
            </w:r>
            <w:r>
              <w:rPr>
                <w:rFonts w:ascii="Arial;Helvetica;sans-serif" w:hAnsi="Arial;Helvetica;sans-serif"/>
                <w:color w:val="4C4C4C"/>
                <w:sz w:val="20"/>
              </w:rPr>
              <w:t>Charles Pappis</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110" w:type="dxa"/>
            <w:tcBorders/>
            <w:vAlign w:val="center"/>
          </w:tcPr>
          <w:p>
            <w:pPr>
              <w:pStyle w:val="TableContents"/>
              <w:bidi w:val="0"/>
              <w:spacing w:before="0" w:after="283"/>
              <w:ind w:left="0" w:right="0" w:hanging="0"/>
              <w:jc w:val="left"/>
              <w:rPr>
                <w:color w:val="4C4C4C"/>
              </w:rPr>
            </w:pPr>
            <w:r>
              <w:rPr>
                <w:color w:val="4C4C4C"/>
              </w:rPr>
              <w:t>• </w:t>
            </w:r>
            <w:r>
              <w:rPr>
                <w:rFonts w:ascii="Arial;Helvetica;sans-serif" w:hAnsi="Arial;Helvetica;sans-serif"/>
                <w:color w:val="4C4C4C"/>
                <w:sz w:val="20"/>
              </w:rPr>
              <w:t>Haiping Dun</w:t>
            </w:r>
          </w:p>
        </w:tc>
        <w:tc>
          <w:tcPr>
            <w:tcW w:w="249" w:type="dxa"/>
            <w:tcBorders/>
            <w:vAlign w:val="center"/>
          </w:tcPr>
          <w:p>
            <w:pPr>
              <w:pStyle w:val="TableContents"/>
              <w:bidi w:val="0"/>
              <w:spacing w:before="0" w:after="0"/>
              <w:jc w:val="left"/>
              <w:rPr/>
            </w:pPr>
            <w:r>
              <w:rPr/>
              <w:t> </w:t>
            </w:r>
          </w:p>
        </w:tc>
        <w:tc>
          <w:tcPr>
            <w:tcW w:w="125" w:type="dxa"/>
            <w:tcBorders/>
          </w:tcPr>
          <w:p>
            <w:pPr>
              <w:pStyle w:val="TableContents"/>
              <w:bidi w:val="0"/>
              <w:spacing w:before="0" w:after="283"/>
              <w:jc w:val="left"/>
              <w:rPr>
                <w:sz w:val="4"/>
                <w:szCs w:val="4"/>
              </w:rPr>
            </w:pPr>
            <w:r>
              <w:rPr>
                <w:sz w:val="4"/>
                <w:szCs w:val="4"/>
              </w:rPr>
            </w:r>
          </w:p>
        </w:tc>
      </w:tr>
      <w:tr>
        <w:trPr/>
        <w:tc>
          <w:tcPr>
            <w:tcW w:w="260" w:type="dxa"/>
            <w:tcBorders/>
            <w:vAlign w:val="center"/>
          </w:tcPr>
          <w:p>
            <w:pPr>
              <w:pStyle w:val="TableContents"/>
              <w:bidi w:val="0"/>
              <w:spacing w:before="0" w:after="0"/>
              <w:jc w:val="left"/>
              <w:rPr>
                <w:color w:val="4C4C4C"/>
              </w:rPr>
            </w:pPr>
            <w:r>
              <w:rPr>
                <w:color w:val="4C4C4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color w:val="4C4C4C"/>
              </w:rPr>
            </w:pPr>
            <w:r>
              <w:rPr>
                <w:color w:val="4C4C4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09" w:type="dxa"/>
            <w:tcBorders/>
            <w:vAlign w:val="center"/>
          </w:tcPr>
          <w:p>
            <w:pPr>
              <w:pStyle w:val="TableContents"/>
              <w:bidi w:val="0"/>
              <w:spacing w:before="0" w:after="283"/>
              <w:ind w:left="0" w:right="0" w:hanging="0"/>
              <w:jc w:val="left"/>
              <w:rPr>
                <w:color w:val="4C4C4C"/>
              </w:rPr>
            </w:pPr>
            <w:r>
              <w:rPr>
                <w:color w:val="4C4C4C"/>
              </w:rPr>
              <w:t>• </w:t>
            </w:r>
            <w:r>
              <w:rPr>
                <w:rFonts w:ascii="Arial;Helvetica;sans-serif" w:hAnsi="Arial;Helvetica;sans-serif"/>
                <w:color w:val="4C4C4C"/>
                <w:sz w:val="20"/>
              </w:rPr>
              <w:t>David H. Wang</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110" w:type="dxa"/>
            <w:tcBorders/>
            <w:vAlign w:val="center"/>
          </w:tcPr>
          <w:p>
            <w:pPr>
              <w:pStyle w:val="TableContents"/>
              <w:bidi w:val="0"/>
              <w:spacing w:before="0" w:after="283"/>
              <w:ind w:left="0" w:right="0" w:hanging="0"/>
              <w:jc w:val="left"/>
              <w:rPr>
                <w:color w:val="4C4C4C"/>
              </w:rPr>
            </w:pPr>
            <w:r>
              <w:rPr>
                <w:color w:val="4C4C4C"/>
              </w:rPr>
              <w:t>• </w:t>
            </w:r>
            <w:r>
              <w:rPr>
                <w:rFonts w:ascii="Arial;Helvetica;sans-serif" w:hAnsi="Arial;Helvetica;sans-serif"/>
                <w:color w:val="4C4C4C"/>
                <w:sz w:val="20"/>
              </w:rPr>
              <w:t>Tracy Liu</w:t>
            </w:r>
          </w:p>
        </w:tc>
        <w:tc>
          <w:tcPr>
            <w:tcW w:w="249" w:type="dxa"/>
            <w:tcBorders/>
            <w:vAlign w:val="center"/>
          </w:tcPr>
          <w:p>
            <w:pPr>
              <w:pStyle w:val="TableContents"/>
              <w:bidi w:val="0"/>
              <w:spacing w:before="0" w:after="0"/>
              <w:jc w:val="left"/>
              <w:rPr/>
            </w:pPr>
            <w:r>
              <w:rPr/>
              <w:t> </w:t>
            </w:r>
          </w:p>
        </w:tc>
        <w:tc>
          <w:tcPr>
            <w:tcW w:w="125" w:type="dxa"/>
            <w:tcBorders/>
          </w:tcPr>
          <w:p>
            <w:pPr>
              <w:pStyle w:val="TableContents"/>
              <w:bidi w:val="0"/>
              <w:spacing w:before="0" w:after="283"/>
              <w:jc w:val="left"/>
              <w:rPr>
                <w:sz w:val="4"/>
                <w:szCs w:val="4"/>
              </w:rPr>
            </w:pPr>
            <w:r>
              <w:rPr>
                <w:sz w:val="4"/>
                <w:szCs w:val="4"/>
              </w:rPr>
            </w:r>
          </w:p>
        </w:tc>
      </w:tr>
      <w:tr>
        <w:trPr/>
        <w:tc>
          <w:tcPr>
            <w:tcW w:w="260" w:type="dxa"/>
            <w:tcBorders/>
            <w:vAlign w:val="center"/>
          </w:tcPr>
          <w:p>
            <w:pPr>
              <w:pStyle w:val="TableContents"/>
              <w:bidi w:val="0"/>
              <w:spacing w:before="0" w:after="0"/>
              <w:jc w:val="left"/>
              <w:rPr>
                <w:color w:val="4C4C4C"/>
              </w:rPr>
            </w:pPr>
            <w:r>
              <w:rPr>
                <w:color w:val="4C4C4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Proposal </w:t>
            </w:r>
            <w:r>
              <w:rPr>
                <w:rFonts w:ascii="Arial;Helvetica;sans-serif" w:hAnsi="Arial;Helvetica;sans-serif"/>
                <w:color w:val="4C4C4C"/>
                <w:sz w:val="20"/>
              </w:rPr>
              <w:drawing>
                <wp:inline distT="0" distB="0" distL="0" distR="0">
                  <wp:extent cx="142875" cy="142875"/>
                  <wp:effectExtent l="0" t="0" r="0" b="0"/>
                  <wp:docPr id="2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5" descr=""/>
                          <pic:cNvPicPr>
                            <a:picLocks noChangeAspect="1" noChangeArrowheads="1"/>
                          </pic:cNvPicPr>
                        </pic:nvPicPr>
                        <pic:blipFill>
                          <a:blip r:embed="rId19"/>
                          <a:stretch>
                            <a:fillRect/>
                          </a:stretch>
                        </pic:blipFill>
                        <pic:spPr bwMode="auto">
                          <a:xfrm>
                            <a:off x="0" y="0"/>
                            <a:ext cx="142875" cy="142875"/>
                          </a:xfrm>
                          <a:prstGeom prst="rect">
                            <a:avLst/>
                          </a:prstGeom>
                        </pic:spPr>
                      </pic:pic>
                    </a:graphicData>
                  </a:graphic>
                </wp:inline>
              </w:drawing>
            </w:r>
            <w:r>
              <w:rPr>
                <w:rFonts w:ascii="Arial;Helvetica;sans-serif" w:hAnsi="Arial;Helvetica;sans-serif"/>
                <w:color w:val="4C4C4C"/>
                <w:sz w:val="2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91" w:type="dxa"/>
            <w:gridSpan w:val="6"/>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Ratification of appointment of our independent auditor for 2025</w:t>
            </w:r>
          </w:p>
        </w:tc>
      </w:tr>
      <w:tr>
        <w:trPr/>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91" w:type="dxa"/>
            <w:gridSpan w:val="6"/>
            <w:tcBorders/>
            <w:vAlign w:val="center"/>
          </w:tcPr>
          <w:p>
            <w:pPr>
              <w:pStyle w:val="TableContents"/>
              <w:bidi w:val="0"/>
              <w:spacing w:before="0" w:after="0"/>
              <w:jc w:val="left"/>
              <w:rPr/>
            </w:pPr>
            <w:r>
              <w:rPr/>
              <w:t> </w:t>
            </w:r>
          </w:p>
        </w:tc>
      </w:tr>
    </w:tbl>
    <w:tbl>
      <w:tblPr>
        <w:tblW w:w="4285" w:type="dxa"/>
        <w:jc w:val="left"/>
        <w:tblInd w:w="0" w:type="dxa"/>
        <w:tblLayout w:type="fixed"/>
        <w:tblCellMar>
          <w:top w:w="0" w:type="dxa"/>
          <w:left w:w="0" w:type="dxa"/>
          <w:bottom w:w="0" w:type="dxa"/>
          <w:right w:w="0" w:type="dxa"/>
        </w:tblCellMar>
      </w:tblPr>
      <w:tblGrid>
        <w:gridCol w:w="305"/>
        <w:gridCol w:w="3980"/>
      </w:tblGrid>
      <w:tr>
        <w:trPr/>
        <w:tc>
          <w:tcPr>
            <w:tcW w:w="305"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Q:</w:t>
            </w:r>
          </w:p>
        </w:tc>
        <w:tc>
          <w:tcPr>
            <w:tcW w:w="3980"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Who can vote at the Annual Meeting?</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Arial;Helvetica;sans-serif" w:hAnsi="Arial;Helvetica;sans-serif"/>
                <w:b/>
                <w:color w:val="4C4C4C"/>
                <w:sz w:val="20"/>
              </w:rPr>
            </w:pPr>
            <w:r>
              <w:rPr>
                <w:rFonts w:ascii="Arial;Helvetica;sans-serif" w:hAnsi="Arial;Helvetica;sans-serif"/>
                <w:b/>
                <w:color w:val="4C4C4C"/>
                <w:sz w:val="20"/>
              </w:rPr>
              <w:t>A:</w:t>
            </w:r>
          </w:p>
        </w:tc>
        <w:tc>
          <w:tcPr>
            <w:tcW w:w="10009" w:type="dxa"/>
            <w:tcBorders/>
            <w:vAlign w:val="center"/>
          </w:tcPr>
          <w:p>
            <w:pPr>
              <w:pStyle w:val="TableContents"/>
              <w:bidi w:val="0"/>
              <w:spacing w:before="0" w:after="0"/>
              <w:jc w:val="both"/>
              <w:rPr>
                <w:rFonts w:ascii="Arial;Helvetica;sans-serif" w:hAnsi="Arial;Helvetica;sans-serif"/>
                <w:b w:val="false"/>
                <w:color w:val="4C4C4C"/>
                <w:sz w:val="20"/>
              </w:rPr>
            </w:pPr>
            <w:r>
              <w:rPr>
                <w:rFonts w:ascii="Arial;Helvetica;sans-serif" w:hAnsi="Arial;Helvetica;sans-serif"/>
                <w:b w:val="false"/>
                <w:color w:val="4C4C4C"/>
                <w:sz w:val="20"/>
              </w:rPr>
              <w:t>Stockholders of record of Class A and Class B common stock at 5 p.m., Eastern time, on April 15, 2025 the record date, will be entitled to vote at the Annual Meeting. As of the record date, there were outstanding a total of 58,842,693 shares of Class A common stock, each of which will be entitled to one vote on each proposal, and 5,021,811 shares of Class B common stock, each of which will be entitled to twenty votes on each proposal. As a result, up to a total of 159,278,913 votes can be cast on each proposal.</w:t>
            </w:r>
          </w:p>
        </w:tc>
      </w:tr>
    </w:tbl>
    <w:tbl>
      <w:tblPr>
        <w:tblW w:w="3805" w:type="dxa"/>
        <w:jc w:val="left"/>
        <w:tblInd w:w="0" w:type="dxa"/>
        <w:tblLayout w:type="fixed"/>
        <w:tblCellMar>
          <w:top w:w="0" w:type="dxa"/>
          <w:left w:w="0" w:type="dxa"/>
          <w:bottom w:w="0" w:type="dxa"/>
          <w:right w:w="0" w:type="dxa"/>
        </w:tblCellMar>
      </w:tblPr>
      <w:tblGrid>
        <w:gridCol w:w="305"/>
        <w:gridCol w:w="3500"/>
      </w:tblGrid>
      <w:tr>
        <w:trPr/>
        <w:tc>
          <w:tcPr>
            <w:tcW w:w="305"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Q:</w:t>
            </w:r>
          </w:p>
        </w:tc>
        <w:tc>
          <w:tcPr>
            <w:tcW w:w="3500"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What is a stockholder of record?</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Arial;Helvetica;sans-serif" w:hAnsi="Arial;Helvetica;sans-serif"/>
                <w:b/>
                <w:color w:val="4C4C4C"/>
                <w:sz w:val="20"/>
              </w:rPr>
            </w:pPr>
            <w:r>
              <w:rPr>
                <w:rFonts w:ascii="Arial;Helvetica;sans-serif" w:hAnsi="Arial;Helvetica;sans-serif"/>
                <w:b/>
                <w:color w:val="4C4C4C"/>
                <w:sz w:val="20"/>
              </w:rPr>
              <w:t>A:</w:t>
            </w:r>
          </w:p>
        </w:tc>
        <w:tc>
          <w:tcPr>
            <w:tcW w:w="9985" w:type="dxa"/>
            <w:tcBorders/>
            <w:vAlign w:val="center"/>
          </w:tcPr>
          <w:p>
            <w:pPr>
              <w:pStyle w:val="TableContents"/>
              <w:bidi w:val="0"/>
              <w:spacing w:before="0" w:after="0"/>
              <w:jc w:val="both"/>
              <w:rPr>
                <w:rFonts w:ascii="Arial;Helvetica;sans-serif" w:hAnsi="Arial;Helvetica;sans-serif"/>
                <w:b w:val="false"/>
                <w:color w:val="4C4C4C"/>
                <w:sz w:val="20"/>
              </w:rPr>
            </w:pPr>
            <w:r>
              <w:rPr>
                <w:rFonts w:ascii="Arial;Helvetica;sans-serif" w:hAnsi="Arial;Helvetica;sans-serif"/>
                <w:b w:val="false"/>
                <w:color w:val="4C4C4C"/>
                <w:sz w:val="20"/>
              </w:rPr>
              <w:t>A stockholder of record is a stockholder whose ownership of our common stock is reflected directly on the books and records of our transfer agent, Computershare Trust Company, N.A.</w:t>
            </w:r>
          </w:p>
        </w:tc>
      </w:tr>
    </w:tbl>
    <w:tbl>
      <w:tblPr>
        <w:tblW w:w="8950" w:type="dxa"/>
        <w:jc w:val="left"/>
        <w:tblInd w:w="0" w:type="dxa"/>
        <w:tblLayout w:type="fixed"/>
        <w:tblCellMar>
          <w:top w:w="0" w:type="dxa"/>
          <w:left w:w="0" w:type="dxa"/>
          <w:bottom w:w="0" w:type="dxa"/>
          <w:right w:w="0" w:type="dxa"/>
        </w:tblCellMar>
      </w:tblPr>
      <w:tblGrid>
        <w:gridCol w:w="305"/>
        <w:gridCol w:w="8645"/>
      </w:tblGrid>
      <w:tr>
        <w:trPr/>
        <w:tc>
          <w:tcPr>
            <w:tcW w:w="305"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Q:</w:t>
            </w:r>
          </w:p>
        </w:tc>
        <w:tc>
          <w:tcPr>
            <w:tcW w:w="8645"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What does it mean for a broker or other nominee to hold shares in “street name”?</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Arial;Helvetica;sans-serif" w:hAnsi="Arial;Helvetica;sans-serif"/>
                <w:b/>
                <w:color w:val="4C4C4C"/>
                <w:sz w:val="20"/>
              </w:rPr>
            </w:pPr>
            <w:r>
              <w:rPr>
                <w:rFonts w:ascii="Arial;Helvetica;sans-serif" w:hAnsi="Arial;Helvetica;sans-serif"/>
                <w:b/>
                <w:color w:val="4C4C4C"/>
                <w:sz w:val="20"/>
              </w:rPr>
              <w:t>A:</w:t>
            </w:r>
          </w:p>
        </w:tc>
        <w:tc>
          <w:tcPr>
            <w:tcW w:w="10010" w:type="dxa"/>
            <w:tcBorders/>
            <w:vAlign w:val="center"/>
          </w:tcPr>
          <w:p>
            <w:pPr>
              <w:pStyle w:val="TableContents"/>
              <w:bidi w:val="0"/>
              <w:spacing w:before="0" w:after="0"/>
              <w:jc w:val="both"/>
              <w:rPr>
                <w:rFonts w:ascii="Arial;Helvetica;sans-serif" w:hAnsi="Arial;Helvetica;sans-serif"/>
                <w:b w:val="false"/>
                <w:color w:val="4C4C4C"/>
                <w:sz w:val="20"/>
              </w:rPr>
            </w:pPr>
            <w:r>
              <w:rPr>
                <w:rFonts w:ascii="Arial;Helvetica;sans-serif" w:hAnsi="Arial;Helvetica;sans-serif"/>
                <w:b w:val="false"/>
                <w:color w:val="4C4C4C"/>
                <w:sz w:val="20"/>
              </w:rPr>
              <w:t>If you beneficially own shares held in an account with a broker, bank or similar organization, that organization is the stockholder of record and is considered to hold those shares in “street name.” An organization that holds your beneficially owned shares in street name will vote in accordance with the instructions you provide. If you do not provide the organization with specific voting instructions with respect to a proposal, the organization’s authority to vote your shares will, under the rules of the Nasdaq Global Market, or NASDAQ, depend upon whether the proposal is considered a “routine” or a non-routine matter.</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C4C4C"/>
              </w:rPr>
            </w:pPr>
            <w:r>
              <w:rPr>
                <w:color w:val="4C4C4C"/>
              </w:rPr>
              <w:t>•</w:t>
            </w:r>
          </w:p>
        </w:tc>
        <w:tc>
          <w:tcPr>
            <w:tcW w:w="10065" w:type="dxa"/>
            <w:tcBorders/>
            <w:vAlign w:val="center"/>
          </w:tcPr>
          <w:p>
            <w:pPr>
              <w:pStyle w:val="TableContents"/>
              <w:bidi w:val="0"/>
              <w:spacing w:before="0" w:after="0"/>
              <w:jc w:val="both"/>
              <w:rPr>
                <w:rFonts w:ascii="Arial;Helvetica;sans-serif" w:hAnsi="Arial;Helvetica;sans-serif"/>
                <w:color w:val="4C4C4C"/>
                <w:sz w:val="20"/>
              </w:rPr>
            </w:pPr>
            <w:r>
              <w:rPr>
                <w:rFonts w:ascii="Arial;Helvetica;sans-serif" w:hAnsi="Arial;Helvetica;sans-serif"/>
                <w:color w:val="4C4C4C"/>
                <w:sz w:val="20"/>
              </w:rPr>
              <w:t>The organization generally may vote your beneficially owned shares on routine items for which you have not provided voting instructions to the organization. The only routine matter expected to be voted on at the Annual Meeting is the ratification of the appointment of our independent auditor for 2025 (Proposal 2).</w:t>
            </w:r>
          </w:p>
        </w:tc>
      </w:tr>
    </w:tbl>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6</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8" w:name="ny20042784x1_def14a_107-qa_pg3"/>
        <w:bookmarkEnd w:id="1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C4C4C"/>
              </w:rPr>
            </w:pPr>
            <w:r>
              <w:rPr>
                <w:color w:val="4C4C4C"/>
              </w:rPr>
              <w:t>•</w:t>
            </w:r>
          </w:p>
        </w:tc>
        <w:tc>
          <w:tcPr>
            <w:tcW w:w="10065" w:type="dxa"/>
            <w:tcBorders/>
            <w:vAlign w:val="center"/>
          </w:tcPr>
          <w:p>
            <w:pPr>
              <w:pStyle w:val="TableContents"/>
              <w:bidi w:val="0"/>
              <w:spacing w:before="0" w:after="0"/>
              <w:jc w:val="both"/>
              <w:rPr>
                <w:rFonts w:ascii="Arial;Helvetica;sans-serif" w:hAnsi="Arial;Helvetica;sans-serif"/>
                <w:color w:val="4C4C4C"/>
                <w:sz w:val="20"/>
              </w:rPr>
            </w:pPr>
            <w:r>
              <w:rPr>
                <w:rFonts w:ascii="Arial;Helvetica;sans-serif" w:hAnsi="Arial;Helvetica;sans-serif"/>
                <w:color w:val="4C4C4C"/>
                <w:sz w:val="20"/>
              </w:rPr>
              <w:t>The organization generally may not vote on non-routine matters, including Proposal 1. Instead, it will inform the inspector of election that it does not have the authority to vote on those matters. This is referred to as a “broker non-vote.”</w:t>
            </w:r>
          </w:p>
        </w:tc>
      </w:tr>
    </w:tbl>
    <w:p>
      <w:pPr>
        <w:pStyle w:val="TextBody"/>
        <w:bidi w:val="0"/>
        <w:spacing w:before="200" w:after="283"/>
        <w:ind w:left="400" w:right="0" w:hanging="0"/>
        <w:jc w:val="both"/>
        <w:rPr>
          <w:rFonts w:ascii="Arial;Helvetica;sans-serif" w:hAnsi="Arial;Helvetica;sans-serif"/>
          <w:color w:val="4C4C4C"/>
          <w:sz w:val="20"/>
        </w:rPr>
      </w:pPr>
      <w:r>
        <w:rPr>
          <w:rFonts w:ascii="Arial;Helvetica;sans-serif" w:hAnsi="Arial;Helvetica;sans-serif"/>
          <w:color w:val="4C4C4C"/>
          <w:sz w:val="20"/>
        </w:rPr>
        <w:t>For the purpose of determining a quorum, we will treat as present at the Annual Meeting any proxies that are voted on either of the two proposals to be acted upon by the stockholders, including abstentions or proxies containing broker non-votes.</w:t>
      </w:r>
    </w:p>
    <w:tbl>
      <w:tblPr>
        <w:tblW w:w="6955" w:type="dxa"/>
        <w:jc w:val="left"/>
        <w:tblInd w:w="0" w:type="dxa"/>
        <w:tblLayout w:type="fixed"/>
        <w:tblCellMar>
          <w:top w:w="0" w:type="dxa"/>
          <w:left w:w="0" w:type="dxa"/>
          <w:bottom w:w="0" w:type="dxa"/>
          <w:right w:w="0" w:type="dxa"/>
        </w:tblCellMar>
      </w:tblPr>
      <w:tblGrid>
        <w:gridCol w:w="305"/>
        <w:gridCol w:w="6650"/>
      </w:tblGrid>
      <w:tr>
        <w:trPr/>
        <w:tc>
          <w:tcPr>
            <w:tcW w:w="305"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Q:</w:t>
            </w:r>
          </w:p>
        </w:tc>
        <w:tc>
          <w:tcPr>
            <w:tcW w:w="6650"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How do I vote my shares if I do not attend the Annual Meeting?</w:t>
            </w:r>
          </w:p>
        </w:tc>
      </w:tr>
    </w:tbl>
    <w:tbl>
      <w:tblPr>
        <w:tblW w:w="8110" w:type="dxa"/>
        <w:jc w:val="left"/>
        <w:tblInd w:w="0" w:type="dxa"/>
        <w:tblLayout w:type="fixed"/>
        <w:tblCellMar>
          <w:top w:w="0" w:type="dxa"/>
          <w:left w:w="0" w:type="dxa"/>
          <w:bottom w:w="0" w:type="dxa"/>
          <w:right w:w="0" w:type="dxa"/>
        </w:tblCellMar>
      </w:tblPr>
      <w:tblGrid>
        <w:gridCol w:w="245"/>
        <w:gridCol w:w="7865"/>
      </w:tblGrid>
      <w:tr>
        <w:trPr/>
        <w:tc>
          <w:tcPr>
            <w:tcW w:w="245" w:type="dxa"/>
            <w:tcBorders/>
            <w:vAlign w:val="center"/>
          </w:tcPr>
          <w:p>
            <w:pPr>
              <w:pStyle w:val="TableContents"/>
              <w:bidi w:val="0"/>
              <w:spacing w:before="0" w:after="0"/>
              <w:jc w:val="left"/>
              <w:rPr>
                <w:rFonts w:ascii="Arial;Helvetica;sans-serif" w:hAnsi="Arial;Helvetica;sans-serif"/>
                <w:b/>
                <w:color w:val="4C4C4C"/>
                <w:sz w:val="20"/>
              </w:rPr>
            </w:pPr>
            <w:r>
              <w:rPr>
                <w:rFonts w:ascii="Arial;Helvetica;sans-serif" w:hAnsi="Arial;Helvetica;sans-serif"/>
                <w:b/>
                <w:color w:val="4C4C4C"/>
                <w:sz w:val="20"/>
              </w:rPr>
              <w:t>A:</w:t>
            </w:r>
          </w:p>
        </w:tc>
        <w:tc>
          <w:tcPr>
            <w:tcW w:w="7865" w:type="dxa"/>
            <w:tcBorders/>
            <w:vAlign w:val="center"/>
          </w:tcPr>
          <w:p>
            <w:pPr>
              <w:pStyle w:val="TableContents"/>
              <w:bidi w:val="0"/>
              <w:spacing w:before="0" w:after="0"/>
              <w:jc w:val="left"/>
              <w:rPr>
                <w:rFonts w:ascii="Arial;Helvetica;sans-serif" w:hAnsi="Arial;Helvetica;sans-serif"/>
                <w:b/>
                <w:color w:val="4C4C4C"/>
                <w:sz w:val="20"/>
              </w:rPr>
            </w:pPr>
            <w:r>
              <w:rPr>
                <w:rFonts w:ascii="Arial;Helvetica;sans-serif" w:hAnsi="Arial;Helvetica;sans-serif"/>
                <w:b/>
                <w:color w:val="4C4C4C"/>
                <w:sz w:val="20"/>
              </w:rPr>
              <w:t xml:space="preserve">If you are a stockholder of record, </w:t>
            </w:r>
            <w:r>
              <w:rPr>
                <w:rFonts w:ascii="Arial;Helvetica;sans-serif" w:hAnsi="Arial;Helvetica;sans-serif"/>
                <w:b w:val="false"/>
                <w:color w:val="4C4C4C"/>
                <w:sz w:val="20"/>
              </w:rPr>
              <w:t>you may vote prior to the Annual Meeting as follows:</w:t>
            </w:r>
          </w:p>
        </w:tc>
      </w:tr>
    </w:tbl>
    <w:tbl>
      <w:tblPr>
        <w:tblW w:w="10205" w:type="dxa"/>
        <w:jc w:val="left"/>
        <w:tblInd w:w="0" w:type="dxa"/>
        <w:tblLayout w:type="fixed"/>
        <w:tblCellMar>
          <w:top w:w="0" w:type="dxa"/>
          <w:left w:w="0" w:type="dxa"/>
          <w:bottom w:w="0" w:type="dxa"/>
          <w:right w:w="0" w:type="dxa"/>
        </w:tblCellMar>
      </w:tblPr>
      <w:tblGrid>
        <w:gridCol w:w="192"/>
        <w:gridCol w:w="170"/>
        <w:gridCol w:w="170"/>
        <w:gridCol w:w="1068"/>
        <w:gridCol w:w="170"/>
        <w:gridCol w:w="170"/>
        <w:gridCol w:w="8265"/>
      </w:tblGrid>
      <w:tr>
        <w:trPr/>
        <w:tc>
          <w:tcPr>
            <w:tcW w:w="19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65" w:type="dxa"/>
            <w:tcBorders/>
            <w:vAlign w:val="center"/>
          </w:tcPr>
          <w:p>
            <w:pPr>
              <w:pStyle w:val="TableContents"/>
              <w:bidi w:val="0"/>
              <w:spacing w:before="0" w:after="0"/>
              <w:jc w:val="left"/>
              <w:rPr/>
            </w:pPr>
            <w:r>
              <w:rPr/>
              <w:t> </w:t>
            </w:r>
          </w:p>
        </w:tc>
      </w:tr>
      <w:tr>
        <w:trPr/>
        <w:tc>
          <w:tcPr>
            <w:tcW w:w="192" w:type="dxa"/>
            <w:tcBorders/>
            <w:vAlign w:val="center"/>
          </w:tcPr>
          <w:p>
            <w:pPr>
              <w:pStyle w:val="TableContents"/>
              <w:bidi w:val="0"/>
              <w:spacing w:before="0" w:after="283"/>
              <w:ind w:left="0" w:right="0" w:hanging="0"/>
              <w:jc w:val="left"/>
              <w:rPr>
                <w:color w:val="4C4C4C"/>
              </w:rPr>
            </w:pPr>
            <w:r>
              <w:rPr>
                <w:color w:val="4C4C4C"/>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8" w:type="dxa"/>
            <w:tcBorders/>
            <w:vAlign w:val="center"/>
          </w:tcPr>
          <w:p>
            <w:pPr>
              <w:pStyle w:val="TableContents"/>
              <w:bidi w:val="0"/>
              <w:spacing w:before="0" w:after="283"/>
              <w:ind w:left="0" w:right="0" w:hanging="0"/>
              <w:jc w:val="left"/>
              <w:rPr>
                <w:rFonts w:ascii="Arial;Helvetica;sans-serif" w:hAnsi="Arial;Helvetica;sans-serif"/>
                <w:i/>
                <w:color w:val="4C4C4C"/>
                <w:sz w:val="20"/>
              </w:rPr>
            </w:pPr>
            <w:r>
              <w:rPr>
                <w:rFonts w:ascii="Arial;Helvetica;sans-serif" w:hAnsi="Arial;Helvetica;sans-serif"/>
                <w:i/>
                <w:color w:val="4C4C4C"/>
                <w:sz w:val="20"/>
              </w:rPr>
              <w:t>Via the Internet: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65" w:type="dxa"/>
            <w:tcBorders/>
            <w:vAlign w:val="center"/>
          </w:tcPr>
          <w:p>
            <w:pPr>
              <w:pStyle w:val="TableContents"/>
              <w:bidi w:val="0"/>
              <w:spacing w:before="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You may vote via the Internet by going to </w:t>
            </w:r>
            <w:r>
              <w:rPr>
                <w:rFonts w:ascii="Arial;Helvetica;sans-serif" w:hAnsi="Arial;Helvetica;sans-serif"/>
                <w:i/>
                <w:color w:val="4C4C4C"/>
                <w:sz w:val="20"/>
              </w:rPr>
              <w:t>proxyvote.com</w:t>
            </w:r>
            <w:r>
              <w:rPr>
                <w:rFonts w:ascii="Arial;Helvetica;sans-serif" w:hAnsi="Arial;Helvetica;sans-serif"/>
                <w:color w:val="4C4C4C"/>
                <w:sz w:val="20"/>
              </w:rPr>
              <w:t>, in accordance with the voting instructions on the Notice of Internet Availability or proxy card. Internet voting is available 24 hours a day until 11:59 p.m., Eastern time, on June 12, 2025. You will be given the opportunity to confirm that your instructions have been recorded properly.</w:t>
            </w:r>
          </w:p>
        </w:tc>
      </w:tr>
      <w:tr>
        <w:trPr/>
        <w:tc>
          <w:tcPr>
            <w:tcW w:w="192" w:type="dxa"/>
            <w:tcBorders/>
            <w:vAlign w:val="center"/>
          </w:tcPr>
          <w:p>
            <w:pPr>
              <w:pStyle w:val="TableContents"/>
              <w:bidi w:val="0"/>
              <w:spacing w:before="0" w:after="283"/>
              <w:ind w:left="0" w:right="0" w:hanging="0"/>
              <w:jc w:val="left"/>
              <w:rPr>
                <w:color w:val="4C4C4C"/>
              </w:rPr>
            </w:pPr>
            <w:r>
              <w:rPr>
                <w:color w:val="4C4C4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8" w:type="dxa"/>
            <w:tcBorders/>
            <w:vAlign w:val="center"/>
          </w:tcPr>
          <w:p>
            <w:pPr>
              <w:pStyle w:val="TableContents"/>
              <w:bidi w:val="0"/>
              <w:spacing w:before="0" w:after="283"/>
              <w:ind w:left="0" w:right="0" w:hanging="0"/>
              <w:jc w:val="left"/>
              <w:rPr>
                <w:rFonts w:ascii="Arial;Helvetica;sans-serif" w:hAnsi="Arial;Helvetica;sans-serif"/>
                <w:i/>
                <w:color w:val="4C4C4C"/>
                <w:sz w:val="20"/>
              </w:rPr>
            </w:pPr>
            <w:r>
              <w:rPr>
                <w:rFonts w:ascii="Arial;Helvetica;sans-serif" w:hAnsi="Arial;Helvetica;sans-serif"/>
                <w:i/>
                <w:color w:val="4C4C4C"/>
                <w:sz w:val="20"/>
              </w:rPr>
              <w:t>By Telephone: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65" w:type="dxa"/>
            <w:tcBorders/>
            <w:vAlign w:val="center"/>
          </w:tcPr>
          <w:p>
            <w:pPr>
              <w:pStyle w:val="TableContents"/>
              <w:bidi w:val="0"/>
              <w:spacing w:before="0" w:after="283"/>
              <w:ind w:left="0" w:right="0" w:hanging="0"/>
              <w:jc w:val="both"/>
              <w:rPr>
                <w:rFonts w:ascii="Arial;Helvetica;sans-serif" w:hAnsi="Arial;Helvetica;sans-serif"/>
                <w:color w:val="4C4C4C"/>
                <w:sz w:val="20"/>
              </w:rPr>
            </w:pPr>
            <w:r>
              <w:rPr>
                <w:rFonts w:ascii="Arial;Helvetica;sans-serif" w:hAnsi="Arial;Helvetica;sans-serif"/>
                <w:color w:val="4C4C4C"/>
                <w:sz w:val="20"/>
              </w:rPr>
              <w:t>You may vote by calling +1.800.690.6903 and following the instructions provided on the telephone line. Telephone voting is available 24 hours a day until 11:59 p.m., Eastern time, on June 12, 2025. Easy-to-follow voice prompts will allow you to vote your shares and confirm that your instructions have been recorded properly.</w:t>
            </w:r>
          </w:p>
        </w:tc>
      </w:tr>
      <w:tr>
        <w:trPr/>
        <w:tc>
          <w:tcPr>
            <w:tcW w:w="192" w:type="dxa"/>
            <w:tcBorders/>
            <w:vAlign w:val="center"/>
          </w:tcPr>
          <w:p>
            <w:pPr>
              <w:pStyle w:val="TableContents"/>
              <w:bidi w:val="0"/>
              <w:spacing w:before="0" w:after="283"/>
              <w:ind w:left="0" w:right="0" w:hanging="0"/>
              <w:jc w:val="left"/>
              <w:rPr>
                <w:color w:val="4C4C4C"/>
              </w:rPr>
            </w:pPr>
            <w:r>
              <w:rPr>
                <w:color w:val="4C4C4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8" w:type="dxa"/>
            <w:tcBorders/>
            <w:vAlign w:val="center"/>
          </w:tcPr>
          <w:p>
            <w:pPr>
              <w:pStyle w:val="TableContents"/>
              <w:bidi w:val="0"/>
              <w:spacing w:before="0" w:after="283"/>
              <w:ind w:left="0" w:right="0" w:hanging="0"/>
              <w:jc w:val="left"/>
              <w:rPr>
                <w:rFonts w:ascii="Arial;Helvetica;sans-serif" w:hAnsi="Arial;Helvetica;sans-serif"/>
                <w:i/>
                <w:color w:val="4C4C4C"/>
                <w:sz w:val="20"/>
              </w:rPr>
            </w:pPr>
            <w:r>
              <w:rPr>
                <w:rFonts w:ascii="Arial;Helvetica;sans-serif" w:hAnsi="Arial;Helvetica;sans-serif"/>
                <w:i/>
                <w:color w:val="4C4C4C"/>
                <w:sz w:val="20"/>
              </w:rPr>
              <w:t>By Mail: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65" w:type="dxa"/>
            <w:tcBorders/>
            <w:vAlign w:val="center"/>
          </w:tcPr>
          <w:p>
            <w:pPr>
              <w:pStyle w:val="TableContents"/>
              <w:bidi w:val="0"/>
              <w:spacing w:before="0" w:after="283"/>
              <w:ind w:left="0" w:right="0" w:hanging="0"/>
              <w:jc w:val="both"/>
              <w:rPr>
                <w:rFonts w:ascii="Arial;Helvetica;sans-serif" w:hAnsi="Arial;Helvetica;sans-serif"/>
                <w:color w:val="4C4C4C"/>
                <w:sz w:val="20"/>
              </w:rPr>
            </w:pPr>
            <w:r>
              <w:rPr>
                <w:rFonts w:ascii="Arial;Helvetica;sans-serif" w:hAnsi="Arial;Helvetica;sans-serif"/>
                <w:color w:val="4C4C4C"/>
                <w:sz w:val="20"/>
              </w:rPr>
              <w:t>If you obtain a proxy card by mail, you may vote by returning the completed and signed proxy card in a postage-paid return envelope that will be provided with the proxy card.</w:t>
            </w:r>
          </w:p>
        </w:tc>
      </w:tr>
      <w:tr>
        <w:trPr/>
        <w:tc>
          <w:tcPr>
            <w:tcW w:w="19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65" w:type="dxa"/>
            <w:tcBorders/>
            <w:vAlign w:val="center"/>
          </w:tcPr>
          <w:p>
            <w:pPr>
              <w:pStyle w:val="TableContents"/>
              <w:bidi w:val="0"/>
              <w:spacing w:before="0" w:after="0"/>
              <w:jc w:val="left"/>
              <w:rPr/>
            </w:pPr>
            <w:r>
              <w:rPr/>
              <w:t> </w:t>
            </w:r>
          </w:p>
        </w:tc>
      </w:tr>
    </w:tbl>
    <w:p>
      <w:pPr>
        <w:pStyle w:val="TextBody"/>
        <w:bidi w:val="0"/>
        <w:spacing w:before="200" w:after="283"/>
        <w:ind w:left="400" w:right="0" w:hanging="0"/>
        <w:jc w:val="both"/>
        <w:rPr>
          <w:rFonts w:ascii="Arial;Helvetica;sans-serif" w:hAnsi="Arial;Helvetica;sans-serif"/>
          <w:b/>
          <w:color w:val="4C4C4C"/>
          <w:sz w:val="20"/>
        </w:rPr>
      </w:pPr>
      <w:r>
        <w:rPr>
          <w:rFonts w:ascii="Arial;Helvetica;sans-serif" w:hAnsi="Arial;Helvetica;sans-serif"/>
          <w:b/>
          <w:color w:val="4C4C4C"/>
          <w:sz w:val="20"/>
        </w:rPr>
        <w:t xml:space="preserve">If you hold shares in street name, </w:t>
      </w:r>
      <w:r>
        <w:rPr>
          <w:rFonts w:ascii="Arial;Helvetica;sans-serif" w:hAnsi="Arial;Helvetica;sans-serif"/>
          <w:b w:val="false"/>
          <w:color w:val="4C4C4C"/>
          <w:sz w:val="20"/>
        </w:rPr>
        <w:t>you may vote by following the voting instructions provided by your bank, broker or other nominee. In general, you may vote prior to the Annual Meeting as follows:</w:t>
      </w:r>
    </w:p>
    <w:tbl>
      <w:tblPr>
        <w:tblW w:w="10205" w:type="dxa"/>
        <w:jc w:val="left"/>
        <w:tblInd w:w="0" w:type="dxa"/>
        <w:tblLayout w:type="fixed"/>
        <w:tblCellMar>
          <w:top w:w="0" w:type="dxa"/>
          <w:left w:w="0" w:type="dxa"/>
          <w:bottom w:w="0" w:type="dxa"/>
          <w:right w:w="0" w:type="dxa"/>
        </w:tblCellMar>
      </w:tblPr>
      <w:tblGrid>
        <w:gridCol w:w="185"/>
        <w:gridCol w:w="170"/>
        <w:gridCol w:w="170"/>
        <w:gridCol w:w="1069"/>
        <w:gridCol w:w="170"/>
        <w:gridCol w:w="170"/>
        <w:gridCol w:w="8271"/>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1"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283"/>
              <w:ind w:left="0" w:right="0" w:hanging="0"/>
              <w:jc w:val="left"/>
              <w:rPr>
                <w:color w:val="4C4C4C"/>
              </w:rPr>
            </w:pPr>
            <w:r>
              <w:rPr>
                <w:color w:val="4C4C4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9" w:type="dxa"/>
            <w:tcBorders/>
            <w:vAlign w:val="center"/>
          </w:tcPr>
          <w:p>
            <w:pPr>
              <w:pStyle w:val="TableContents"/>
              <w:bidi w:val="0"/>
              <w:spacing w:before="0" w:after="283"/>
              <w:ind w:left="0" w:right="0" w:hanging="0"/>
              <w:jc w:val="left"/>
              <w:rPr>
                <w:rFonts w:ascii="Arial;Helvetica;sans-serif" w:hAnsi="Arial;Helvetica;sans-serif"/>
                <w:i/>
                <w:color w:val="4C4C4C"/>
                <w:sz w:val="20"/>
              </w:rPr>
            </w:pPr>
            <w:r>
              <w:rPr>
                <w:rFonts w:ascii="Arial;Helvetica;sans-serif" w:hAnsi="Arial;Helvetica;sans-serif"/>
                <w:i/>
                <w:color w:val="4C4C4C"/>
                <w:sz w:val="20"/>
              </w:rPr>
              <w:t>Via the Internet: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1" w:type="dxa"/>
            <w:tcBorders/>
            <w:vAlign w:val="center"/>
          </w:tcPr>
          <w:p>
            <w:pPr>
              <w:pStyle w:val="TableContents"/>
              <w:bidi w:val="0"/>
              <w:spacing w:before="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You may vote via the Internet by going to </w:t>
            </w:r>
            <w:r>
              <w:rPr>
                <w:rFonts w:ascii="Arial;Helvetica;sans-serif" w:hAnsi="Arial;Helvetica;sans-serif"/>
                <w:i/>
                <w:color w:val="4C4C4C"/>
                <w:sz w:val="20"/>
              </w:rPr>
              <w:t>proxyvote.com</w:t>
            </w:r>
            <w:r>
              <w:rPr>
                <w:rFonts w:ascii="Arial;Helvetica;sans-serif" w:hAnsi="Arial;Helvetica;sans-serif"/>
                <w:color w:val="4C4C4C"/>
                <w:sz w:val="20"/>
              </w:rPr>
              <w:t>, in accordance with the voting instructions on the Notice of Internet Availability or proxy card. Internet voting is available 24 hours a day until 11:59 p.m., Eastern time, on June 12, 2025. You will be given the opportunity to confirm that your instructions have been recorded properly.</w:t>
            </w:r>
          </w:p>
        </w:tc>
      </w:tr>
      <w:tr>
        <w:trPr/>
        <w:tc>
          <w:tcPr>
            <w:tcW w:w="185" w:type="dxa"/>
            <w:tcBorders/>
            <w:vAlign w:val="center"/>
          </w:tcPr>
          <w:p>
            <w:pPr>
              <w:pStyle w:val="TableContents"/>
              <w:bidi w:val="0"/>
              <w:spacing w:before="0" w:after="283"/>
              <w:ind w:left="0" w:right="0" w:hanging="0"/>
              <w:jc w:val="left"/>
              <w:rPr>
                <w:color w:val="4C4C4C"/>
              </w:rPr>
            </w:pPr>
            <w:r>
              <w:rPr>
                <w:color w:val="4C4C4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9" w:type="dxa"/>
            <w:tcBorders/>
            <w:vAlign w:val="center"/>
          </w:tcPr>
          <w:p>
            <w:pPr>
              <w:pStyle w:val="TableContents"/>
              <w:bidi w:val="0"/>
              <w:spacing w:before="0" w:after="283"/>
              <w:ind w:left="0" w:right="0" w:hanging="0"/>
              <w:jc w:val="left"/>
              <w:rPr>
                <w:rFonts w:ascii="Arial;Helvetica;sans-serif" w:hAnsi="Arial;Helvetica;sans-serif"/>
                <w:i/>
                <w:color w:val="4C4C4C"/>
                <w:sz w:val="20"/>
              </w:rPr>
            </w:pPr>
            <w:r>
              <w:rPr>
                <w:rFonts w:ascii="Arial;Helvetica;sans-serif" w:hAnsi="Arial;Helvetica;sans-serif"/>
                <w:i/>
                <w:color w:val="4C4C4C"/>
                <w:sz w:val="20"/>
              </w:rPr>
              <w:t>By Telephone: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1" w:type="dxa"/>
            <w:tcBorders/>
            <w:vAlign w:val="center"/>
          </w:tcPr>
          <w:p>
            <w:pPr>
              <w:pStyle w:val="TableContents"/>
              <w:bidi w:val="0"/>
              <w:spacing w:before="0" w:after="283"/>
              <w:ind w:left="0" w:right="0" w:hanging="0"/>
              <w:jc w:val="both"/>
              <w:rPr>
                <w:rFonts w:ascii="Arial;Helvetica;sans-serif" w:hAnsi="Arial;Helvetica;sans-serif"/>
                <w:color w:val="4C4C4C"/>
                <w:sz w:val="20"/>
              </w:rPr>
            </w:pPr>
            <w:r>
              <w:rPr>
                <w:rFonts w:ascii="Arial;Helvetica;sans-serif" w:hAnsi="Arial;Helvetica;sans-serif"/>
                <w:color w:val="4C4C4C"/>
                <w:sz w:val="20"/>
              </w:rPr>
              <w:t>You may vote by calling +1.800.690.6903 and following the instructions provided on the telephone line. Telephone voting is available 24 hours a day until 11:59 p.m., Eastern time, on June 12, 2025. Easy-to-follow voice prompts allow you to vote your shares and confirm that your instructions have been recorded properly.</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1" w:type="dxa"/>
            <w:tcBorders/>
            <w:vAlign w:val="center"/>
          </w:tcPr>
          <w:p>
            <w:pPr>
              <w:pStyle w:val="TableContents"/>
              <w:bidi w:val="0"/>
              <w:spacing w:before="0" w:after="0"/>
              <w:jc w:val="left"/>
              <w:rPr/>
            </w:pPr>
            <w:r>
              <w:rPr/>
              <w:t> </w:t>
            </w:r>
          </w:p>
        </w:tc>
      </w:tr>
    </w:tbl>
    <w:p>
      <w:pPr>
        <w:pStyle w:val="TextBody"/>
        <w:bidi w:val="0"/>
        <w:spacing w:before="200" w:after="283"/>
        <w:ind w:left="400" w:right="0" w:hanging="0"/>
        <w:jc w:val="both"/>
        <w:rPr>
          <w:rFonts w:ascii="Arial;Helvetica;sans-serif" w:hAnsi="Arial;Helvetica;sans-serif"/>
          <w:color w:val="4C4C4C"/>
          <w:sz w:val="20"/>
        </w:rPr>
      </w:pPr>
      <w:r>
        <w:rPr>
          <w:rFonts w:ascii="Arial;Helvetica;sans-serif" w:hAnsi="Arial;Helvetica;sans-serif"/>
          <w:color w:val="4C4C4C"/>
          <w:sz w:val="20"/>
        </w:rPr>
        <w:t>For your information, voting via the Internet is the least expensive to ACM, followed by telephone voting, with voting by mail being the most expensive.</w:t>
      </w:r>
    </w:p>
    <w:tbl>
      <w:tblPr>
        <w:tblW w:w="3910" w:type="dxa"/>
        <w:jc w:val="left"/>
        <w:tblInd w:w="0" w:type="dxa"/>
        <w:tblLayout w:type="fixed"/>
        <w:tblCellMar>
          <w:top w:w="0" w:type="dxa"/>
          <w:left w:w="0" w:type="dxa"/>
          <w:bottom w:w="0" w:type="dxa"/>
          <w:right w:w="0" w:type="dxa"/>
        </w:tblCellMar>
      </w:tblPr>
      <w:tblGrid>
        <w:gridCol w:w="305"/>
        <w:gridCol w:w="3605"/>
      </w:tblGrid>
      <w:tr>
        <w:trPr/>
        <w:tc>
          <w:tcPr>
            <w:tcW w:w="305"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Q:</w:t>
            </w:r>
          </w:p>
        </w:tc>
        <w:tc>
          <w:tcPr>
            <w:tcW w:w="3605"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Can I vote at the Annual Meeting?</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Arial;Helvetica;sans-serif" w:hAnsi="Arial;Helvetica;sans-serif"/>
                <w:b/>
                <w:color w:val="4C4C4C"/>
                <w:sz w:val="20"/>
              </w:rPr>
            </w:pPr>
            <w:r>
              <w:rPr>
                <w:rFonts w:ascii="Arial;Helvetica;sans-serif" w:hAnsi="Arial;Helvetica;sans-serif"/>
                <w:b/>
                <w:color w:val="4C4C4C"/>
                <w:sz w:val="20"/>
              </w:rPr>
              <w:t>A:</w:t>
            </w:r>
          </w:p>
        </w:tc>
        <w:tc>
          <w:tcPr>
            <w:tcW w:w="9998" w:type="dxa"/>
            <w:tcBorders/>
            <w:vAlign w:val="center"/>
          </w:tcPr>
          <w:p>
            <w:pPr>
              <w:pStyle w:val="TableContents"/>
              <w:bidi w:val="0"/>
              <w:spacing w:before="0" w:after="0"/>
              <w:jc w:val="both"/>
              <w:rPr>
                <w:rFonts w:ascii="Arial;Helvetica;sans-serif" w:hAnsi="Arial;Helvetica;sans-serif"/>
                <w:b w:val="false"/>
                <w:color w:val="4C4C4C"/>
                <w:sz w:val="20"/>
              </w:rPr>
            </w:pPr>
            <w:r>
              <w:rPr>
                <w:rFonts w:ascii="Arial;Helvetica;sans-serif" w:hAnsi="Arial;Helvetica;sans-serif"/>
                <w:b w:val="false"/>
                <w:color w:val="4C4C4C"/>
                <w:sz w:val="20"/>
              </w:rPr>
              <w:t>If you are a stockholder of record, you may vote virtually at the Annual Meeting, whether or not you previously voted. If your shares are held in street name, you must obtain a written proxy, executed in your favor, from the stockholder of record to be able to vote at the Annual Meeting.</w:t>
            </w:r>
          </w:p>
        </w:tc>
      </w:tr>
    </w:tbl>
    <w:tbl>
      <w:tblPr>
        <w:tblW w:w="4915" w:type="dxa"/>
        <w:jc w:val="left"/>
        <w:tblInd w:w="0" w:type="dxa"/>
        <w:tblLayout w:type="fixed"/>
        <w:tblCellMar>
          <w:top w:w="0" w:type="dxa"/>
          <w:left w:w="0" w:type="dxa"/>
          <w:bottom w:w="0" w:type="dxa"/>
          <w:right w:w="0" w:type="dxa"/>
        </w:tblCellMar>
      </w:tblPr>
      <w:tblGrid>
        <w:gridCol w:w="305"/>
        <w:gridCol w:w="4610"/>
      </w:tblGrid>
      <w:tr>
        <w:trPr/>
        <w:tc>
          <w:tcPr>
            <w:tcW w:w="305"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Q:</w:t>
            </w:r>
          </w:p>
        </w:tc>
        <w:tc>
          <w:tcPr>
            <w:tcW w:w="4610"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Can I ask questions at the Annual Meeting?</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Arial;Helvetica;sans-serif" w:hAnsi="Arial;Helvetica;sans-serif"/>
                <w:b/>
                <w:color w:val="4C4C4C"/>
                <w:sz w:val="20"/>
              </w:rPr>
            </w:pPr>
            <w:r>
              <w:rPr>
                <w:rFonts w:ascii="Arial;Helvetica;sans-serif" w:hAnsi="Arial;Helvetica;sans-serif"/>
                <w:b/>
                <w:color w:val="4C4C4C"/>
                <w:sz w:val="20"/>
              </w:rPr>
              <w:t>A:</w:t>
            </w:r>
          </w:p>
        </w:tc>
        <w:tc>
          <w:tcPr>
            <w:tcW w:w="10015" w:type="dxa"/>
            <w:tcBorders/>
            <w:vAlign w:val="center"/>
          </w:tcPr>
          <w:p>
            <w:pPr>
              <w:pStyle w:val="TableContents"/>
              <w:bidi w:val="0"/>
              <w:spacing w:before="0" w:after="0"/>
              <w:jc w:val="both"/>
              <w:rPr>
                <w:rFonts w:ascii="Arial;Helvetica;sans-serif" w:hAnsi="Arial;Helvetica;sans-serif"/>
                <w:b/>
                <w:color w:val="4C4C4C"/>
                <w:sz w:val="20"/>
              </w:rPr>
            </w:pPr>
            <w:r>
              <w:rPr>
                <w:rFonts w:ascii="Arial;Helvetica;sans-serif" w:hAnsi="Arial;Helvetica;sans-serif"/>
                <w:b w:val="false"/>
                <w:color w:val="4C4C4C"/>
                <w:sz w:val="20"/>
              </w:rPr>
              <w:t xml:space="preserve">You may submit questions via the Internet during the Annual Meeting by participating in the webcast at </w:t>
            </w:r>
            <w:r>
              <w:rPr>
                <w:rFonts w:ascii="Arial;Helvetica;sans-serif" w:hAnsi="Arial;Helvetica;sans-serif"/>
                <w:b w:val="false"/>
                <w:i/>
                <w:color w:val="4C4C4C"/>
                <w:sz w:val="20"/>
              </w:rPr>
              <w:t>virtualshareholdermeeting.com/ACMR2025</w:t>
            </w:r>
            <w:r>
              <w:rPr>
                <w:rFonts w:ascii="Arial;Helvetica;sans-serif" w:hAnsi="Arial;Helvetica;sans-serif"/>
                <w:b w:val="false"/>
                <w:color w:val="4C4C4C"/>
                <w:sz w:val="20"/>
              </w:rPr>
              <w:t xml:space="preserve">. We will answer any timely submitted questions on a matter to be voted on at the Annual Meeting before voting is closed on the matter. Following adjournment of the formal business of the Annual Meeting, we will address appropriate general questions from stockholders regarding ACM in the order in which the questions are received. Questions relating to the stockholder proposals or ACM may be submitted in the field provided in the web portal at or before the time the questions are to be discussed. All questions received during the Annual Meeting will be presented as submitted, uncensored and unedited, except that we may omit certain personal details for data protection issues and we may edit profanity or other </w:t>
            </w:r>
          </w:p>
        </w:tc>
      </w:tr>
    </w:tbl>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7</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9" w:name="ny20042784x1_def14a_107-qa_pg4"/>
        <w:bookmarkEnd w:id="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Arial;Helvetica;sans-serif" w:hAnsi="Arial;Helvetica;sans-serif"/>
          <w:color w:val="4C4C4C"/>
          <w:sz w:val="20"/>
        </w:rPr>
      </w:pPr>
      <w:r>
        <w:rPr>
          <w:rFonts w:ascii="Arial;Helvetica;sans-serif" w:hAnsi="Arial;Helvetica;sans-serif"/>
          <w:color w:val="4C4C4C"/>
          <w:sz w:val="20"/>
        </w:rPr>
        <w:t xml:space="preserve">inappropriate language. If we receive substantially similar questions, we will group those questions together and provide a single response to avoid repetition. Additional information regarding the submission of questions during the Annual Meeting can be found in our 2025 Rules of Conduct and Procedure, a copy of which is attached as </w:t>
      </w:r>
      <w:r>
        <w:rPr>
          <w:rFonts w:ascii="Arial;Helvetica;sans-serif" w:hAnsi="Arial;Helvetica;sans-serif"/>
          <w:i/>
          <w:color w:val="000000"/>
          <w:sz w:val="20"/>
        </w:rPr>
        <w:t>Appendix A</w:t>
      </w:r>
      <w:r>
        <w:rPr>
          <w:rFonts w:ascii="Arial;Helvetica;sans-serif" w:hAnsi="Arial;Helvetica;sans-serif"/>
          <w:color w:val="4C4C4C"/>
          <w:sz w:val="20"/>
        </w:rPr>
        <w:t xml:space="preserve"> to this Proxy Statement</w:t>
      </w:r>
      <w:r>
        <w:rPr>
          <w:rFonts w:ascii="Arial;Helvetica;sans-serif" w:hAnsi="Arial;Helvetica;sans-serif"/>
          <w:i/>
          <w:color w:val="000000"/>
          <w:sz w:val="20"/>
        </w:rPr>
        <w:t>.</w:t>
      </w:r>
    </w:p>
    <w:tbl>
      <w:tblPr>
        <w:tblW w:w="7225" w:type="dxa"/>
        <w:jc w:val="left"/>
        <w:tblInd w:w="0" w:type="dxa"/>
        <w:tblLayout w:type="fixed"/>
        <w:tblCellMar>
          <w:top w:w="0" w:type="dxa"/>
          <w:left w:w="0" w:type="dxa"/>
          <w:bottom w:w="0" w:type="dxa"/>
          <w:right w:w="0" w:type="dxa"/>
        </w:tblCellMar>
      </w:tblPr>
      <w:tblGrid>
        <w:gridCol w:w="305"/>
        <w:gridCol w:w="6920"/>
      </w:tblGrid>
      <w:tr>
        <w:trPr/>
        <w:tc>
          <w:tcPr>
            <w:tcW w:w="305"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Q:</w:t>
            </w:r>
          </w:p>
        </w:tc>
        <w:tc>
          <w:tcPr>
            <w:tcW w:w="6920"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Why is the Annual Meeting being conducted as a virtual meeting?</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Arial;Helvetica;sans-serif" w:hAnsi="Arial;Helvetica;sans-serif"/>
                <w:b/>
                <w:color w:val="4C4C4C"/>
                <w:sz w:val="20"/>
              </w:rPr>
            </w:pPr>
            <w:r>
              <w:rPr>
                <w:rFonts w:ascii="Arial;Helvetica;sans-serif" w:hAnsi="Arial;Helvetica;sans-serif"/>
                <w:b/>
                <w:color w:val="4C4C4C"/>
                <w:sz w:val="20"/>
              </w:rPr>
              <w:t>A:</w:t>
            </w:r>
          </w:p>
        </w:tc>
        <w:tc>
          <w:tcPr>
            <w:tcW w:w="10011" w:type="dxa"/>
            <w:tcBorders/>
            <w:vAlign w:val="center"/>
          </w:tcPr>
          <w:p>
            <w:pPr>
              <w:pStyle w:val="TableContents"/>
              <w:bidi w:val="0"/>
              <w:spacing w:before="0" w:after="0"/>
              <w:jc w:val="both"/>
              <w:rPr>
                <w:rFonts w:ascii="Arial;Helvetica;sans-serif" w:hAnsi="Arial;Helvetica;sans-serif"/>
                <w:b w:val="false"/>
                <w:color w:val="4C4C4C"/>
                <w:sz w:val="20"/>
              </w:rPr>
            </w:pPr>
            <w:r>
              <w:rPr>
                <w:rFonts w:ascii="Arial;Helvetica;sans-serif" w:hAnsi="Arial;Helvetica;sans-serif"/>
                <w:b w:val="false"/>
                <w:color w:val="4C4C4C"/>
                <w:sz w:val="20"/>
              </w:rPr>
              <w:t xml:space="preserve">The board of directors considers the appropriate format of our annual meeting of stockholders on an annual basis. This year the board again chose a virtual meeting format for the Annual Meeting in an effort to facilitate stockholder attendance and participation by enabling stockholders to participate fully, and equally, from any location around the world, at no cost. The virtual meeting format will allow our stockholders to engage with us at the Annual Meeting from any geographic location, using any convenient internet-connected devices, including smart phones and tablet, laptop or desktop computers. </w:t>
            </w:r>
          </w:p>
        </w:tc>
      </w:tr>
    </w:tbl>
    <w:p>
      <w:pPr>
        <w:pStyle w:val="TextBody"/>
        <w:bidi w:val="0"/>
        <w:spacing w:before="200" w:after="283"/>
        <w:ind w:left="400" w:right="0" w:hanging="0"/>
        <w:jc w:val="both"/>
        <w:rPr>
          <w:rFonts w:ascii="Arial;Helvetica;sans-serif" w:hAnsi="Arial;Helvetica;sans-serif"/>
          <w:color w:val="4C4C4C"/>
          <w:sz w:val="20"/>
        </w:rPr>
      </w:pPr>
      <w:r>
        <w:rPr>
          <w:rFonts w:ascii="Arial;Helvetica;sans-serif" w:hAnsi="Arial;Helvetica;sans-serif"/>
          <w:color w:val="4C4C4C"/>
          <w:sz w:val="20"/>
        </w:rPr>
        <w:t>We will be able to engage with all stockholders as opposed to just those who can afford to travel to an in-person meeting. The virtual format allows stockholders to submit questions and comments during the meeting. We are utilizing technology from Broadridge, a leading virtual meeting solution. The Broadridge platform is expected to accommodate most, if not all, stockholders. Both we and Broadridge will test the platform technology before going “live” for the Annual Meeting.</w:t>
      </w:r>
    </w:p>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Q:</w:t>
            </w:r>
          </w:p>
        </w:tc>
        <w:tc>
          <w:tcPr>
            <w:tcW w:w="9908"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If I am unable to participate in the live audio webcast of the Annual Meeting, may I listen at a later date?</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Arial;Helvetica;sans-serif" w:hAnsi="Arial;Helvetica;sans-serif"/>
                <w:b/>
                <w:color w:val="4C4C4C"/>
                <w:sz w:val="20"/>
              </w:rPr>
            </w:pPr>
            <w:r>
              <w:rPr>
                <w:rFonts w:ascii="Arial;Helvetica;sans-serif" w:hAnsi="Arial;Helvetica;sans-serif"/>
                <w:b/>
                <w:color w:val="4C4C4C"/>
                <w:sz w:val="20"/>
              </w:rPr>
              <w:t>A:</w:t>
            </w:r>
          </w:p>
        </w:tc>
        <w:tc>
          <w:tcPr>
            <w:tcW w:w="10003" w:type="dxa"/>
            <w:tcBorders/>
            <w:vAlign w:val="center"/>
          </w:tcPr>
          <w:p>
            <w:pPr>
              <w:pStyle w:val="TableContents"/>
              <w:bidi w:val="0"/>
              <w:spacing w:before="0" w:after="0"/>
              <w:jc w:val="both"/>
              <w:rPr>
                <w:rFonts w:ascii="Arial;Helvetica;sans-serif" w:hAnsi="Arial;Helvetica;sans-serif"/>
                <w:b/>
                <w:color w:val="4C4C4C"/>
                <w:sz w:val="20"/>
              </w:rPr>
            </w:pPr>
            <w:r>
              <w:rPr>
                <w:rFonts w:ascii="Arial;Helvetica;sans-serif" w:hAnsi="Arial;Helvetica;sans-serif"/>
                <w:b w:val="false"/>
                <w:color w:val="4C4C4C"/>
                <w:sz w:val="20"/>
              </w:rPr>
              <w:t xml:space="preserve">An audio replay of the Annual Meeting will be posted and publicly available at </w:t>
            </w:r>
            <w:r>
              <w:rPr>
                <w:rFonts w:ascii="Arial;Helvetica;sans-serif" w:hAnsi="Arial;Helvetica;sans-serif"/>
                <w:b w:val="false"/>
                <w:i/>
                <w:color w:val="4C4C4C"/>
                <w:sz w:val="20"/>
              </w:rPr>
              <w:t>ir.acmr.com/news-events/events</w:t>
            </w:r>
            <w:r>
              <w:rPr>
                <w:rFonts w:ascii="Arial;Helvetica;sans-serif" w:hAnsi="Arial;Helvetica;sans-serif"/>
                <w:b/>
                <w:color w:val="4C4C4C"/>
                <w:sz w:val="20"/>
              </w:rPr>
              <w:t xml:space="preserve"> </w:t>
            </w:r>
            <w:r>
              <w:rPr>
                <w:rFonts w:ascii="Arial;Helvetica;sans-serif" w:hAnsi="Arial;Helvetica;sans-serif"/>
                <w:b w:val="false"/>
                <w:color w:val="4C4C4C"/>
                <w:sz w:val="20"/>
              </w:rPr>
              <w:t>following the Annual Meeting and will remain publicly available until our next annual meeting of stockholders in 2025. This audio replay will cover the entire Annual Meeting, including each stockholder question addressed during the Annual Meeting.</w:t>
            </w:r>
          </w:p>
        </w:tc>
      </w:tr>
    </w:tbl>
    <w:tbl>
      <w:tblPr>
        <w:tblW w:w="4855" w:type="dxa"/>
        <w:jc w:val="left"/>
        <w:tblInd w:w="0" w:type="dxa"/>
        <w:tblLayout w:type="fixed"/>
        <w:tblCellMar>
          <w:top w:w="0" w:type="dxa"/>
          <w:left w:w="0" w:type="dxa"/>
          <w:bottom w:w="0" w:type="dxa"/>
          <w:right w:w="0" w:type="dxa"/>
        </w:tblCellMar>
      </w:tblPr>
      <w:tblGrid>
        <w:gridCol w:w="305"/>
        <w:gridCol w:w="4550"/>
      </w:tblGrid>
      <w:tr>
        <w:trPr/>
        <w:tc>
          <w:tcPr>
            <w:tcW w:w="305"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Q:</w:t>
            </w:r>
          </w:p>
        </w:tc>
        <w:tc>
          <w:tcPr>
            <w:tcW w:w="4550"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May I change my vote or revoke my proxy?</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Arial;Helvetica;sans-serif" w:hAnsi="Arial;Helvetica;sans-serif"/>
                <w:b/>
                <w:color w:val="4C4C4C"/>
                <w:sz w:val="20"/>
              </w:rPr>
            </w:pPr>
            <w:r>
              <w:rPr>
                <w:rFonts w:ascii="Arial;Helvetica;sans-serif" w:hAnsi="Arial;Helvetica;sans-serif"/>
                <w:b/>
                <w:color w:val="4C4C4C"/>
                <w:sz w:val="20"/>
              </w:rPr>
              <w:t>A:</w:t>
            </w:r>
          </w:p>
        </w:tc>
        <w:tc>
          <w:tcPr>
            <w:tcW w:w="9978" w:type="dxa"/>
            <w:tcBorders/>
            <w:vAlign w:val="center"/>
          </w:tcPr>
          <w:p>
            <w:pPr>
              <w:pStyle w:val="TableContents"/>
              <w:bidi w:val="0"/>
              <w:spacing w:before="0" w:after="0"/>
              <w:jc w:val="both"/>
              <w:rPr>
                <w:rFonts w:ascii="Arial;Helvetica;sans-serif" w:hAnsi="Arial;Helvetica;sans-serif"/>
                <w:b w:val="false"/>
                <w:color w:val="4C4C4C"/>
                <w:sz w:val="20"/>
              </w:rPr>
            </w:pPr>
            <w:r>
              <w:rPr>
                <w:rFonts w:ascii="Arial;Helvetica;sans-serif" w:hAnsi="Arial;Helvetica;sans-serif"/>
                <w:b w:val="false"/>
                <w:color w:val="4C4C4C"/>
                <w:sz w:val="20"/>
              </w:rPr>
              <w:t>If you are a stockholder of record and previously delivered a proxy, you may subsequently change or revoke your proxy at any time before it is exercised by:</w:t>
            </w:r>
          </w:p>
        </w:tc>
      </w:tr>
    </w:tbl>
    <w:tbl>
      <w:tblPr>
        <w:tblW w:w="4555" w:type="dxa"/>
        <w:jc w:val="left"/>
        <w:tblInd w:w="0" w:type="dxa"/>
        <w:tblLayout w:type="fixed"/>
        <w:tblCellMar>
          <w:top w:w="0" w:type="dxa"/>
          <w:left w:w="0" w:type="dxa"/>
          <w:bottom w:w="0" w:type="dxa"/>
          <w:right w:w="0" w:type="dxa"/>
        </w:tblCellMar>
      </w:tblPr>
      <w:tblGrid>
        <w:gridCol w:w="140"/>
        <w:gridCol w:w="4415"/>
      </w:tblGrid>
      <w:tr>
        <w:trPr/>
        <w:tc>
          <w:tcPr>
            <w:tcW w:w="140" w:type="dxa"/>
            <w:tcBorders/>
            <w:vAlign w:val="center"/>
          </w:tcPr>
          <w:p>
            <w:pPr>
              <w:pStyle w:val="TableContents"/>
              <w:bidi w:val="0"/>
              <w:spacing w:before="0" w:after="0"/>
              <w:jc w:val="left"/>
              <w:rPr>
                <w:color w:val="4C4C4C"/>
              </w:rPr>
            </w:pPr>
            <w:r>
              <w:rPr>
                <w:color w:val="4C4C4C"/>
              </w:rPr>
              <w:t>•</w:t>
            </w:r>
          </w:p>
        </w:tc>
        <w:tc>
          <w:tcPr>
            <w:tcW w:w="4415"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voting via the Internet or telephone at a later time;</w:t>
            </w:r>
          </w:p>
        </w:tc>
      </w:tr>
    </w:tbl>
    <w:tbl>
      <w:tblPr>
        <w:tblW w:w="5950" w:type="dxa"/>
        <w:jc w:val="left"/>
        <w:tblInd w:w="0" w:type="dxa"/>
        <w:tblLayout w:type="fixed"/>
        <w:tblCellMar>
          <w:top w:w="0" w:type="dxa"/>
          <w:left w:w="0" w:type="dxa"/>
          <w:bottom w:w="0" w:type="dxa"/>
          <w:right w:w="0" w:type="dxa"/>
        </w:tblCellMar>
      </w:tblPr>
      <w:tblGrid>
        <w:gridCol w:w="140"/>
        <w:gridCol w:w="5810"/>
      </w:tblGrid>
      <w:tr>
        <w:trPr/>
        <w:tc>
          <w:tcPr>
            <w:tcW w:w="140" w:type="dxa"/>
            <w:tcBorders/>
            <w:vAlign w:val="center"/>
          </w:tcPr>
          <w:p>
            <w:pPr>
              <w:pStyle w:val="TableContents"/>
              <w:bidi w:val="0"/>
              <w:spacing w:before="0" w:after="0"/>
              <w:jc w:val="left"/>
              <w:rPr>
                <w:color w:val="4C4C4C"/>
              </w:rPr>
            </w:pPr>
            <w:r>
              <w:rPr>
                <w:color w:val="4C4C4C"/>
              </w:rPr>
              <w:t>•</w:t>
            </w:r>
          </w:p>
        </w:tc>
        <w:tc>
          <w:tcPr>
            <w:tcW w:w="5810"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submitting a completed and signed proxy card with a later date; or</w:t>
            </w:r>
          </w:p>
        </w:tc>
      </w:tr>
    </w:tbl>
    <w:tbl>
      <w:tblPr>
        <w:tblW w:w="4135" w:type="dxa"/>
        <w:jc w:val="left"/>
        <w:tblInd w:w="0" w:type="dxa"/>
        <w:tblLayout w:type="fixed"/>
        <w:tblCellMar>
          <w:top w:w="0" w:type="dxa"/>
          <w:left w:w="0" w:type="dxa"/>
          <w:bottom w:w="0" w:type="dxa"/>
          <w:right w:w="0" w:type="dxa"/>
        </w:tblCellMar>
      </w:tblPr>
      <w:tblGrid>
        <w:gridCol w:w="140"/>
        <w:gridCol w:w="3995"/>
      </w:tblGrid>
      <w:tr>
        <w:trPr/>
        <w:tc>
          <w:tcPr>
            <w:tcW w:w="140" w:type="dxa"/>
            <w:tcBorders/>
            <w:vAlign w:val="center"/>
          </w:tcPr>
          <w:p>
            <w:pPr>
              <w:pStyle w:val="TableContents"/>
              <w:bidi w:val="0"/>
              <w:spacing w:before="0" w:after="0"/>
              <w:jc w:val="left"/>
              <w:rPr>
                <w:color w:val="4C4C4C"/>
              </w:rPr>
            </w:pPr>
            <w:r>
              <w:rPr>
                <w:color w:val="4C4C4C"/>
              </w:rPr>
              <w:t>•</w:t>
            </w:r>
          </w:p>
        </w:tc>
        <w:tc>
          <w:tcPr>
            <w:tcW w:w="3995"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voting via the Internet at the Annual Meeting.</w:t>
            </w:r>
          </w:p>
        </w:tc>
      </w:tr>
    </w:tbl>
    <w:p>
      <w:pPr>
        <w:pStyle w:val="TextBody"/>
        <w:bidi w:val="0"/>
        <w:spacing w:before="200" w:after="283"/>
        <w:ind w:left="400" w:right="0" w:hanging="0"/>
        <w:jc w:val="both"/>
        <w:rPr>
          <w:rFonts w:ascii="Arial;Helvetica;sans-serif" w:hAnsi="Arial;Helvetica;sans-serif"/>
          <w:color w:val="4C4C4C"/>
          <w:sz w:val="20"/>
        </w:rPr>
      </w:pPr>
      <w:r>
        <w:rPr>
          <w:rFonts w:ascii="Arial;Helvetica;sans-serif" w:hAnsi="Arial;Helvetica;sans-serif"/>
          <w:color w:val="4C4C4C"/>
          <w:sz w:val="20"/>
        </w:rPr>
        <w:t>If you are a beneficial owner of shares held in street name, you should contact your bank, broker or other nominee for instructions as to whether, and how, you can change or revoke your proxy.</w:t>
      </w:r>
    </w:p>
    <w:tbl>
      <w:tblPr>
        <w:tblW w:w="6475" w:type="dxa"/>
        <w:jc w:val="left"/>
        <w:tblInd w:w="0" w:type="dxa"/>
        <w:tblLayout w:type="fixed"/>
        <w:tblCellMar>
          <w:top w:w="0" w:type="dxa"/>
          <w:left w:w="0" w:type="dxa"/>
          <w:bottom w:w="0" w:type="dxa"/>
          <w:right w:w="0" w:type="dxa"/>
        </w:tblCellMar>
      </w:tblPr>
      <w:tblGrid>
        <w:gridCol w:w="305"/>
        <w:gridCol w:w="6170"/>
      </w:tblGrid>
      <w:tr>
        <w:trPr/>
        <w:tc>
          <w:tcPr>
            <w:tcW w:w="305"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Q:</w:t>
            </w:r>
          </w:p>
        </w:tc>
        <w:tc>
          <w:tcPr>
            <w:tcW w:w="6170"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What happens if I do not give specific voting instructions?</w:t>
            </w:r>
          </w:p>
        </w:tc>
      </w:tr>
    </w:tbl>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0"/>
              <w:jc w:val="left"/>
              <w:rPr>
                <w:rFonts w:ascii="Arial;Helvetica;sans-serif" w:hAnsi="Arial;Helvetica;sans-serif"/>
                <w:b/>
                <w:color w:val="4C4C4C"/>
                <w:sz w:val="20"/>
              </w:rPr>
            </w:pPr>
            <w:r>
              <w:rPr>
                <w:rFonts w:ascii="Arial;Helvetica;sans-serif" w:hAnsi="Arial;Helvetica;sans-serif"/>
                <w:b/>
                <w:color w:val="4C4C4C"/>
                <w:sz w:val="20"/>
              </w:rPr>
              <w:t>A:</w:t>
            </w:r>
          </w:p>
        </w:tc>
        <w:tc>
          <w:tcPr>
            <w:tcW w:w="10004" w:type="dxa"/>
            <w:tcBorders/>
            <w:vAlign w:val="center"/>
          </w:tcPr>
          <w:p>
            <w:pPr>
              <w:pStyle w:val="TableContents"/>
              <w:bidi w:val="0"/>
              <w:spacing w:before="0" w:after="0"/>
              <w:jc w:val="both"/>
              <w:rPr>
                <w:rFonts w:ascii="Arial;Helvetica;sans-serif" w:hAnsi="Arial;Helvetica;sans-serif"/>
                <w:b w:val="false"/>
                <w:color w:val="4C4C4C"/>
                <w:sz w:val="20"/>
              </w:rPr>
            </w:pPr>
            <w:r>
              <w:rPr>
                <w:rFonts w:ascii="Arial;Helvetica;sans-serif" w:hAnsi="Arial;Helvetica;sans-serif"/>
                <w:b w:val="false"/>
                <w:color w:val="4C4C4C"/>
                <w:sz w:val="20"/>
              </w:rPr>
              <w:t>If you are a stockholder of record and you return a proxy card without giving specific voting instructions, the proxy holders will vote your shares in the manner recommended by the board on each of the proposals presented in this Proxy Statement and as the proxy holders may determine in their discretion on any other matters properly presented for a vote at the Annual Meeting.</w:t>
            </w:r>
          </w:p>
        </w:tc>
      </w:tr>
    </w:tbl>
    <w:p>
      <w:pPr>
        <w:pStyle w:val="TextBody"/>
        <w:bidi w:val="0"/>
        <w:spacing w:before="200" w:after="283"/>
        <w:ind w:left="400" w:right="0" w:hanging="0"/>
        <w:jc w:val="both"/>
        <w:rPr>
          <w:rFonts w:ascii="Arial;Helvetica;sans-serif" w:hAnsi="Arial;Helvetica;sans-serif"/>
          <w:color w:val="4C4C4C"/>
          <w:sz w:val="20"/>
        </w:rPr>
      </w:pPr>
      <w:r>
        <w:rPr>
          <w:rFonts w:ascii="Arial;Helvetica;sans-serif" w:hAnsi="Arial;Helvetica;sans-serif"/>
          <w:color w:val="4C4C4C"/>
          <w:sz w:val="20"/>
        </w:rPr>
        <w:t>If you are a beneficial owner of shares held in street name and do not provide specific voting instructions to the broker, bank or other organization that is the stockholder of record of your shares, the organization generally may vote on routine, but not non-routine, matters. The only routine matter expected to be voted on at the Annual Meeting is the ratification of the appointment of our independent auditor for 2025 (Proposal 2). If the organization does not receive instructions from you on how to vote your shares on Proposal 1, your shares will be subject to a broker non-vote and no vote will be cast on those matters. See “</w:t>
      </w:r>
      <w:r>
        <w:rPr>
          <w:rFonts w:ascii="Arial;Helvetica;sans-serif" w:hAnsi="Arial;Helvetica;sans-serif"/>
          <w:i/>
          <w:color w:val="4694D0"/>
          <w:sz w:val="20"/>
        </w:rPr>
        <w:t>Q. What does it mean for a broker or other nominee to hold shares in ‘street name’?</w:t>
      </w:r>
      <w:r>
        <w:rPr>
          <w:rFonts w:ascii="Arial;Helvetica;sans-serif" w:hAnsi="Arial;Helvetica;sans-serif"/>
          <w:color w:val="4C4C4C"/>
          <w:sz w:val="20"/>
        </w:rPr>
        <w:t>” above.”</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8</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0" w:name="ny20042784x1_def14a_107-qa_pg5"/>
        <w:bookmarkEnd w:id="2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Q:</w:t>
            </w:r>
          </w:p>
        </w:tc>
        <w:tc>
          <w:tcPr>
            <w:tcW w:w="9922"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What should I do if, during check-in or the meeting, I have technical difficulties or trouble accessing the virtual meeting website?</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Arial;Helvetica;sans-serif" w:hAnsi="Arial;Helvetica;sans-serif"/>
                <w:b/>
                <w:color w:val="4C4C4C"/>
                <w:sz w:val="20"/>
              </w:rPr>
            </w:pPr>
            <w:r>
              <w:rPr>
                <w:rFonts w:ascii="Arial;Helvetica;sans-serif" w:hAnsi="Arial;Helvetica;sans-serif"/>
                <w:b/>
                <w:color w:val="4C4C4C"/>
                <w:sz w:val="20"/>
              </w:rPr>
              <w:t>A:</w:t>
            </w:r>
          </w:p>
        </w:tc>
        <w:tc>
          <w:tcPr>
            <w:tcW w:w="10010" w:type="dxa"/>
            <w:tcBorders/>
            <w:vAlign w:val="center"/>
          </w:tcPr>
          <w:p>
            <w:pPr>
              <w:pStyle w:val="TableContents"/>
              <w:bidi w:val="0"/>
              <w:spacing w:before="0" w:after="0"/>
              <w:jc w:val="both"/>
              <w:rPr>
                <w:rFonts w:ascii="Arial;Helvetica;sans-serif" w:hAnsi="Arial;Helvetica;sans-serif"/>
                <w:b/>
                <w:color w:val="4C4C4C"/>
                <w:sz w:val="20"/>
              </w:rPr>
            </w:pPr>
            <w:r>
              <w:rPr>
                <w:rFonts w:ascii="Arial;Helvetica;sans-serif" w:hAnsi="Arial;Helvetica;sans-serif"/>
                <w:b w:val="false"/>
                <w:color w:val="4C4C4C"/>
                <w:sz w:val="20"/>
              </w:rPr>
              <w:t xml:space="preserve">Online check-in to the Annual Meeting webcast will begin at 6:45 a.m., Pacific time. You should allow ample time to log in to the meeting webcast and test your computer audio system. During online check-in and continuing through the length of the Annual Meeting, we will have technicians standing by to assist you with any technical difficulties you may have accessing the Annual Meeting. If you encounter any difficulties accessing the Annual Meeting during the check-in or at meeting time, you should call the technical support number available at </w:t>
            </w:r>
            <w:r>
              <w:rPr>
                <w:rFonts w:ascii="Arial;Helvetica;sans-serif" w:hAnsi="Arial;Helvetica;sans-serif"/>
                <w:b w:val="false"/>
                <w:i/>
                <w:color w:val="4C4C4C"/>
                <w:sz w:val="20"/>
              </w:rPr>
              <w:t>proxyvote.com</w:t>
            </w:r>
            <w:r>
              <w:rPr>
                <w:rFonts w:ascii="Arial;Helvetica;sans-serif" w:hAnsi="Arial;Helvetica;sans-serif"/>
                <w:b w:val="false"/>
                <w:color w:val="4C4C4C"/>
                <w:sz w:val="20"/>
              </w:rPr>
              <w:t>.</w:t>
            </w:r>
          </w:p>
        </w:tc>
      </w:tr>
    </w:tbl>
    <w:tbl>
      <w:tblPr>
        <w:tblW w:w="6565" w:type="dxa"/>
        <w:jc w:val="left"/>
        <w:tblInd w:w="0" w:type="dxa"/>
        <w:tblLayout w:type="fixed"/>
        <w:tblCellMar>
          <w:top w:w="0" w:type="dxa"/>
          <w:left w:w="0" w:type="dxa"/>
          <w:bottom w:w="0" w:type="dxa"/>
          <w:right w:w="0" w:type="dxa"/>
        </w:tblCellMar>
      </w:tblPr>
      <w:tblGrid>
        <w:gridCol w:w="305"/>
        <w:gridCol w:w="6260"/>
      </w:tblGrid>
      <w:tr>
        <w:trPr/>
        <w:tc>
          <w:tcPr>
            <w:tcW w:w="305"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Q:</w:t>
            </w:r>
          </w:p>
        </w:tc>
        <w:tc>
          <w:tcPr>
            <w:tcW w:w="6260"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What if other matters are presented at the Annual Meeting?</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Arial;Helvetica;sans-serif" w:hAnsi="Arial;Helvetica;sans-serif"/>
                <w:b/>
                <w:color w:val="4C4C4C"/>
                <w:sz w:val="20"/>
              </w:rPr>
            </w:pPr>
            <w:r>
              <w:rPr>
                <w:rFonts w:ascii="Arial;Helvetica;sans-serif" w:hAnsi="Arial;Helvetica;sans-serif"/>
                <w:b/>
                <w:color w:val="4C4C4C"/>
                <w:sz w:val="20"/>
              </w:rPr>
              <w:t>A:</w:t>
            </w:r>
          </w:p>
        </w:tc>
        <w:tc>
          <w:tcPr>
            <w:tcW w:w="10005" w:type="dxa"/>
            <w:tcBorders/>
            <w:vAlign w:val="center"/>
          </w:tcPr>
          <w:p>
            <w:pPr>
              <w:pStyle w:val="TableContents"/>
              <w:bidi w:val="0"/>
              <w:spacing w:before="0" w:after="0"/>
              <w:jc w:val="both"/>
              <w:rPr>
                <w:rFonts w:ascii="Arial;Helvetica;sans-serif" w:hAnsi="Arial;Helvetica;sans-serif"/>
                <w:b w:val="false"/>
                <w:color w:val="4C4C4C"/>
                <w:sz w:val="20"/>
              </w:rPr>
            </w:pPr>
            <w:r>
              <w:rPr>
                <w:rFonts w:ascii="Arial;Helvetica;sans-serif" w:hAnsi="Arial;Helvetica;sans-serif"/>
                <w:b w:val="false"/>
                <w:color w:val="4C4C4C"/>
                <w:sz w:val="20"/>
              </w:rPr>
              <w:t>If a stockholder of record provides a proxy by voting in any manner described in this Proxy Statement, the proxy holders will have the discretion to vote on any matters, other than the two proposals presented in this Proxy Statement, that are properly presented for consideration at the Annual Meeting. We are not currently aware of any other matters to be presented for consideration at the Annual Meeting.</w:t>
            </w:r>
          </w:p>
        </w:tc>
      </w:tr>
    </w:tbl>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9</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1" w:name="ny20042784x1_def14a_108-vote_pg1"/>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Arial;Helvetica;sans-serif" w:hAnsi="Arial;Helvetica;sans-serif"/>
          <w:b/>
          <w:color w:val="0D3F64"/>
          <w:sz w:val="28"/>
        </w:rPr>
      </w:pPr>
      <w:bookmarkStart w:id="22" w:name="tVRF"/>
      <w:bookmarkEnd w:id="22"/>
      <w:r>
        <w:rPr>
          <w:rFonts w:ascii="Arial;Helvetica;sans-serif" w:hAnsi="Arial;Helvetica;sans-serif"/>
          <w:b/>
          <w:color w:val="0D3F64"/>
          <w:sz w:val="28"/>
        </w:rPr>
        <w:t>Vote Required for Election or Approval</w:t>
      </w:r>
    </w:p>
    <w:p>
      <w:pPr>
        <w:pStyle w:val="TextBody"/>
        <w:bidi w:val="0"/>
        <w:spacing w:before="420" w:after="283"/>
        <w:ind w:left="0" w:right="0" w:hanging="0"/>
        <w:jc w:val="left"/>
        <w:rPr>
          <w:rFonts w:ascii="Arial;Helvetica;sans-serif" w:hAnsi="Arial;Helvetica;sans-serif"/>
          <w:b/>
          <w:color w:val="0079C1"/>
          <w:sz w:val="24"/>
        </w:rPr>
      </w:pPr>
      <w:r>
        <w:rPr>
          <w:rFonts w:ascii="Arial;Helvetica;sans-serif" w:hAnsi="Arial;Helvetica;sans-serif"/>
          <w:b/>
          <w:color w:val="0079C1"/>
          <w:sz w:val="24"/>
        </w:rPr>
        <w:t>Introduction</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Our only voting securities are the outstanding shares of Class A and Class B common stock, which we refer to collectively as common stock. As of the record date, which is 5 p.m., Eastern time, on April 15, 2025, there were outstanding 58,842,693 shares of Class A common stock, each of which will be entitled to one vote on each proposal, and 5,021,811 shares of Class B common stock, each of which will be entitled to twenty votes on each proposal. Based on the number of votes for each share of Class A and Class B common stock, up to a total of 159,278,913 votes can be cast on each proposal.</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Only stockholders of record as of the record date will be entitled to notice of, and to vote at, the Annual Meeting. A majority of the votes attributable to outstanding shares of common stock present virtually or represented by proxy and entitled to vote on any matters to be considered at the Annual Meeting will constitute a quorum for the transaction of business at the Annual Meeting. For the purpose of determining a quorum, we will treat as present at the Annual Meeting any proxies that are voted on any matter to be acted upon by the stockholders, as well as abstentions or any proxies containing broker non-votes.</w:t>
      </w:r>
    </w:p>
    <w:tbl>
      <w:tblPr>
        <w:tblW w:w="2870" w:type="dxa"/>
        <w:jc w:val="left"/>
        <w:tblInd w:w="0" w:type="dxa"/>
        <w:tblLayout w:type="fixed"/>
        <w:tblCellMar>
          <w:top w:w="0" w:type="dxa"/>
          <w:left w:w="0" w:type="dxa"/>
          <w:bottom w:w="0" w:type="dxa"/>
          <w:right w:w="0" w:type="dxa"/>
        </w:tblCellMar>
      </w:tblPr>
      <w:tblGrid>
        <w:gridCol w:w="465"/>
        <w:gridCol w:w="2405"/>
      </w:tblGrid>
      <w:tr>
        <w:trPr/>
        <w:tc>
          <w:tcPr>
            <w:tcW w:w="465" w:type="dxa"/>
            <w:tcBorders/>
            <w:vAlign w:val="center"/>
          </w:tcPr>
          <w:p>
            <w:pPr>
              <w:pStyle w:val="TableContents"/>
              <w:bidi w:val="0"/>
              <w:spacing w:before="0" w:after="0"/>
              <w:jc w:val="left"/>
              <w:rPr>
                <w:color w:val="0079C1"/>
              </w:rPr>
            </w:pPr>
            <w:r>
              <w:rPr>
                <w:color w:val="0079C1"/>
              </w:rPr>
              <w:drawing>
                <wp:inline distT="0" distB="0" distL="0" distR="0">
                  <wp:extent cx="276225" cy="276225"/>
                  <wp:effectExtent l="0" t="0" r="0" b="0"/>
                  <wp:docPr id="2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6" descr=""/>
                          <pic:cNvPicPr>
                            <a:picLocks noChangeAspect="1" noChangeArrowheads="1"/>
                          </pic:cNvPicPr>
                        </pic:nvPicPr>
                        <pic:blipFill>
                          <a:blip r:embed="rId20"/>
                          <a:stretch>
                            <a:fillRect/>
                          </a:stretch>
                        </pic:blipFill>
                        <pic:spPr bwMode="auto">
                          <a:xfrm>
                            <a:off x="0" y="0"/>
                            <a:ext cx="276225" cy="276225"/>
                          </a:xfrm>
                          <a:prstGeom prst="rect">
                            <a:avLst/>
                          </a:prstGeom>
                        </pic:spPr>
                      </pic:pic>
                    </a:graphicData>
                  </a:graphic>
                </wp:inline>
              </w:drawing>
            </w:r>
          </w:p>
        </w:tc>
        <w:tc>
          <w:tcPr>
            <w:tcW w:w="2405" w:type="dxa"/>
            <w:tcBorders/>
            <w:vAlign w:val="center"/>
          </w:tcPr>
          <w:p>
            <w:pPr>
              <w:pStyle w:val="TableContents"/>
              <w:bidi w:val="0"/>
              <w:spacing w:before="0" w:after="0"/>
              <w:jc w:val="left"/>
              <w:rPr>
                <w:rFonts w:ascii="Arial;Helvetica;sans-serif" w:hAnsi="Arial;Helvetica;sans-serif"/>
                <w:b/>
                <w:color w:val="0079C1"/>
                <w:sz w:val="24"/>
              </w:rPr>
            </w:pPr>
            <w:r>
              <w:rPr>
                <w:rFonts w:ascii="Arial;Helvetica;sans-serif" w:hAnsi="Arial;Helvetica;sans-serif"/>
                <w:b/>
                <w:color w:val="0079C1"/>
                <w:sz w:val="24"/>
              </w:rPr>
              <w:t>Election of Directors</w:t>
            </w:r>
          </w:p>
        </w:tc>
      </w:tr>
    </w:tbl>
    <w:p>
      <w:pPr>
        <w:pStyle w:val="TextBody"/>
        <w:bidi w:val="0"/>
        <w:spacing w:before="360" w:after="283"/>
        <w:ind w:left="0" w:right="0" w:hanging="0"/>
        <w:jc w:val="both"/>
        <w:rPr>
          <w:rFonts w:ascii="Arial;Helvetica;sans-serif" w:hAnsi="Arial;Helvetica;sans-serif"/>
          <w:color w:val="4C4C4C"/>
          <w:sz w:val="20"/>
        </w:rPr>
      </w:pPr>
      <w:r>
        <w:rPr>
          <w:rFonts w:ascii="Arial;Helvetica;sans-serif" w:hAnsi="Arial;Helvetica;sans-serif"/>
          <w:color w:val="4C4C4C"/>
          <w:sz w:val="20"/>
        </w:rPr>
        <w:t>Each director will be elected by plurality of the votes present in person or represented by proxy at the Annual Meeting and entitled to vote in the election of directors. Broker non-votes will not have any effect on the outcome of the election of directors, since broker non-votes are not counted as “votes cast.” Votes to “withhold” will have an effect on the outcome of the proposal only in that under our Director Resignation Policy, approved by the board of directors in October 2017, if a director receives more votes to “withhold” than “for,” such director shall promptly offer his resignation for consideration to the nominating and governance committee, which will make a recommendation to the board whether to accept or reject the resignation, or whether other action should be taken. The board will consider and act on the recommendation of the nominating and governance committee and will promptly, if required, publicly disclose its decision and the rationale behind it. The director who offers his or her resignation will not participate in the decision of the nominating and governance committee or the board. If the board accepts such resignation, then the board may fill the vacancy resulting from that resignation or may reduce the number of directors that constitutes the entire board so that no vacancy exists.</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Under our certificate of incorporation, our bylaws and the Delaware General Corporation Law, a director holds office until a successor is elected and qualified or until his or her earlier resignation or removal. Each of the nominees currently serves as one of our directors. If any of the nominees is not elected at the Annual Meeting, then the Bylaws provide that the director shall offer to resign from the board of directors.</w:t>
      </w:r>
    </w:p>
    <w:tbl>
      <w:tblPr>
        <w:tblW w:w="7340" w:type="dxa"/>
        <w:jc w:val="left"/>
        <w:tblInd w:w="0" w:type="dxa"/>
        <w:tblLayout w:type="fixed"/>
        <w:tblCellMar>
          <w:top w:w="0" w:type="dxa"/>
          <w:left w:w="0" w:type="dxa"/>
          <w:bottom w:w="0" w:type="dxa"/>
          <w:right w:w="0" w:type="dxa"/>
        </w:tblCellMar>
      </w:tblPr>
      <w:tblGrid>
        <w:gridCol w:w="465"/>
        <w:gridCol w:w="6875"/>
      </w:tblGrid>
      <w:tr>
        <w:trPr/>
        <w:tc>
          <w:tcPr>
            <w:tcW w:w="465" w:type="dxa"/>
            <w:tcBorders/>
            <w:vAlign w:val="center"/>
          </w:tcPr>
          <w:p>
            <w:pPr>
              <w:pStyle w:val="TableContents"/>
              <w:bidi w:val="0"/>
              <w:spacing w:before="0" w:after="0"/>
              <w:jc w:val="left"/>
              <w:rPr>
                <w:color w:val="0079C1"/>
              </w:rPr>
            </w:pPr>
            <w:r>
              <w:rPr>
                <w:color w:val="0079C1"/>
              </w:rPr>
              <w:drawing>
                <wp:inline distT="0" distB="0" distL="0" distR="0">
                  <wp:extent cx="276225" cy="276225"/>
                  <wp:effectExtent l="0" t="0" r="0" b="0"/>
                  <wp:docPr id="2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7" descr=""/>
                          <pic:cNvPicPr>
                            <a:picLocks noChangeAspect="1" noChangeArrowheads="1"/>
                          </pic:cNvPicPr>
                        </pic:nvPicPr>
                        <pic:blipFill>
                          <a:blip r:embed="rId21"/>
                          <a:stretch>
                            <a:fillRect/>
                          </a:stretch>
                        </pic:blipFill>
                        <pic:spPr bwMode="auto">
                          <a:xfrm>
                            <a:off x="0" y="0"/>
                            <a:ext cx="276225" cy="276225"/>
                          </a:xfrm>
                          <a:prstGeom prst="rect">
                            <a:avLst/>
                          </a:prstGeom>
                        </pic:spPr>
                      </pic:pic>
                    </a:graphicData>
                  </a:graphic>
                </wp:inline>
              </w:drawing>
            </w:r>
          </w:p>
        </w:tc>
        <w:tc>
          <w:tcPr>
            <w:tcW w:w="6875" w:type="dxa"/>
            <w:tcBorders/>
            <w:vAlign w:val="center"/>
          </w:tcPr>
          <w:p>
            <w:pPr>
              <w:pStyle w:val="TableContents"/>
              <w:bidi w:val="0"/>
              <w:spacing w:before="0" w:after="0"/>
              <w:jc w:val="left"/>
              <w:rPr>
                <w:rFonts w:ascii="Arial;Helvetica;sans-serif" w:hAnsi="Arial;Helvetica;sans-serif"/>
                <w:b/>
                <w:color w:val="0079C1"/>
                <w:sz w:val="24"/>
              </w:rPr>
            </w:pPr>
            <w:r>
              <w:rPr>
                <w:rFonts w:ascii="Arial;Helvetica;sans-serif" w:hAnsi="Arial;Helvetica;sans-serif"/>
                <w:b/>
                <w:color w:val="0079C1"/>
                <w:sz w:val="24"/>
              </w:rPr>
              <w:t>Ratification of Appointment of Independent Auditor for 2025</w:t>
            </w:r>
          </w:p>
        </w:tc>
      </w:tr>
    </w:tbl>
    <w:p>
      <w:pPr>
        <w:pStyle w:val="TextBody"/>
        <w:bidi w:val="0"/>
        <w:spacing w:before="36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ratification of Ernst &amp; Young Hua Ming LLP as our independent auditor for the year ending December 31, 2025 must be approved by affirmative votes constituting a majority of the votes entitled to be voted and present virtually or represented by proxy at the Annual Meeting. Abstentions will count as votes against this proposal, because shares with respect to which the stockholder abstains will be deemed present and entitled to vote. Because this proposal is considered a routine matter, discretionary votes by brokers will be counted.</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10</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3" w:name="ny20042784x1_def14a_109-corporate_pg1"/>
        <w:bookmarkEnd w:id="23"/>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Arial;Helvetica;sans-serif" w:hAnsi="Arial;Helvetica;sans-serif"/>
          <w:b/>
          <w:color w:val="0D3F64"/>
          <w:sz w:val="28"/>
        </w:rPr>
      </w:pPr>
      <w:bookmarkStart w:id="24" w:name="tCG"/>
      <w:bookmarkEnd w:id="24"/>
      <w:r>
        <w:rPr>
          <w:rFonts w:ascii="Arial;Helvetica;sans-serif" w:hAnsi="Arial;Helvetica;sans-serif"/>
          <w:b/>
          <w:color w:val="0D3F64"/>
          <w:sz w:val="28"/>
        </w:rPr>
        <w:t>Corporate Governance</w:t>
      </w:r>
    </w:p>
    <w:p>
      <w:pPr>
        <w:pStyle w:val="TextBody"/>
        <w:bidi w:val="0"/>
        <w:spacing w:before="420" w:after="283"/>
        <w:ind w:left="0" w:right="0" w:hanging="0"/>
        <w:jc w:val="left"/>
        <w:rPr>
          <w:rFonts w:ascii="Arial;Helvetica;sans-serif" w:hAnsi="Arial;Helvetica;sans-serif"/>
          <w:b/>
          <w:color w:val="0079C1"/>
          <w:sz w:val="24"/>
        </w:rPr>
      </w:pPr>
      <w:bookmarkStart w:id="25" w:name="tBOD"/>
      <w:bookmarkEnd w:id="25"/>
      <w:r>
        <w:rPr>
          <w:rFonts w:ascii="Arial;Helvetica;sans-serif" w:hAnsi="Arial;Helvetica;sans-serif"/>
          <w:b/>
          <w:color w:val="0079C1"/>
          <w:sz w:val="24"/>
        </w:rPr>
        <w:t>Board of Directors Overview</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Under our bylaws and the Delaware General Corporation Law, our business and affairs are managed by or under the direction of the board of directors, which selectively delegates responsibilities to its standing committees.</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The board has adopted and operates under Governance Guidelines that reflect our current governance practices in accordance with applicable statutory and regulatory requirements, including those of the SEC and Nasdaq. The Governance Guidelines are available on our website at </w:t>
      </w:r>
      <w:r>
        <w:rPr>
          <w:rFonts w:ascii="Arial;Helvetica;sans-serif" w:hAnsi="Arial;Helvetica;sans-serif"/>
          <w:i/>
          <w:color w:val="4C4C4C"/>
          <w:sz w:val="20"/>
        </w:rPr>
        <w:t>ir.acmr.com/corporate-governance/highlights</w:t>
      </w:r>
      <w:r>
        <w:rPr>
          <w:rFonts w:ascii="Arial;Helvetica;sans-serif" w:hAnsi="Arial;Helvetica;sans-serif"/>
          <w:color w:val="4C4C4C"/>
          <w:sz w:val="20"/>
        </w:rPr>
        <w:t>. Under the Governance Guidelines, we expect directors to regularly attend meetings of the board and of all committees on which they serve and to review the materials sent to them in advance of those meetings. We expect director nominees for election at each annual meeting of stockholders to participate in the Annual Meeting. All of our current directors attended our 2024 Annual Meeting of Stockholders.</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The board generally expects to hold four regular meetings per year and to meet on other occasions when circumstances require. Directors spend additional time preparing for board and committee meetings, and we may call upon directors for advice between meetings. We encourage our directors to attend director education programs. The board held five meetings in 2024. All of the directors attended all of the board meetings. </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Governance Guidelines provide that the board will meet in executive session at least twice a year without management in attendance. The Lead Director presides at each executive session.</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The board maintains an audit committee, a compensation committee, and a nominating and governance committee. The board has adopted charters for each of the committees, and those charters are to be reviewed annually by the committees and the board. Our website </w:t>
      </w:r>
      <w:r>
        <w:rPr>
          <w:rFonts w:ascii="Arial;Helvetica;sans-serif" w:hAnsi="Arial;Helvetica;sans-serif"/>
          <w:i/>
          <w:color w:val="4C4C4C"/>
          <w:sz w:val="20"/>
        </w:rPr>
        <w:t>ir.acmr.com/corporate-governance/highlights</w:t>
      </w:r>
      <w:r>
        <w:rPr>
          <w:rFonts w:ascii="Arial;Helvetica;sans-serif" w:hAnsi="Arial;Helvetica;sans-serif"/>
          <w:color w:val="4C4C4C"/>
          <w:sz w:val="20"/>
        </w:rPr>
        <w:t xml:space="preserve"> provides access to the following: </w:t>
      </w:r>
    </w:p>
    <w:tbl>
      <w:tblPr>
        <w:tblW w:w="2665" w:type="dxa"/>
        <w:jc w:val="left"/>
        <w:tblInd w:w="0" w:type="dxa"/>
        <w:tblLayout w:type="fixed"/>
        <w:tblCellMar>
          <w:top w:w="0" w:type="dxa"/>
          <w:left w:w="0" w:type="dxa"/>
          <w:bottom w:w="0" w:type="dxa"/>
          <w:right w:w="0" w:type="dxa"/>
        </w:tblCellMar>
      </w:tblPr>
      <w:tblGrid>
        <w:gridCol w:w="140"/>
        <w:gridCol w:w="2525"/>
      </w:tblGrid>
      <w:tr>
        <w:trPr/>
        <w:tc>
          <w:tcPr>
            <w:tcW w:w="140" w:type="dxa"/>
            <w:tcBorders/>
            <w:vAlign w:val="center"/>
          </w:tcPr>
          <w:p>
            <w:pPr>
              <w:pStyle w:val="TableContents"/>
              <w:bidi w:val="0"/>
              <w:spacing w:before="0" w:after="0"/>
              <w:jc w:val="left"/>
              <w:rPr>
                <w:color w:val="4C4C4C"/>
              </w:rPr>
            </w:pPr>
            <w:r>
              <w:rPr>
                <w:color w:val="4C4C4C"/>
              </w:rPr>
              <w:t>•</w:t>
            </w:r>
          </w:p>
        </w:tc>
        <w:tc>
          <w:tcPr>
            <w:tcW w:w="2525"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the audit committee charter,</w:t>
            </w:r>
          </w:p>
        </w:tc>
      </w:tr>
    </w:tbl>
    <w:tbl>
      <w:tblPr>
        <w:tblW w:w="3835" w:type="dxa"/>
        <w:jc w:val="left"/>
        <w:tblInd w:w="0" w:type="dxa"/>
        <w:tblLayout w:type="fixed"/>
        <w:tblCellMar>
          <w:top w:w="0" w:type="dxa"/>
          <w:left w:w="0" w:type="dxa"/>
          <w:bottom w:w="0" w:type="dxa"/>
          <w:right w:w="0" w:type="dxa"/>
        </w:tblCellMar>
      </w:tblPr>
      <w:tblGrid>
        <w:gridCol w:w="140"/>
        <w:gridCol w:w="3695"/>
      </w:tblGrid>
      <w:tr>
        <w:trPr/>
        <w:tc>
          <w:tcPr>
            <w:tcW w:w="140" w:type="dxa"/>
            <w:tcBorders/>
            <w:vAlign w:val="center"/>
          </w:tcPr>
          <w:p>
            <w:pPr>
              <w:pStyle w:val="TableContents"/>
              <w:bidi w:val="0"/>
              <w:spacing w:before="0" w:after="0"/>
              <w:jc w:val="left"/>
              <w:rPr>
                <w:color w:val="4C4C4C"/>
              </w:rPr>
            </w:pPr>
            <w:r>
              <w:rPr>
                <w:color w:val="4C4C4C"/>
              </w:rPr>
              <w:t>•</w:t>
            </w:r>
          </w:p>
        </w:tc>
        <w:tc>
          <w:tcPr>
            <w:tcW w:w="3695"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the compensation committee charter, and</w:t>
            </w:r>
          </w:p>
        </w:tc>
      </w:tr>
    </w:tbl>
    <w:tbl>
      <w:tblPr>
        <w:tblW w:w="4630" w:type="dxa"/>
        <w:jc w:val="left"/>
        <w:tblInd w:w="0" w:type="dxa"/>
        <w:tblLayout w:type="fixed"/>
        <w:tblCellMar>
          <w:top w:w="0" w:type="dxa"/>
          <w:left w:w="0" w:type="dxa"/>
          <w:bottom w:w="0" w:type="dxa"/>
          <w:right w:w="0" w:type="dxa"/>
        </w:tblCellMar>
      </w:tblPr>
      <w:tblGrid>
        <w:gridCol w:w="140"/>
        <w:gridCol w:w="4490"/>
      </w:tblGrid>
      <w:tr>
        <w:trPr/>
        <w:tc>
          <w:tcPr>
            <w:tcW w:w="140" w:type="dxa"/>
            <w:tcBorders/>
            <w:vAlign w:val="center"/>
          </w:tcPr>
          <w:p>
            <w:pPr>
              <w:pStyle w:val="TableContents"/>
              <w:bidi w:val="0"/>
              <w:spacing w:before="0" w:after="0"/>
              <w:jc w:val="left"/>
              <w:rPr>
                <w:color w:val="4C4C4C"/>
              </w:rPr>
            </w:pPr>
            <w:r>
              <w:rPr>
                <w:color w:val="4C4C4C"/>
              </w:rPr>
              <w:t>•</w:t>
            </w:r>
          </w:p>
        </w:tc>
        <w:tc>
          <w:tcPr>
            <w:tcW w:w="4490"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the nominating and governance committee charter.</w:t>
            </w:r>
          </w:p>
        </w:tc>
      </w:tr>
    </w:tbl>
    <w:p>
      <w:pPr>
        <w:pStyle w:val="TextBody"/>
        <w:bidi w:val="0"/>
        <w:spacing w:before="240" w:after="283"/>
        <w:ind w:left="0" w:right="0" w:hanging="0"/>
        <w:jc w:val="left"/>
        <w:rPr>
          <w:rFonts w:ascii="Arial;Helvetica;sans-serif" w:hAnsi="Arial;Helvetica;sans-serif"/>
          <w:color w:val="4C4C4C"/>
          <w:sz w:val="20"/>
        </w:rPr>
      </w:pPr>
      <w:r>
        <w:rPr>
          <w:rFonts w:ascii="Arial;Helvetica;sans-serif" w:hAnsi="Arial;Helvetica;sans-serif"/>
          <w:color w:val="4C4C4C"/>
          <w:sz w:val="20"/>
        </w:rPr>
        <w:t xml:space="preserve">The functions and responsibilities of the committees are described in the sections below. </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So long as the outstanding shares of Class B common stock represent a majority of the combined voting power of Class A and Class B common stock voting together, all directors will be elected for annual terms and we will not have a classified board. If outstanding shares of Class B common stock represent less than a majority of the combined voting power of common stock at any time, we thereafter will have a classified board consisting of three classes of approximately equal size, each serving staggered three-year terms. Our directors would be allocated by the then-current board among the three classes.</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board has adopted Communications Policies pursuant to which our Chief Executive Officer, our Chief Financial Officer and their designees are the only individuals authorized to communicate on our behalf with the media, industry and trade organizations, market professionals and stockholders. The Communications Policies were designed to limit the persons whose statements trigger our public disclosure obligations under Regulation FD of the SEC. By limiting the number of spokespersons, the Communications Policies help ensure that all communications to members of the public are made by persons who are fully informed about both our company and the guidelines and risks applicable to external communications, and they reduce the risk of inconsistent statements to the public.</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11</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6" w:name="ny20042784x1_def14a_109-corporate_pg2"/>
        <w:bookmarkEnd w:id="26"/>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079C1"/>
          <w:sz w:val="24"/>
        </w:rPr>
      </w:pPr>
      <w:bookmarkStart w:id="27" w:name="tIOD"/>
      <w:bookmarkEnd w:id="27"/>
      <w:r>
        <w:rPr>
          <w:rFonts w:ascii="Arial;Helvetica;sans-serif" w:hAnsi="Arial;Helvetica;sans-serif"/>
          <w:b/>
          <w:color w:val="0079C1"/>
          <w:sz w:val="24"/>
        </w:rPr>
        <w:t>Independence of Directors</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board of directors must consist of a majority of independent directors not only under the requirements of Nasdaq but also under the Governance Guidelines.</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Under Nasdaq rules, independent directors must comprise a majority of a listed company’s board within twelve months from the date of listing. In addition, Nasdaq rules require that, subject to specified exceptions, each member of a listed company’s audit, compensation, and nominating and governance committees be independent within twelve months from the date of listing. Audit committee members must also satisfy additional independence criteria, including those set forth in Rule 10A-3 under the Securities Exchange Act of 1934, as amended, or the Securities Exchange Act, and compensation committee members must also satisfy additional independence criteria, including those set forth in Rule 10C-1 of the Securities Exchange Act. Under Nasdaq rules, a director will qualify as an “independent director” only if, in the opinion of that company’s board, that person does not have a relationship that would interfere with the exercise of independent judgment in carrying out the responsibilities of a director. In order to be considered independent for purposes of Rule 10A-3 under the Securities Exchange Act, a member of an audit committee of a listed company may not, other than in his or her capacity as a member of the audit committee, the board or any other board committee: (a) accept, directly or indirectly, any consulting, advisory or other compensatory fee from the listed company or any of its subsidiaries, other than compensation for board service; or (b) be an affiliated person of the listed company or any of its subsidiaries.</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In order to be considered independent for purposes of Rule 10C-1 under the Securities Exchange Act, each member of the compensation committee must be a member of the board of the listed company and must otherwise be independent. In determining independence requirements for members of compensation committees, the national securities exchanges and national securities associations are to consider relevant factors, including: (a) the source of compensation of a member of the board of a listed company, including any consulting, advisory or other compensatory fee paid by the listed company to such member; and (b) whether a member of the board of a listed company is affiliated with the listed company, a subsidiary of the listed company or an affiliate of a subsidiary of the listed company.</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The board annually reviews the independence of all non-employee directors. In April 2018 the board established categorical standards consistent with the corporate governance standards of Nasdaq to assist the board in making determinations of the independence of board members. A copy of our Standards for Director Independence is posted on our website at </w:t>
      </w:r>
      <w:r>
        <w:rPr>
          <w:rFonts w:ascii="Arial;Helvetica;sans-serif" w:hAnsi="Arial;Helvetica;sans-serif"/>
          <w:i/>
          <w:color w:val="4C4C4C"/>
          <w:sz w:val="20"/>
        </w:rPr>
        <w:t>ir.acmr.com/corporate-governance/highlights</w:t>
      </w:r>
      <w:r>
        <w:rPr>
          <w:rFonts w:ascii="Arial;Helvetica;sans-serif" w:hAnsi="Arial;Helvetica;sans-serif"/>
          <w:color w:val="4C4C4C"/>
          <w:sz w:val="20"/>
        </w:rPr>
        <w:t>. These categorical standards require that, to be independent, a director may not have a material relationship with ACM. Even if a director meets all categorical standards for independence, the board reviews other relationships with ACM in order to conclude that each independent director has no material relationship with ACM either directly or indirectly.</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Based upon information requested from and provided by each director nominee concerning the director nominee’s background, employment and affiliations, including family relationships, the board has determined that each of Haiping Dun, Charles Pappis, and Tracy Liu qualify as independent directors in accordance with the rules of Nasdaq and Rules 10C-1 and 10A-3 under the Securities Exchange Act. Chenming Hu, who is not standing for re-election at the Annual Meeting, also qualified as an independent director in accordance with the rules of Nasdaq and Rules 10C‐1 and 10A‐3 under the Securities Exchange Act, during his board service. The independent members of the board hold separate regularly scheduled executive session meetings at which only independent directors are present.</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12</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8" w:name="ny20042784x1_def14a_109-corporate_pg3"/>
        <w:bookmarkEnd w:id="28"/>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079C1"/>
          <w:sz w:val="24"/>
        </w:rPr>
      </w:pPr>
      <w:bookmarkStart w:id="29" w:name="tCOB"/>
      <w:bookmarkEnd w:id="29"/>
      <w:r>
        <w:rPr>
          <w:rFonts w:ascii="Arial;Helvetica;sans-serif" w:hAnsi="Arial;Helvetica;sans-serif"/>
          <w:b/>
          <w:color w:val="0079C1"/>
          <w:sz w:val="24"/>
        </w:rPr>
        <w:t>Code of Business Conduct</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We have a Code of Business Conduct applicable to all of our directors, officers and employees, and those of our subsidiaries. We have posted the Code of Business Conduct on our website at </w:t>
      </w:r>
      <w:r>
        <w:rPr>
          <w:rFonts w:ascii="Arial;Helvetica;sans-serif" w:hAnsi="Arial;Helvetica;sans-serif"/>
          <w:i/>
          <w:color w:val="4C4C4C"/>
          <w:sz w:val="20"/>
        </w:rPr>
        <w:t>ir.acmr.com/corporate-governance/highlights</w:t>
      </w:r>
      <w:r>
        <w:rPr>
          <w:rFonts w:ascii="Arial;Helvetica;sans-serif" w:hAnsi="Arial;Helvetica;sans-serif"/>
          <w:color w:val="4C4C4C"/>
          <w:sz w:val="20"/>
        </w:rPr>
        <w:t>. We will post any amendments to the Code of Business Conduct on our website. In accordance with the requirements of the SEC and Nasdaq, we will also post waivers applicable to any of our officers or directors from provisions of the Code of Business Conduct on our website. We have not granted any such waivers to date.</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We have implemented whistleblower procedures, which establish format protocols for receiving and handling complaints from employees. Any concerns regarding accounting or auditing matters reported under these procedures are to be communicated promptly to the audit committee of the board of directors. A copy of the whistleblower policy can be viewed on the investor relations portion of our website at </w:t>
      </w:r>
      <w:r>
        <w:rPr>
          <w:rFonts w:ascii="Arial;Helvetica;sans-serif" w:hAnsi="Arial;Helvetica;sans-serif"/>
          <w:i/>
          <w:color w:val="4C4C4C"/>
          <w:sz w:val="20"/>
        </w:rPr>
        <w:t>ir.acmr.com/corporate-governance/highlights</w:t>
      </w:r>
      <w:r>
        <w:rPr>
          <w:rFonts w:ascii="Arial;Helvetica;sans-serif" w:hAnsi="Arial;Helvetica;sans-serif"/>
          <w:color w:val="4C4C4C"/>
          <w:sz w:val="20"/>
        </w:rPr>
        <w:t>.</w:t>
      </w:r>
    </w:p>
    <w:p>
      <w:pPr>
        <w:pStyle w:val="TextBody"/>
        <w:bidi w:val="0"/>
        <w:spacing w:before="280" w:after="283"/>
        <w:ind w:left="0" w:right="0" w:hanging="0"/>
        <w:jc w:val="left"/>
        <w:rPr>
          <w:rFonts w:ascii="Arial;Helvetica;sans-serif" w:hAnsi="Arial;Helvetica;sans-serif"/>
          <w:b/>
          <w:color w:val="0079C1"/>
          <w:sz w:val="24"/>
        </w:rPr>
      </w:pPr>
      <w:bookmarkStart w:id="30" w:name="tEOA"/>
      <w:bookmarkEnd w:id="30"/>
      <w:r>
        <w:rPr>
          <w:rFonts w:ascii="Arial;Helvetica;sans-serif" w:hAnsi="Arial;Helvetica;sans-serif"/>
          <w:b/>
          <w:color w:val="0079C1"/>
          <w:sz w:val="24"/>
        </w:rPr>
        <w:t>Employee, Officer and Director Hedging</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It is our policy that all employees and directors, as well as their family members, must not hedge or pledge our securities they hold directly. An exception to prohibition may be granted where a person wishes to pledge our securities as collateral for a loan, upon approval by our Chief Financial Officer, if certain other conditions are met. The prohibition on hedging is included in our Restated Insider Trading Policy. A copy of our Restated Insider Trading Policy can be viewed on our website at </w:t>
      </w:r>
      <w:r>
        <w:rPr>
          <w:rFonts w:ascii="Arial;Helvetica;sans-serif" w:hAnsi="Arial;Helvetica;sans-serif"/>
          <w:i/>
          <w:color w:val="4C4C4C"/>
          <w:sz w:val="20"/>
        </w:rPr>
        <w:t>ir.acmr.com/corporate-governance/highlights</w:t>
      </w:r>
      <w:r>
        <w:rPr>
          <w:rFonts w:ascii="Arial;Helvetica;sans-serif" w:hAnsi="Arial;Helvetica;sans-serif"/>
          <w:color w:val="4C4C4C"/>
          <w:sz w:val="20"/>
        </w:rPr>
        <w:t>.</w:t>
      </w:r>
    </w:p>
    <w:p>
      <w:pPr>
        <w:pStyle w:val="TextBody"/>
        <w:bidi w:val="0"/>
        <w:spacing w:before="280" w:after="283"/>
        <w:ind w:left="0" w:right="0" w:hanging="0"/>
        <w:jc w:val="left"/>
        <w:rPr>
          <w:rFonts w:ascii="Arial;Helvetica;sans-serif" w:hAnsi="Arial;Helvetica;sans-serif"/>
          <w:b/>
          <w:color w:val="0079C1"/>
          <w:sz w:val="24"/>
        </w:rPr>
      </w:pPr>
      <w:bookmarkStart w:id="31" w:name="tBOO"/>
      <w:bookmarkEnd w:id="31"/>
      <w:r>
        <w:rPr>
          <w:rFonts w:ascii="Arial;Helvetica;sans-serif" w:hAnsi="Arial;Helvetica;sans-serif"/>
          <w:b/>
          <w:color w:val="0079C1"/>
          <w:sz w:val="24"/>
        </w:rPr>
        <w:t>Board Oversight of Risk</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board of directors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the board to understand our risk identification, risk management and risk mitigation strategies with respect to areas of potential material risk, including operations, finance, legal, regulatory, strategic and reputational risk.</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audit committee of the board reviews information regarding liquidity and operations, and oversees our management of financial risks. Periodically, the audit committee reviews our policies with respect to risk assessment, risk management, loss prevention and regulatory compliance. Oversight by the audit committee includes direct communication with our external auditors, and discussions with management regarding significant risk exposures and the actions management has taken to limit, monitor or control such exposures. The compensation committee of the board is responsible for assessing whether any of our compensation policies or programs has the potential to encourage excessive risk-taking. The nominating and governance committee of the board manages risks associated with the independence of the board, corporate disclosure practices and potential conflicts of interest. While each committee is responsible for evaluating certain risks and overseeing the management of such risks, the entire board is regularly informed through committee reports about such risks.</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13</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2" w:name="ny20042784x1_def14a_109-corporate_pg4"/>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079C1"/>
          <w:sz w:val="24"/>
        </w:rPr>
      </w:pPr>
      <w:bookmarkStart w:id="33" w:name="tBLS"/>
      <w:bookmarkEnd w:id="33"/>
      <w:r>
        <w:rPr>
          <w:rFonts w:ascii="Arial;Helvetica;sans-serif" w:hAnsi="Arial;Helvetica;sans-serif"/>
          <w:b/>
          <w:color w:val="0079C1"/>
          <w:sz w:val="24"/>
        </w:rPr>
        <w:t>Board Leadership Structure</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board of directors recognizes that it is important to determine an optimal board leadership structure to ensure the independent oversight of management as our business continues to grow. We do not have a policy on whether the offices of Chair of the Board and Chief Executive Officer should be separate and, if they are to be separate, whether the Chair of the Board should be selected from among the independent directors or should be an employee. The board has determined that it is in our best interests to have both a Chair of the Board and a Lead Director. The board has appointed David Wang, our Chief Executive Officer and President, to serve as Chair of the Board and Haiping Dun, an independent director, to serve as Lead Director. Among other things, the Chair of the Board shall prepare agendas for, and preside over, meetings of the board and the Lead Director shall assist the Chair of the Board in preparing agendas and shall serve as the principal liaison between the Chair of the Board and the other directors. The board believes that this is the appropriate leadership structure for us at this time and will allow the board to fulfill its role with appropriate independence.</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board has concluded that our current leadership structure is appropriate at this time. The board will continue to periodically review our leadership structure, however, and may make such changes in the future as it deems appropriate.</w:t>
      </w:r>
    </w:p>
    <w:p>
      <w:pPr>
        <w:pStyle w:val="TextBody"/>
        <w:bidi w:val="0"/>
        <w:spacing w:before="290" w:after="283"/>
        <w:ind w:left="0" w:right="0" w:hanging="0"/>
        <w:jc w:val="left"/>
        <w:rPr>
          <w:rFonts w:ascii="Arial;Helvetica;sans-serif" w:hAnsi="Arial;Helvetica;sans-serif"/>
          <w:b/>
          <w:color w:val="0079C1"/>
          <w:sz w:val="24"/>
        </w:rPr>
      </w:pPr>
      <w:bookmarkStart w:id="34" w:name="tAC"/>
      <w:bookmarkEnd w:id="34"/>
      <w:r>
        <w:rPr>
          <w:rFonts w:ascii="Arial;Helvetica;sans-serif" w:hAnsi="Arial;Helvetica;sans-serif"/>
          <w:b/>
          <w:color w:val="0079C1"/>
          <w:sz w:val="24"/>
        </w:rPr>
        <w:t>Audit Committee</w:t>
      </w:r>
    </w:p>
    <w:p>
      <w:pPr>
        <w:pStyle w:val="TextBody"/>
        <w:bidi w:val="0"/>
        <w:spacing w:before="230" w:after="283"/>
        <w:ind w:left="0" w:right="0" w:hanging="0"/>
        <w:jc w:val="left"/>
        <w:rPr>
          <w:rFonts w:ascii="Arial;Helvetica;sans-serif" w:hAnsi="Arial;Helvetica;sans-serif"/>
          <w:color w:val="4C4C4C"/>
          <w:sz w:val="20"/>
        </w:rPr>
      </w:pPr>
      <w:r>
        <w:rPr>
          <w:rFonts w:ascii="Arial;Helvetica;sans-serif" w:hAnsi="Arial;Helvetica;sans-serif"/>
          <w:color w:val="4C4C4C"/>
          <w:sz w:val="20"/>
        </w:rPr>
        <w:t>The principal responsibilities of the audit committee include:</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C4C4C"/>
              </w:rPr>
            </w:pPr>
            <w:r>
              <w:rPr>
                <w:color w:val="4C4C4C"/>
              </w:rPr>
              <w:t>•</w:t>
            </w:r>
          </w:p>
        </w:tc>
        <w:tc>
          <w:tcPr>
            <w:tcW w:w="10065" w:type="dxa"/>
            <w:tcBorders/>
            <w:vAlign w:val="center"/>
          </w:tcPr>
          <w:p>
            <w:pPr>
              <w:pStyle w:val="TableContents"/>
              <w:bidi w:val="0"/>
              <w:spacing w:before="0" w:after="0"/>
              <w:jc w:val="both"/>
              <w:rPr>
                <w:rFonts w:ascii="Arial;Helvetica;sans-serif" w:hAnsi="Arial;Helvetica;sans-serif"/>
                <w:color w:val="4C4C4C"/>
                <w:sz w:val="20"/>
              </w:rPr>
            </w:pPr>
            <w:r>
              <w:rPr>
                <w:rFonts w:ascii="Arial;Helvetica;sans-serif" w:hAnsi="Arial;Helvetica;sans-serif"/>
                <w:color w:val="4C4C4C"/>
                <w:sz w:val="20"/>
              </w:rPr>
              <w:t>appointing, approving the compensation of, and assessing the independence of our registered public accounting firm;</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C4C4C"/>
              </w:rPr>
            </w:pPr>
            <w:r>
              <w:rPr>
                <w:color w:val="4C4C4C"/>
              </w:rPr>
              <w:t>•</w:t>
            </w:r>
          </w:p>
        </w:tc>
        <w:tc>
          <w:tcPr>
            <w:tcW w:w="10065" w:type="dxa"/>
            <w:tcBorders/>
            <w:vAlign w:val="center"/>
          </w:tcPr>
          <w:p>
            <w:pPr>
              <w:pStyle w:val="TableContents"/>
              <w:bidi w:val="0"/>
              <w:spacing w:before="0" w:after="0"/>
              <w:jc w:val="both"/>
              <w:rPr>
                <w:rFonts w:ascii="Arial;Helvetica;sans-serif" w:hAnsi="Arial;Helvetica;sans-serif"/>
                <w:color w:val="4C4C4C"/>
                <w:sz w:val="20"/>
              </w:rPr>
            </w:pPr>
            <w:r>
              <w:rPr>
                <w:rFonts w:ascii="Arial;Helvetica;sans-serif" w:hAnsi="Arial;Helvetica;sans-serif"/>
                <w:color w:val="4C4C4C"/>
                <w:sz w:val="20"/>
              </w:rPr>
              <w:t>overseeing the work of our registered public accounting firm, including through the receipt and consideration of reports from such firm;</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C4C4C"/>
              </w:rPr>
            </w:pPr>
            <w:r>
              <w:rPr>
                <w:color w:val="4C4C4C"/>
              </w:rPr>
              <w:t>•</w:t>
            </w:r>
          </w:p>
        </w:tc>
        <w:tc>
          <w:tcPr>
            <w:tcW w:w="10065" w:type="dxa"/>
            <w:tcBorders/>
            <w:vAlign w:val="center"/>
          </w:tcPr>
          <w:p>
            <w:pPr>
              <w:pStyle w:val="TableContents"/>
              <w:bidi w:val="0"/>
              <w:spacing w:before="0" w:after="0"/>
              <w:jc w:val="both"/>
              <w:rPr>
                <w:rFonts w:ascii="Arial;Helvetica;sans-serif" w:hAnsi="Arial;Helvetica;sans-serif"/>
                <w:color w:val="4C4C4C"/>
                <w:sz w:val="20"/>
              </w:rPr>
            </w:pPr>
            <w:r>
              <w:rPr>
                <w:rFonts w:ascii="Arial;Helvetica;sans-serif" w:hAnsi="Arial;Helvetica;sans-serif"/>
                <w:color w:val="4C4C4C"/>
                <w:sz w:val="20"/>
              </w:rPr>
              <w:t>reviewing and discussing with management and the registered public accounting firm our annual and quarterly financial statements and related disclosures;</w:t>
            </w:r>
          </w:p>
        </w:tc>
      </w:tr>
    </w:tbl>
    <w:tbl>
      <w:tblPr>
        <w:tblW w:w="8665" w:type="dxa"/>
        <w:jc w:val="left"/>
        <w:tblInd w:w="0" w:type="dxa"/>
        <w:tblLayout w:type="fixed"/>
        <w:tblCellMar>
          <w:top w:w="0" w:type="dxa"/>
          <w:left w:w="0" w:type="dxa"/>
          <w:bottom w:w="0" w:type="dxa"/>
          <w:right w:w="0" w:type="dxa"/>
        </w:tblCellMar>
      </w:tblPr>
      <w:tblGrid>
        <w:gridCol w:w="140"/>
        <w:gridCol w:w="8525"/>
      </w:tblGrid>
      <w:tr>
        <w:trPr/>
        <w:tc>
          <w:tcPr>
            <w:tcW w:w="140" w:type="dxa"/>
            <w:tcBorders/>
            <w:vAlign w:val="center"/>
          </w:tcPr>
          <w:p>
            <w:pPr>
              <w:pStyle w:val="TableContents"/>
              <w:bidi w:val="0"/>
              <w:spacing w:before="0" w:after="0"/>
              <w:jc w:val="left"/>
              <w:rPr>
                <w:color w:val="4C4C4C"/>
              </w:rPr>
            </w:pPr>
            <w:r>
              <w:rPr>
                <w:color w:val="4C4C4C"/>
              </w:rPr>
              <w:t>•</w:t>
            </w:r>
          </w:p>
        </w:tc>
        <w:tc>
          <w:tcPr>
            <w:tcW w:w="8525"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monitoring our internal control over financial reporting and our disclosure controls and procedures;</w:t>
            </w:r>
          </w:p>
        </w:tc>
      </w:tr>
    </w:tbl>
    <w:tbl>
      <w:tblPr>
        <w:tblW w:w="7405" w:type="dxa"/>
        <w:jc w:val="left"/>
        <w:tblInd w:w="0" w:type="dxa"/>
        <w:tblLayout w:type="fixed"/>
        <w:tblCellMar>
          <w:top w:w="0" w:type="dxa"/>
          <w:left w:w="0" w:type="dxa"/>
          <w:bottom w:w="0" w:type="dxa"/>
          <w:right w:w="0" w:type="dxa"/>
        </w:tblCellMar>
      </w:tblPr>
      <w:tblGrid>
        <w:gridCol w:w="140"/>
        <w:gridCol w:w="7265"/>
      </w:tblGrid>
      <w:tr>
        <w:trPr/>
        <w:tc>
          <w:tcPr>
            <w:tcW w:w="140" w:type="dxa"/>
            <w:tcBorders/>
            <w:vAlign w:val="center"/>
          </w:tcPr>
          <w:p>
            <w:pPr>
              <w:pStyle w:val="TableContents"/>
              <w:bidi w:val="0"/>
              <w:spacing w:before="0" w:after="0"/>
              <w:jc w:val="left"/>
              <w:rPr>
                <w:color w:val="4C4C4C"/>
              </w:rPr>
            </w:pPr>
            <w:r>
              <w:rPr>
                <w:color w:val="4C4C4C"/>
              </w:rPr>
              <w:t>•</w:t>
            </w:r>
          </w:p>
        </w:tc>
        <w:tc>
          <w:tcPr>
            <w:tcW w:w="7265"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meeting independently with our registered public accounting firm and management;</w:t>
            </w:r>
          </w:p>
        </w:tc>
      </w:tr>
    </w:tbl>
    <w:tbl>
      <w:tblPr>
        <w:tblW w:w="5425" w:type="dxa"/>
        <w:jc w:val="left"/>
        <w:tblInd w:w="0" w:type="dxa"/>
        <w:tblLayout w:type="fixed"/>
        <w:tblCellMar>
          <w:top w:w="0" w:type="dxa"/>
          <w:left w:w="0" w:type="dxa"/>
          <w:bottom w:w="0" w:type="dxa"/>
          <w:right w:w="0" w:type="dxa"/>
        </w:tblCellMar>
      </w:tblPr>
      <w:tblGrid>
        <w:gridCol w:w="140"/>
        <w:gridCol w:w="5285"/>
      </w:tblGrid>
      <w:tr>
        <w:trPr/>
        <w:tc>
          <w:tcPr>
            <w:tcW w:w="140" w:type="dxa"/>
            <w:tcBorders/>
            <w:vAlign w:val="center"/>
          </w:tcPr>
          <w:p>
            <w:pPr>
              <w:pStyle w:val="TableContents"/>
              <w:bidi w:val="0"/>
              <w:spacing w:before="0" w:after="0"/>
              <w:jc w:val="left"/>
              <w:rPr>
                <w:color w:val="4C4C4C"/>
              </w:rPr>
            </w:pPr>
            <w:r>
              <w:rPr>
                <w:color w:val="4C4C4C"/>
              </w:rPr>
              <w:t>•</w:t>
            </w:r>
          </w:p>
        </w:tc>
        <w:tc>
          <w:tcPr>
            <w:tcW w:w="5285"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furnishing the audit committee report required by SEC rules;</w:t>
            </w:r>
          </w:p>
        </w:tc>
      </w:tr>
    </w:tbl>
    <w:tbl>
      <w:tblPr>
        <w:tblW w:w="6340" w:type="dxa"/>
        <w:jc w:val="left"/>
        <w:tblInd w:w="0" w:type="dxa"/>
        <w:tblLayout w:type="fixed"/>
        <w:tblCellMar>
          <w:top w:w="0" w:type="dxa"/>
          <w:left w:w="0" w:type="dxa"/>
          <w:bottom w:w="0" w:type="dxa"/>
          <w:right w:w="0" w:type="dxa"/>
        </w:tblCellMar>
      </w:tblPr>
      <w:tblGrid>
        <w:gridCol w:w="140"/>
        <w:gridCol w:w="6200"/>
      </w:tblGrid>
      <w:tr>
        <w:trPr/>
        <w:tc>
          <w:tcPr>
            <w:tcW w:w="140" w:type="dxa"/>
            <w:tcBorders/>
            <w:vAlign w:val="center"/>
          </w:tcPr>
          <w:p>
            <w:pPr>
              <w:pStyle w:val="TableContents"/>
              <w:bidi w:val="0"/>
              <w:spacing w:before="0" w:after="0"/>
              <w:jc w:val="left"/>
              <w:rPr>
                <w:color w:val="4C4C4C"/>
              </w:rPr>
            </w:pPr>
            <w:r>
              <w:rPr>
                <w:color w:val="4C4C4C"/>
              </w:rPr>
              <w:t>•</w:t>
            </w:r>
          </w:p>
        </w:tc>
        <w:tc>
          <w:tcPr>
            <w:tcW w:w="6200"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reviewing, approving and overseeing certain related-party transactions;</w:t>
            </w:r>
          </w:p>
        </w:tc>
      </w:tr>
    </w:tbl>
    <w:tbl>
      <w:tblPr>
        <w:tblW w:w="6925" w:type="dxa"/>
        <w:jc w:val="left"/>
        <w:tblInd w:w="0" w:type="dxa"/>
        <w:tblLayout w:type="fixed"/>
        <w:tblCellMar>
          <w:top w:w="0" w:type="dxa"/>
          <w:left w:w="0" w:type="dxa"/>
          <w:bottom w:w="0" w:type="dxa"/>
          <w:right w:w="0" w:type="dxa"/>
        </w:tblCellMar>
      </w:tblPr>
      <w:tblGrid>
        <w:gridCol w:w="140"/>
        <w:gridCol w:w="6785"/>
      </w:tblGrid>
      <w:tr>
        <w:trPr/>
        <w:tc>
          <w:tcPr>
            <w:tcW w:w="140" w:type="dxa"/>
            <w:tcBorders/>
            <w:vAlign w:val="center"/>
          </w:tcPr>
          <w:p>
            <w:pPr>
              <w:pStyle w:val="TableContents"/>
              <w:bidi w:val="0"/>
              <w:spacing w:before="0" w:after="0"/>
              <w:jc w:val="left"/>
              <w:rPr>
                <w:color w:val="4C4C4C"/>
              </w:rPr>
            </w:pPr>
            <w:r>
              <w:rPr>
                <w:color w:val="4C4C4C"/>
              </w:rPr>
              <w:t>•</w:t>
            </w:r>
          </w:p>
        </w:tc>
        <w:tc>
          <w:tcPr>
            <w:tcW w:w="6785"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reviewing and reassessing the adequacy of our conflict of interest policy; and</w:t>
            </w:r>
          </w:p>
        </w:tc>
      </w:tr>
    </w:tbl>
    <w:tbl>
      <w:tblPr>
        <w:tblW w:w="5710" w:type="dxa"/>
        <w:jc w:val="left"/>
        <w:tblInd w:w="0" w:type="dxa"/>
        <w:tblLayout w:type="fixed"/>
        <w:tblCellMar>
          <w:top w:w="0" w:type="dxa"/>
          <w:left w:w="0" w:type="dxa"/>
          <w:bottom w:w="0" w:type="dxa"/>
          <w:right w:w="0" w:type="dxa"/>
        </w:tblCellMar>
      </w:tblPr>
      <w:tblGrid>
        <w:gridCol w:w="140"/>
        <w:gridCol w:w="5570"/>
      </w:tblGrid>
      <w:tr>
        <w:trPr/>
        <w:tc>
          <w:tcPr>
            <w:tcW w:w="140" w:type="dxa"/>
            <w:tcBorders/>
            <w:vAlign w:val="center"/>
          </w:tcPr>
          <w:p>
            <w:pPr>
              <w:pStyle w:val="TableContents"/>
              <w:bidi w:val="0"/>
              <w:spacing w:before="0" w:after="0"/>
              <w:jc w:val="left"/>
              <w:rPr>
                <w:color w:val="4C4C4C"/>
              </w:rPr>
            </w:pPr>
            <w:r>
              <w:rPr>
                <w:color w:val="4C4C4C"/>
              </w:rPr>
              <w:t>•</w:t>
            </w:r>
          </w:p>
        </w:tc>
        <w:tc>
          <w:tcPr>
            <w:tcW w:w="5570"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overseeing our risk assessment and risk management policies.</w:t>
            </w:r>
          </w:p>
        </w:tc>
      </w:tr>
    </w:tbl>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Our independent auditor is ultimately accountable to the audit committee. The audit committee has the ultimate authority and responsibility to select, evaluate, approve terms of retention and compensation of, and, where appropriate, replace the independent auditor.</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current members of the audit committee are Tracy Liu, who serves as chair, Haiping Dun and Charles Pappis. Ms. Liu, Dr. Dun, and Mr. Pappis are standing for re-election at the Annual Meeting. The board has determined that each of the current audit committee members is financially literate and is a “non-employee director” as defined in Rule 16b-3 promulgated under the Securities Exchange Act. The board also determined that each of the current members of the audit committee is independent, as defined in the listing standards of Nasdaq. The board has also determined that Ms. Liu is an audit committee financial expert in accordance with the standards of the SEC.</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audit committee held five meetings in 2024. All members attended at least 75% of the total number of audit committee meetings held in 2024.</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14</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5" w:name="ny20042784x1_def14a_109-corporate_pg5"/>
        <w:bookmarkEnd w:id="35"/>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079C1"/>
          <w:sz w:val="24"/>
        </w:rPr>
      </w:pPr>
      <w:bookmarkStart w:id="36" w:name="tNAG"/>
      <w:bookmarkEnd w:id="36"/>
      <w:r>
        <w:rPr>
          <w:rFonts w:ascii="Arial;Helvetica;sans-serif" w:hAnsi="Arial;Helvetica;sans-serif"/>
          <w:b/>
          <w:color w:val="0079C1"/>
          <w:sz w:val="24"/>
        </w:rPr>
        <w:t>Nominating and Governance Committee</w:t>
      </w:r>
    </w:p>
    <w:p>
      <w:pPr>
        <w:pStyle w:val="TextBody"/>
        <w:bidi w:val="0"/>
        <w:spacing w:before="220" w:after="283"/>
        <w:ind w:left="0" w:right="0" w:hanging="0"/>
        <w:jc w:val="left"/>
        <w:rPr>
          <w:rFonts w:ascii="Arial;Helvetica;sans-serif" w:hAnsi="Arial;Helvetica;sans-serif"/>
          <w:color w:val="4C4C4C"/>
          <w:sz w:val="20"/>
        </w:rPr>
      </w:pPr>
      <w:r>
        <w:rPr>
          <w:rFonts w:ascii="Arial;Helvetica;sans-serif" w:hAnsi="Arial;Helvetica;sans-serif"/>
          <w:color w:val="4C4C4C"/>
          <w:sz w:val="20"/>
        </w:rPr>
        <w:t>The principal responsibilities of the nominating and governance committee include:</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C4C4C"/>
              </w:rPr>
            </w:pPr>
            <w:r>
              <w:rPr>
                <w:color w:val="4C4C4C"/>
              </w:rPr>
              <w:t>•</w:t>
            </w:r>
          </w:p>
        </w:tc>
        <w:tc>
          <w:tcPr>
            <w:tcW w:w="10065" w:type="dxa"/>
            <w:tcBorders/>
            <w:vAlign w:val="center"/>
          </w:tcPr>
          <w:p>
            <w:pPr>
              <w:pStyle w:val="TableContents"/>
              <w:bidi w:val="0"/>
              <w:spacing w:before="0" w:after="0"/>
              <w:jc w:val="both"/>
              <w:rPr>
                <w:rFonts w:ascii="Arial;Helvetica;sans-serif" w:hAnsi="Arial;Helvetica;sans-serif"/>
                <w:color w:val="4C4C4C"/>
                <w:sz w:val="20"/>
              </w:rPr>
            </w:pPr>
            <w:r>
              <w:rPr>
                <w:rFonts w:ascii="Arial;Helvetica;sans-serif" w:hAnsi="Arial;Helvetica;sans-serif"/>
                <w:color w:val="4C4C4C"/>
                <w:sz w:val="20"/>
              </w:rPr>
              <w:t>identifying, evaluating, and making recommendations to the board of directors and our stockholders concerning nominees for election to the board, to each of the board’s committees and as committee chairs;</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C4C4C"/>
              </w:rPr>
            </w:pPr>
            <w:r>
              <w:rPr>
                <w:color w:val="4C4C4C"/>
              </w:rPr>
              <w:t>•</w:t>
            </w:r>
          </w:p>
        </w:tc>
        <w:tc>
          <w:tcPr>
            <w:tcW w:w="10065" w:type="dxa"/>
            <w:tcBorders/>
            <w:vAlign w:val="center"/>
          </w:tcPr>
          <w:p>
            <w:pPr>
              <w:pStyle w:val="TableContents"/>
              <w:bidi w:val="0"/>
              <w:spacing w:before="0" w:after="0"/>
              <w:jc w:val="both"/>
              <w:rPr>
                <w:rFonts w:ascii="Arial;Helvetica;sans-serif" w:hAnsi="Arial;Helvetica;sans-serif"/>
                <w:color w:val="4C4C4C"/>
                <w:sz w:val="20"/>
              </w:rPr>
            </w:pPr>
            <w:r>
              <w:rPr>
                <w:rFonts w:ascii="Arial;Helvetica;sans-serif" w:hAnsi="Arial;Helvetica;sans-serif"/>
                <w:color w:val="4C4C4C"/>
                <w:sz w:val="20"/>
              </w:rPr>
              <w:t>annually reviewing the performance and effectiveness of the board and developing and overseeing a performance evaluation process;</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C4C4C"/>
              </w:rPr>
            </w:pPr>
            <w:r>
              <w:rPr>
                <w:color w:val="4C4C4C"/>
              </w:rPr>
              <w:t>•</w:t>
            </w:r>
          </w:p>
        </w:tc>
        <w:tc>
          <w:tcPr>
            <w:tcW w:w="10065" w:type="dxa"/>
            <w:tcBorders/>
            <w:vAlign w:val="center"/>
          </w:tcPr>
          <w:p>
            <w:pPr>
              <w:pStyle w:val="TableContents"/>
              <w:bidi w:val="0"/>
              <w:spacing w:before="0" w:after="0"/>
              <w:jc w:val="both"/>
              <w:rPr>
                <w:rFonts w:ascii="Arial;Helvetica;sans-serif" w:hAnsi="Arial;Helvetica;sans-serif"/>
                <w:color w:val="4C4C4C"/>
                <w:sz w:val="20"/>
              </w:rPr>
            </w:pPr>
            <w:r>
              <w:rPr>
                <w:rFonts w:ascii="Arial;Helvetica;sans-serif" w:hAnsi="Arial;Helvetica;sans-serif"/>
                <w:color w:val="4C4C4C"/>
                <w:sz w:val="20"/>
              </w:rPr>
              <w:t>annually evaluating the performance of management, the board and each board committee against their duties and responsibilities relating to corporate governance;</w:t>
            </w:r>
          </w:p>
        </w:tc>
      </w:tr>
    </w:tbl>
    <w:tbl>
      <w:tblPr>
        <w:tblW w:w="8710" w:type="dxa"/>
        <w:jc w:val="left"/>
        <w:tblInd w:w="0" w:type="dxa"/>
        <w:tblLayout w:type="fixed"/>
        <w:tblCellMar>
          <w:top w:w="0" w:type="dxa"/>
          <w:left w:w="0" w:type="dxa"/>
          <w:bottom w:w="0" w:type="dxa"/>
          <w:right w:w="0" w:type="dxa"/>
        </w:tblCellMar>
      </w:tblPr>
      <w:tblGrid>
        <w:gridCol w:w="140"/>
        <w:gridCol w:w="8570"/>
      </w:tblGrid>
      <w:tr>
        <w:trPr/>
        <w:tc>
          <w:tcPr>
            <w:tcW w:w="140" w:type="dxa"/>
            <w:tcBorders/>
            <w:vAlign w:val="center"/>
          </w:tcPr>
          <w:p>
            <w:pPr>
              <w:pStyle w:val="TableContents"/>
              <w:bidi w:val="0"/>
              <w:spacing w:before="0" w:after="0"/>
              <w:jc w:val="left"/>
              <w:rPr>
                <w:color w:val="4C4C4C"/>
              </w:rPr>
            </w:pPr>
            <w:r>
              <w:rPr>
                <w:color w:val="4C4C4C"/>
              </w:rPr>
              <w:t>•</w:t>
            </w:r>
          </w:p>
        </w:tc>
        <w:tc>
          <w:tcPr>
            <w:tcW w:w="8570"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annually evaluating adequacy of our corporate governance structure, policies and procedures; and</w:t>
            </w:r>
          </w:p>
        </w:tc>
      </w:tr>
    </w:tbl>
    <w:tbl>
      <w:tblPr>
        <w:tblW w:w="10075" w:type="dxa"/>
        <w:jc w:val="left"/>
        <w:tblInd w:w="0" w:type="dxa"/>
        <w:tblLayout w:type="fixed"/>
        <w:tblCellMar>
          <w:top w:w="0" w:type="dxa"/>
          <w:left w:w="0" w:type="dxa"/>
          <w:bottom w:w="0" w:type="dxa"/>
          <w:right w:w="0" w:type="dxa"/>
        </w:tblCellMar>
      </w:tblPr>
      <w:tblGrid>
        <w:gridCol w:w="140"/>
        <w:gridCol w:w="9935"/>
      </w:tblGrid>
      <w:tr>
        <w:trPr/>
        <w:tc>
          <w:tcPr>
            <w:tcW w:w="140" w:type="dxa"/>
            <w:tcBorders/>
            <w:vAlign w:val="center"/>
          </w:tcPr>
          <w:p>
            <w:pPr>
              <w:pStyle w:val="TableContents"/>
              <w:bidi w:val="0"/>
              <w:spacing w:before="0" w:after="0"/>
              <w:jc w:val="left"/>
              <w:rPr>
                <w:color w:val="4C4C4C"/>
              </w:rPr>
            </w:pPr>
            <w:r>
              <w:rPr>
                <w:color w:val="4C4C4C"/>
              </w:rPr>
              <w:t>•</w:t>
            </w:r>
          </w:p>
        </w:tc>
        <w:tc>
          <w:tcPr>
            <w:tcW w:w="9935" w:type="dxa"/>
            <w:tcBorders/>
            <w:vAlign w:val="center"/>
          </w:tcPr>
          <w:p>
            <w:pPr>
              <w:pStyle w:val="TableContents"/>
              <w:bidi w:val="0"/>
              <w:spacing w:before="0" w:after="0"/>
              <w:jc w:val="both"/>
              <w:rPr>
                <w:rFonts w:ascii="Arial;Helvetica;sans-serif" w:hAnsi="Arial;Helvetica;sans-serif"/>
                <w:color w:val="4C4C4C"/>
                <w:sz w:val="20"/>
              </w:rPr>
            </w:pPr>
            <w:r>
              <w:rPr>
                <w:rFonts w:ascii="Arial;Helvetica;sans-serif" w:hAnsi="Arial;Helvetica;sans-serif"/>
                <w:color w:val="4C4C4C"/>
                <w:sz w:val="20"/>
              </w:rPr>
              <w:t>providing reports to the board regarding the committee’s nominations for election to the board and its committees.</w:t>
            </w:r>
          </w:p>
        </w:tc>
      </w:tr>
    </w:tbl>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current members of the nominating and governance committee are Chenming Hu, who serves as chair, and Tracy Liu. Ms. Liu is standing for re-election at the Annual Meeting, and Mr. Pappis is expected to be appointed as chair of the nominating and governance committee to replace Chenming Hu, who is not standing for re-election at the Annual Meeting, upon the completion of Dr. Hu’s term at the Annual Meeting. The board has determined that each of Mr. Pappis and Ms. Liu is independent, as defined in the listing standards of Nasdaq.</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nominating and governance committee has the sole authority to retain, oversee and terminate any consulting or search firm to be used to identify director candidates or assist in evaluating director compensation and to approve any such firm’s fees and retention terms. The nominating and governance committee held one meeting in 2024, which was attended by both of the members.</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The nominating and governance committee will consider director nominees recommended by our stockholders in accordance with our Policy and Procedure for Stockholder Nominations to the Board adopted by the nominating and governance committee and approved by the board in April 2018, a copy of which is posted on our website at </w:t>
      </w:r>
      <w:r>
        <w:rPr>
          <w:rFonts w:ascii="Arial;Helvetica;sans-serif" w:hAnsi="Arial;Helvetica;sans-serif"/>
          <w:i/>
          <w:color w:val="4C4C4C"/>
          <w:sz w:val="20"/>
        </w:rPr>
        <w:t>ir.acmr.com/corporate-governance/highlights</w:t>
      </w:r>
      <w:r>
        <w:rPr>
          <w:rFonts w:ascii="Arial;Helvetica;sans-serif" w:hAnsi="Arial;Helvetica;sans-serif"/>
          <w:color w:val="4C4C4C"/>
          <w:sz w:val="20"/>
        </w:rPr>
        <w:t>. Recommendations should be submitted to our Corporate Secretary in writing at ACM Research, Inc., 42307 Osgood Road, Suite I, Fremont, California 94539, along with additional required information about the nominee and the stockholder making the recommendation. Information on qualifications for nominations to the board and procedures for stockholder nominations to the board is included below under “Proposal 1. Election of Directors—Director Qualifications” and “—Identifying and Evaluating Nominees for Directors.”</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15</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7" w:name="ny20042784x1_def14a_109-corporate_pg6"/>
        <w:bookmarkEnd w:id="37"/>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079C1"/>
          <w:sz w:val="24"/>
        </w:rPr>
      </w:pPr>
      <w:bookmarkStart w:id="38" w:name="tCC"/>
      <w:bookmarkEnd w:id="38"/>
      <w:r>
        <w:rPr>
          <w:rFonts w:ascii="Arial;Helvetica;sans-serif" w:hAnsi="Arial;Helvetica;sans-serif"/>
          <w:b/>
          <w:color w:val="0079C1"/>
          <w:sz w:val="24"/>
        </w:rPr>
        <w:t>Compensation Committee</w:t>
      </w:r>
    </w:p>
    <w:p>
      <w:pPr>
        <w:pStyle w:val="TextBody"/>
        <w:bidi w:val="0"/>
        <w:spacing w:before="220" w:after="283"/>
        <w:ind w:left="0" w:right="0" w:hanging="0"/>
        <w:jc w:val="left"/>
        <w:rPr>
          <w:rFonts w:ascii="Arial;Helvetica;sans-serif" w:hAnsi="Arial;Helvetica;sans-serif"/>
          <w:color w:val="4C4C4C"/>
          <w:sz w:val="20"/>
        </w:rPr>
      </w:pPr>
      <w:r>
        <w:rPr>
          <w:rFonts w:ascii="Arial;Helvetica;sans-serif" w:hAnsi="Arial;Helvetica;sans-serif"/>
          <w:color w:val="4C4C4C"/>
          <w:sz w:val="20"/>
        </w:rPr>
        <w:t>The principal responsibilities of the compensation committee include:</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C4C4C"/>
              </w:rPr>
            </w:pPr>
            <w:r>
              <w:rPr>
                <w:color w:val="4C4C4C"/>
              </w:rPr>
              <w:t>•</w:t>
            </w:r>
          </w:p>
        </w:tc>
        <w:tc>
          <w:tcPr>
            <w:tcW w:w="10065" w:type="dxa"/>
            <w:tcBorders/>
            <w:vAlign w:val="center"/>
          </w:tcPr>
          <w:p>
            <w:pPr>
              <w:pStyle w:val="TableContents"/>
              <w:bidi w:val="0"/>
              <w:spacing w:before="0" w:after="0"/>
              <w:jc w:val="both"/>
              <w:rPr>
                <w:rFonts w:ascii="Arial;Helvetica;sans-serif" w:hAnsi="Arial;Helvetica;sans-serif"/>
                <w:color w:val="4C4C4C"/>
                <w:sz w:val="20"/>
              </w:rPr>
            </w:pPr>
            <w:r>
              <w:rPr>
                <w:rFonts w:ascii="Arial;Helvetica;sans-serif" w:hAnsi="Arial;Helvetica;sans-serif"/>
                <w:color w:val="4C4C4C"/>
                <w:sz w:val="20"/>
              </w:rPr>
              <w:t>together with the Lead Director, evaluating the performance of our Chief Executive Officer and determining our Chief Executive Officer’s salary and contingent compensation based on his or her performance and other relevant criteria;</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C4C4C"/>
              </w:rPr>
            </w:pPr>
            <w:r>
              <w:rPr>
                <w:color w:val="4C4C4C"/>
              </w:rPr>
              <w:t>•</w:t>
            </w:r>
          </w:p>
        </w:tc>
        <w:tc>
          <w:tcPr>
            <w:tcW w:w="10065" w:type="dxa"/>
            <w:tcBorders/>
            <w:vAlign w:val="center"/>
          </w:tcPr>
          <w:p>
            <w:pPr>
              <w:pStyle w:val="TableContents"/>
              <w:bidi w:val="0"/>
              <w:spacing w:before="0" w:after="0"/>
              <w:jc w:val="both"/>
              <w:rPr>
                <w:rFonts w:ascii="Arial;Helvetica;sans-serif" w:hAnsi="Arial;Helvetica;sans-serif"/>
                <w:color w:val="4C4C4C"/>
                <w:sz w:val="20"/>
              </w:rPr>
            </w:pPr>
            <w:r>
              <w:rPr>
                <w:rFonts w:ascii="Arial;Helvetica;sans-serif" w:hAnsi="Arial;Helvetica;sans-serif"/>
                <w:color w:val="4C4C4C"/>
                <w:sz w:val="20"/>
              </w:rPr>
              <w:t>together with the Lead Director, identifying the corporate and individual objectives governing the Chief Executive Officer’s compensation;</w:t>
            </w:r>
          </w:p>
        </w:tc>
      </w:tr>
    </w:tbl>
    <w:tbl>
      <w:tblPr>
        <w:tblW w:w="8155" w:type="dxa"/>
        <w:jc w:val="left"/>
        <w:tblInd w:w="0" w:type="dxa"/>
        <w:tblLayout w:type="fixed"/>
        <w:tblCellMar>
          <w:top w:w="0" w:type="dxa"/>
          <w:left w:w="0" w:type="dxa"/>
          <w:bottom w:w="0" w:type="dxa"/>
          <w:right w:w="0" w:type="dxa"/>
        </w:tblCellMar>
      </w:tblPr>
      <w:tblGrid>
        <w:gridCol w:w="140"/>
        <w:gridCol w:w="8015"/>
      </w:tblGrid>
      <w:tr>
        <w:trPr/>
        <w:tc>
          <w:tcPr>
            <w:tcW w:w="140" w:type="dxa"/>
            <w:tcBorders/>
            <w:vAlign w:val="center"/>
          </w:tcPr>
          <w:p>
            <w:pPr>
              <w:pStyle w:val="TableContents"/>
              <w:bidi w:val="0"/>
              <w:spacing w:before="0" w:after="0"/>
              <w:jc w:val="left"/>
              <w:rPr>
                <w:color w:val="4C4C4C"/>
              </w:rPr>
            </w:pPr>
            <w:r>
              <w:rPr>
                <w:color w:val="4C4C4C"/>
              </w:rPr>
              <w:t>•</w:t>
            </w:r>
          </w:p>
        </w:tc>
        <w:tc>
          <w:tcPr>
            <w:tcW w:w="8015"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together with the Lead Director, approving the compensation of our other executive officers;</w:t>
            </w:r>
          </w:p>
        </w:tc>
      </w:tr>
    </w:tbl>
    <w:tbl>
      <w:tblPr>
        <w:tblW w:w="6925" w:type="dxa"/>
        <w:jc w:val="left"/>
        <w:tblInd w:w="0" w:type="dxa"/>
        <w:tblLayout w:type="fixed"/>
        <w:tblCellMar>
          <w:top w:w="0" w:type="dxa"/>
          <w:left w:w="0" w:type="dxa"/>
          <w:bottom w:w="0" w:type="dxa"/>
          <w:right w:w="0" w:type="dxa"/>
        </w:tblCellMar>
      </w:tblPr>
      <w:tblGrid>
        <w:gridCol w:w="140"/>
        <w:gridCol w:w="6785"/>
      </w:tblGrid>
      <w:tr>
        <w:trPr/>
        <w:tc>
          <w:tcPr>
            <w:tcW w:w="140" w:type="dxa"/>
            <w:tcBorders/>
            <w:vAlign w:val="center"/>
          </w:tcPr>
          <w:p>
            <w:pPr>
              <w:pStyle w:val="TableContents"/>
              <w:bidi w:val="0"/>
              <w:spacing w:before="0" w:after="0"/>
              <w:jc w:val="left"/>
              <w:rPr>
                <w:color w:val="4C4C4C"/>
              </w:rPr>
            </w:pPr>
            <w:r>
              <w:rPr>
                <w:color w:val="4C4C4C"/>
              </w:rPr>
              <w:t>•</w:t>
            </w:r>
          </w:p>
        </w:tc>
        <w:tc>
          <w:tcPr>
            <w:tcW w:w="6785"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making recommendations to the board with respect to director compensation;</w:t>
            </w:r>
          </w:p>
        </w:tc>
      </w:tr>
    </w:tbl>
    <w:tbl>
      <w:tblPr>
        <w:tblW w:w="5950" w:type="dxa"/>
        <w:jc w:val="left"/>
        <w:tblInd w:w="0" w:type="dxa"/>
        <w:tblLayout w:type="fixed"/>
        <w:tblCellMar>
          <w:top w:w="0" w:type="dxa"/>
          <w:left w:w="0" w:type="dxa"/>
          <w:bottom w:w="0" w:type="dxa"/>
          <w:right w:w="0" w:type="dxa"/>
        </w:tblCellMar>
      </w:tblPr>
      <w:tblGrid>
        <w:gridCol w:w="140"/>
        <w:gridCol w:w="5810"/>
      </w:tblGrid>
      <w:tr>
        <w:trPr/>
        <w:tc>
          <w:tcPr>
            <w:tcW w:w="140" w:type="dxa"/>
            <w:tcBorders/>
            <w:vAlign w:val="center"/>
          </w:tcPr>
          <w:p>
            <w:pPr>
              <w:pStyle w:val="TableContents"/>
              <w:bidi w:val="0"/>
              <w:spacing w:before="0" w:after="0"/>
              <w:jc w:val="left"/>
              <w:rPr>
                <w:color w:val="4C4C4C"/>
              </w:rPr>
            </w:pPr>
            <w:r>
              <w:rPr>
                <w:color w:val="4C4C4C"/>
              </w:rPr>
              <w:t>•</w:t>
            </w:r>
          </w:p>
        </w:tc>
        <w:tc>
          <w:tcPr>
            <w:tcW w:w="5810"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reviewing and approving the terms of certain material agreements;</w:t>
            </w:r>
          </w:p>
        </w:tc>
      </w:tr>
    </w:tbl>
    <w:tbl>
      <w:tblPr>
        <w:tblW w:w="7540" w:type="dxa"/>
        <w:jc w:val="left"/>
        <w:tblInd w:w="0" w:type="dxa"/>
        <w:tblLayout w:type="fixed"/>
        <w:tblCellMar>
          <w:top w:w="0" w:type="dxa"/>
          <w:left w:w="0" w:type="dxa"/>
          <w:bottom w:w="0" w:type="dxa"/>
          <w:right w:w="0" w:type="dxa"/>
        </w:tblCellMar>
      </w:tblPr>
      <w:tblGrid>
        <w:gridCol w:w="140"/>
        <w:gridCol w:w="7400"/>
      </w:tblGrid>
      <w:tr>
        <w:trPr/>
        <w:tc>
          <w:tcPr>
            <w:tcW w:w="140" w:type="dxa"/>
            <w:tcBorders/>
            <w:vAlign w:val="center"/>
          </w:tcPr>
          <w:p>
            <w:pPr>
              <w:pStyle w:val="TableContents"/>
              <w:bidi w:val="0"/>
              <w:spacing w:before="0" w:after="0"/>
              <w:jc w:val="left"/>
              <w:rPr>
                <w:color w:val="4C4C4C"/>
              </w:rPr>
            </w:pPr>
            <w:r>
              <w:rPr>
                <w:color w:val="4C4C4C"/>
              </w:rPr>
              <w:t>•</w:t>
            </w:r>
          </w:p>
        </w:tc>
        <w:tc>
          <w:tcPr>
            <w:tcW w:w="7400"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overseeing and administering our equity incentive plans and employee benefit plans;</w:t>
            </w:r>
          </w:p>
        </w:tc>
      </w:tr>
    </w:tbl>
    <w:tbl>
      <w:tblPr>
        <w:tblW w:w="7180" w:type="dxa"/>
        <w:jc w:val="left"/>
        <w:tblInd w:w="0" w:type="dxa"/>
        <w:tblLayout w:type="fixed"/>
        <w:tblCellMar>
          <w:top w:w="0" w:type="dxa"/>
          <w:left w:w="0" w:type="dxa"/>
          <w:bottom w:w="0" w:type="dxa"/>
          <w:right w:w="0" w:type="dxa"/>
        </w:tblCellMar>
      </w:tblPr>
      <w:tblGrid>
        <w:gridCol w:w="140"/>
        <w:gridCol w:w="7040"/>
      </w:tblGrid>
      <w:tr>
        <w:trPr/>
        <w:tc>
          <w:tcPr>
            <w:tcW w:w="140" w:type="dxa"/>
            <w:tcBorders/>
            <w:vAlign w:val="center"/>
          </w:tcPr>
          <w:p>
            <w:pPr>
              <w:pStyle w:val="TableContents"/>
              <w:bidi w:val="0"/>
              <w:spacing w:before="0" w:after="0"/>
              <w:jc w:val="left"/>
              <w:rPr>
                <w:color w:val="4C4C4C"/>
              </w:rPr>
            </w:pPr>
            <w:r>
              <w:rPr>
                <w:color w:val="4C4C4C"/>
              </w:rPr>
              <w:t>•</w:t>
            </w:r>
          </w:p>
        </w:tc>
        <w:tc>
          <w:tcPr>
            <w:tcW w:w="7040"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preparing the annual compensation committee report required by SEC rules; and</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C4C4C"/>
              </w:rPr>
            </w:pPr>
            <w:r>
              <w:rPr>
                <w:color w:val="4C4C4C"/>
              </w:rPr>
              <w:t>•</w:t>
            </w:r>
          </w:p>
        </w:tc>
        <w:tc>
          <w:tcPr>
            <w:tcW w:w="10065" w:type="dxa"/>
            <w:tcBorders/>
            <w:vAlign w:val="center"/>
          </w:tcPr>
          <w:p>
            <w:pPr>
              <w:pStyle w:val="TableContents"/>
              <w:bidi w:val="0"/>
              <w:spacing w:before="0" w:after="0"/>
              <w:jc w:val="both"/>
              <w:rPr>
                <w:rFonts w:ascii="Arial;Helvetica;sans-serif" w:hAnsi="Arial;Helvetica;sans-serif"/>
                <w:color w:val="4C4C4C"/>
                <w:sz w:val="20"/>
              </w:rPr>
            </w:pPr>
            <w:r>
              <w:rPr>
                <w:rFonts w:ascii="Arial;Helvetica;sans-serif" w:hAnsi="Arial;Helvetica;sans-serif"/>
                <w:color w:val="4C4C4C"/>
                <w:sz w:val="20"/>
              </w:rPr>
              <w:t>conducting a review of executive officer succession planning, as necessary, reporting its findings and recommendations to the board, and working with the board in evaluating potential successors to executive officer positions.</w:t>
            </w:r>
          </w:p>
        </w:tc>
      </w:tr>
    </w:tbl>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current members of the compensation committee are Haiping Dun, who serves as chair, and Tracy Liu. Each of the compensation committee members is standing for re-election at the Annual Meeting. The board has determined that each of Dr. Dun and Ms. Liu is independent, as defined in the listing standards of Nasdaq, is a “non-employee director” as defined in Rule 16b-3 promulgated under the Securities Exchange Act.</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compensation committee held one meeting in 2024, which was attended by both of the members. The compensation committee has the sole authority to retain, oversee and terminate any compensation consultant to be used to assist in the evaluation of executive compensation and to approve the consultant’s fees and retention terms.</w:t>
      </w:r>
    </w:p>
    <w:p>
      <w:pPr>
        <w:pStyle w:val="TextBody"/>
        <w:bidi w:val="0"/>
        <w:spacing w:before="280" w:after="283"/>
        <w:ind w:left="0" w:right="0" w:hanging="0"/>
        <w:jc w:val="left"/>
        <w:rPr>
          <w:rFonts w:ascii="Arial;Helvetica;sans-serif" w:hAnsi="Arial;Helvetica;sans-serif"/>
          <w:b/>
          <w:color w:val="0079C1"/>
          <w:sz w:val="24"/>
        </w:rPr>
      </w:pPr>
      <w:bookmarkStart w:id="39" w:name="tCCI"/>
      <w:bookmarkEnd w:id="39"/>
      <w:r>
        <w:rPr>
          <w:rFonts w:ascii="Arial;Helvetica;sans-serif" w:hAnsi="Arial;Helvetica;sans-serif"/>
          <w:b/>
          <w:color w:val="0079C1"/>
          <w:sz w:val="24"/>
        </w:rPr>
        <w:t>Compensation Committee Interlocks and Insider Participation</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During 2024, none of the members of the compensation committee was an officer or employee of our company or our subsidiaries and none of our executive officers served as a member of the board of directors or compensation committee of any entity that has one or more executive officers serving on the board or compensation committee.</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16</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0" w:name="ny20042784x1_def14a_110-certain_pg1"/>
        <w:bookmarkEnd w:id="40"/>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Arial;Helvetica;sans-serif" w:hAnsi="Arial;Helvetica;sans-serif"/>
          <w:b/>
          <w:color w:val="0D3F64"/>
          <w:sz w:val="28"/>
        </w:rPr>
      </w:pPr>
      <w:bookmarkStart w:id="41" w:name="tCRA"/>
      <w:bookmarkEnd w:id="41"/>
      <w:r>
        <w:rPr>
          <w:rFonts w:ascii="Arial;Helvetica;sans-serif" w:hAnsi="Arial;Helvetica;sans-serif"/>
          <w:b/>
          <w:color w:val="0D3F64"/>
          <w:sz w:val="28"/>
        </w:rPr>
        <w:t>Certain Relationships and Related-Person Transactions</w:t>
      </w:r>
    </w:p>
    <w:p>
      <w:pPr>
        <w:pStyle w:val="TextBody"/>
        <w:bidi w:val="0"/>
        <w:spacing w:before="36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In October 2017, the board of directors adopted a Conflict of Interest Policy applicable to all directors, officers and employees of our company and our subsidiaries. We have posted the Conflict of Interest Policy on our website at </w:t>
      </w:r>
      <w:r>
        <w:rPr>
          <w:rFonts w:ascii="Arial;Helvetica;sans-serif" w:hAnsi="Arial;Helvetica;sans-serif"/>
          <w:i/>
          <w:color w:val="4C4C4C"/>
          <w:sz w:val="20"/>
        </w:rPr>
        <w:t>ir.acmr.com/corporate-governance/highlights</w:t>
      </w:r>
      <w:r>
        <w:rPr>
          <w:rFonts w:ascii="Arial;Helvetica;sans-serif" w:hAnsi="Arial;Helvetica;sans-serif"/>
          <w:color w:val="4C4C4C"/>
          <w:sz w:val="20"/>
        </w:rPr>
        <w:t>. We will post any amendments to the Conflict of Interest Policy on our website.</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Conflict of Interest Policy requires each director and executive officer, including their immediate family members, to provide written notice of any potential related-party transaction, which is defined in the policy to mirror the definition of Item 404 of Regulation S-K (with the exception that the policy includes a monetary threshold of $100,000 as opposed to the threshold of $120,000 set by Item 404 of Regulation S-K) to the Chair of the Board (or to the Chief Executive Officer if such transaction involves the Chair of the Board, or to the Chief Financial Officer if such transaction involves the Chief Executive Officer), including all information that the Chair of the Board, the Chief Executive Officer or the Chief Financial Officer may request. Upon receiving all relevant information, the board may approve the transaction if it determines that the transaction is in the best interests of, and fair to, us, may require modifications to the transaction to make it acceptable for approval, or may reject it. The board may also establish guidelines for ongoing management of a specific related-party transaction. The policy requires that continuing related-party transactions are reviewed on at least an annual basis. Additionally, the policy requires that all directors and executive officers complete a questionnaire in connection with each of our annual proxy statements, in which they are asked to disclose family relationships and other related-party transactions. Pursuant to its charter, the audit committee is also responsible for reviewing, approving and overseeing related-party transactions that meet the requirement of Item 404 of Regulation S-k.</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Since January 1, 2024, we have not been a party to any transactions in which the amount involved exceeded or will exceed $120,000 and in which any of our directors, executive officers or beneficial owners of more than 5% of any series or class of our preferred or common stock, or an affiliate or immediate family member thereof, had or will have a direct or indirect material interest, other than compensation, termination and change-in-control arrangements. </w:t>
      </w:r>
    </w:p>
    <w:p>
      <w:pPr>
        <w:pStyle w:val="TextBody"/>
        <w:bidi w:val="0"/>
        <w:spacing w:before="280" w:after="283"/>
        <w:ind w:left="0" w:right="0" w:hanging="0"/>
        <w:jc w:val="left"/>
        <w:rPr>
          <w:rFonts w:ascii="Arial;Helvetica;sans-serif" w:hAnsi="Arial;Helvetica;sans-serif"/>
          <w:b/>
          <w:color w:val="0079C1"/>
          <w:sz w:val="24"/>
        </w:rPr>
      </w:pPr>
      <w:r>
        <w:rPr>
          <w:rFonts w:ascii="Arial;Helvetica;sans-serif" w:hAnsi="Arial;Helvetica;sans-serif"/>
          <w:b/>
          <w:color w:val="0079C1"/>
          <w:sz w:val="24"/>
        </w:rPr>
        <w:t>Director and Executive Compensation and Indemnification Agreements</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Please see “Director Compensation,” “Executive Compensation” and “Compensation Discussion and Analysis” for discussion of the compensation of our non-employee directors and certain of our executive officers.</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We have entered into indemnification agreements with our directors and executive officers. Under these agreements, we agree to indemnify, to the fullest extent permitted by Delaware law (subject to certain limitations), each of our directors and executive officers against any and all expenses incurred by the director or executive officer in connection with proceedings because of his or her status as one of our directors or executive officers. In addition, these indemnification agreements provide that, to the fullest extent permitted by Delaware law, we will pay for all expenses incurred by our directors and executive officers in connection with a legal proceeding arising out of their service to us.</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17</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2" w:name="ny20042784x1_def14a_111-director_pg1"/>
        <w:bookmarkEnd w:id="4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Arial;Helvetica;sans-serif" w:hAnsi="Arial;Helvetica;sans-serif"/>
          <w:b/>
          <w:color w:val="0D3F64"/>
          <w:sz w:val="28"/>
        </w:rPr>
      </w:pPr>
      <w:bookmarkStart w:id="43" w:name="tDC"/>
      <w:bookmarkEnd w:id="43"/>
      <w:r>
        <w:rPr>
          <w:rFonts w:ascii="Arial;Helvetica;sans-serif" w:hAnsi="Arial;Helvetica;sans-serif"/>
          <w:b/>
          <w:color w:val="0D3F64"/>
          <w:sz w:val="28"/>
        </w:rPr>
        <w:t>Director Compensation</w:t>
      </w:r>
    </w:p>
    <w:p>
      <w:pPr>
        <w:pStyle w:val="TextBody"/>
        <w:bidi w:val="0"/>
        <w:spacing w:before="36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Our director compensation program is intended to enhance our ability to attract, retain and motivate non-employee directors of exceptional ability and to promote the common interest of directors and stockholders in enhancing the value of the common stock. The program addresses the time, effort, expertise, and accountability required of active board membership. The board of directors reviews director compensation periodically based on recommendations by the compensation committee. </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Directors may be reimbursed for reasonable out-of-pocket expenses incurred in attending board and committee meetings.</w:t>
      </w:r>
    </w:p>
    <w:p>
      <w:pPr>
        <w:pStyle w:val="TextBody"/>
        <w:bidi w:val="0"/>
        <w:spacing w:before="290" w:after="283"/>
        <w:ind w:left="0" w:right="0" w:hanging="0"/>
        <w:jc w:val="left"/>
        <w:rPr>
          <w:rFonts w:ascii="Arial;Helvetica;sans-serif" w:hAnsi="Arial;Helvetica;sans-serif"/>
          <w:b/>
          <w:color w:val="0079C1"/>
          <w:sz w:val="24"/>
        </w:rPr>
      </w:pPr>
      <w:r>
        <w:rPr>
          <w:rFonts w:ascii="Arial;Helvetica;sans-serif" w:hAnsi="Arial;Helvetica;sans-serif"/>
          <w:b/>
          <w:color w:val="0079C1"/>
          <w:sz w:val="24"/>
        </w:rPr>
        <w:t>Fiscal Year 2024</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In July 2024, the board adopted a director compensation policy with respect to compensation payable to our non-employee directors for 2024. The 2024 director compensation policy was adopted by the board in the form, and with the terms, recommended by the compensation committee. In making its recommendation, the compensation committee reviewed and considered competitive market data prepared by the compensation committee’s independent compensation consultant in 2023.</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Under the 2024 director compensation policy, each non-employee director was generally eligible to receive compensation for board and committee service consisting of annual cash retainers and stock options covering Class A common stock. For 2024, each of our non-employee directors was entitled to annual retainers (subject to proration for actual days served in 2024) per the following schedule:</w:t>
      </w:r>
    </w:p>
    <w:p>
      <w:pPr>
        <w:pStyle w:val="TextBody"/>
        <w:bidi w:val="0"/>
        <w:spacing w:before="250" w:after="283"/>
        <w:jc w:val="center"/>
        <w:rPr>
          <w:rFonts w:ascii="Arial;Helvetica;sans-serif" w:hAnsi="Arial;Helvetica;sans-serif"/>
          <w:b/>
          <w:color w:val="4C4C4C"/>
          <w:sz w:val="20"/>
        </w:rPr>
      </w:pPr>
      <w:r>
        <w:rPr>
          <w:rFonts w:ascii="Arial;Helvetica;sans-serif" w:hAnsi="Arial;Helvetica;sans-serif"/>
          <w:b/>
          <w:color w:val="4C4C4C"/>
          <w:sz w:val="20"/>
        </w:rPr>
        <w:t>DIRECTOR ANNUAL CASH RETAINERS</w:t>
      </w:r>
    </w:p>
    <w:tbl>
      <w:tblPr>
        <w:tblW w:w="6585" w:type="dxa"/>
        <w:jc w:val="left"/>
        <w:tblInd w:w="0" w:type="dxa"/>
        <w:tblLayout w:type="fixed"/>
        <w:tblCellMar>
          <w:top w:w="0" w:type="dxa"/>
          <w:left w:w="0" w:type="dxa"/>
          <w:bottom w:w="0" w:type="dxa"/>
          <w:right w:w="0" w:type="dxa"/>
        </w:tblCellMar>
      </w:tblPr>
      <w:tblGrid>
        <w:gridCol w:w="185"/>
        <w:gridCol w:w="4985"/>
        <w:gridCol w:w="170"/>
        <w:gridCol w:w="170"/>
        <w:gridCol w:w="860"/>
        <w:gridCol w:w="215"/>
      </w:tblGrid>
      <w:tr>
        <w:trPr/>
        <w:tc>
          <w:tcPr>
            <w:tcW w:w="185" w:type="dxa"/>
            <w:tcBorders/>
            <w:shd w:fill="0D3F64" w:val="clear"/>
            <w:vAlign w:val="center"/>
          </w:tcPr>
          <w:p>
            <w:pPr>
              <w:pStyle w:val="TableContents"/>
              <w:bidi w:val="0"/>
              <w:spacing w:before="0" w:after="0"/>
              <w:jc w:val="left"/>
              <w:rPr/>
            </w:pPr>
            <w:r>
              <w:rPr/>
              <w:t> </w:t>
            </w:r>
          </w:p>
        </w:tc>
        <w:tc>
          <w:tcPr>
            <w:tcW w:w="4985"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860" w:type="dxa"/>
            <w:tcBorders/>
            <w:shd w:fill="0D3F64" w:val="clear"/>
            <w:vAlign w:val="center"/>
          </w:tcPr>
          <w:p>
            <w:pPr>
              <w:pStyle w:val="TableContents"/>
              <w:bidi w:val="0"/>
              <w:spacing w:before="0" w:after="0"/>
              <w:jc w:val="left"/>
              <w:rPr/>
            </w:pPr>
            <w:r>
              <w:rPr/>
              <w:t> </w:t>
            </w:r>
          </w:p>
        </w:tc>
        <w:tc>
          <w:tcPr>
            <w:tcW w:w="215" w:type="dxa"/>
            <w:tcBorders/>
            <w:shd w:fill="0D3F64" w:val="clear"/>
            <w:vAlign w:val="center"/>
          </w:tcPr>
          <w:p>
            <w:pPr>
              <w:pStyle w:val="TableContents"/>
              <w:bidi w:val="0"/>
              <w:spacing w:before="0" w:after="0"/>
              <w:jc w:val="left"/>
              <w:rPr/>
            </w:pPr>
            <w:r>
              <w:rPr/>
              <w:t> </w:t>
            </w:r>
          </w:p>
        </w:tc>
      </w:tr>
      <w:tr>
        <w:trPr/>
        <w:tc>
          <w:tcPr>
            <w:tcW w:w="185" w:type="dxa"/>
            <w:tcBorders/>
            <w:shd w:fill="0D3F64" w:val="clear"/>
            <w:vAlign w:val="center"/>
          </w:tcPr>
          <w:p>
            <w:pPr>
              <w:pStyle w:val="TableContents"/>
              <w:bidi w:val="0"/>
              <w:spacing w:before="0" w:after="0"/>
              <w:jc w:val="left"/>
              <w:rPr/>
            </w:pPr>
            <w:r>
              <w:rPr/>
              <w:t> </w:t>
            </w:r>
          </w:p>
        </w:tc>
        <w:tc>
          <w:tcPr>
            <w:tcW w:w="4985" w:type="dxa"/>
            <w:tcBorders/>
            <w:shd w:fill="0D3F64" w:val="clear"/>
            <w:vAlign w:val="center"/>
          </w:tcPr>
          <w:p>
            <w:pPr>
              <w:pStyle w:val="TableContents"/>
              <w:bidi w:val="0"/>
              <w:spacing w:before="20" w:after="283"/>
              <w:ind w:left="20" w:right="0" w:hanging="0"/>
              <w:jc w:val="left"/>
              <w:rPr>
                <w:rFonts w:ascii="Arial;Helvetica;sans-serif" w:hAnsi="Arial;Helvetica;sans-serif"/>
                <w:b/>
                <w:color w:val="FFFFFF"/>
                <w:sz w:val="16"/>
              </w:rPr>
            </w:pPr>
            <w:r>
              <w:rPr>
                <w:rFonts w:ascii="Arial;Helvetica;sans-serif" w:hAnsi="Arial;Helvetica;sans-serif"/>
                <w:b/>
                <w:color w:val="FFFFFF"/>
                <w:sz w:val="16"/>
              </w:rPr>
              <w:t>Position</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860"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Retainer</w:t>
            </w:r>
          </w:p>
        </w:tc>
        <w:tc>
          <w:tcPr>
            <w:tcW w:w="215" w:type="dxa"/>
            <w:tcBorders/>
            <w:shd w:fill="0D3F6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985" w:type="dxa"/>
            <w:tcBorders/>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 xml:space="preserve">Lead Director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 xml:space="preserve">$ 37,000 </w:t>
            </w:r>
          </w:p>
        </w:tc>
        <w:tc>
          <w:tcPr>
            <w:tcW w:w="215" w:type="dxa"/>
            <w:tcBorders/>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4985" w:type="dxa"/>
            <w:tcBorders/>
            <w:shd w:fill="BAE2F8" w:val="clear"/>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 xml:space="preserve">Other Directors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860"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 xml:space="preserve">27,750 </w:t>
            </w:r>
          </w:p>
        </w:tc>
        <w:tc>
          <w:tcPr>
            <w:tcW w:w="215" w:type="dxa"/>
            <w:tcBorders/>
            <w:shd w:fill="BAE2F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985" w:type="dxa"/>
            <w:tcBorders/>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 xml:space="preserve">Audit Committee Chair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 xml:space="preserve">9,000 </w:t>
            </w:r>
          </w:p>
        </w:tc>
        <w:tc>
          <w:tcPr>
            <w:tcW w:w="215" w:type="dxa"/>
            <w:tcBorders/>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4985" w:type="dxa"/>
            <w:tcBorders/>
            <w:shd w:fill="BAE2F8" w:val="clear"/>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 xml:space="preserve">Other Audit Committee Members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860"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 xml:space="preserve">6,000 </w:t>
            </w:r>
          </w:p>
        </w:tc>
        <w:tc>
          <w:tcPr>
            <w:tcW w:w="215" w:type="dxa"/>
            <w:tcBorders/>
            <w:shd w:fill="BAE2F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985" w:type="dxa"/>
            <w:tcBorders/>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 xml:space="preserve">Compensation Committee Chair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 xml:space="preserve">9,000 </w:t>
            </w:r>
          </w:p>
        </w:tc>
        <w:tc>
          <w:tcPr>
            <w:tcW w:w="215" w:type="dxa"/>
            <w:tcBorders/>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4985" w:type="dxa"/>
            <w:tcBorders/>
            <w:shd w:fill="BAE2F8" w:val="clear"/>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 xml:space="preserve">Other Compensation Committee Members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860"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 xml:space="preserve">6,000 </w:t>
            </w:r>
          </w:p>
        </w:tc>
        <w:tc>
          <w:tcPr>
            <w:tcW w:w="215" w:type="dxa"/>
            <w:tcBorders/>
            <w:shd w:fill="BAE2F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985" w:type="dxa"/>
            <w:tcBorders/>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 xml:space="preserve">Nominating and Governance Committee Chair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 xml:space="preserve">9,000 </w:t>
            </w:r>
          </w:p>
        </w:tc>
        <w:tc>
          <w:tcPr>
            <w:tcW w:w="215" w:type="dxa"/>
            <w:tcBorders/>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4985" w:type="dxa"/>
            <w:tcBorders/>
            <w:shd w:fill="BAE2F8" w:val="clear"/>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 xml:space="preserve">Other Nominating and Governance Committee Members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860"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w:t>
            </w:r>
            <w:r>
              <w:rPr>
                <w:rFonts w:ascii="Arial;Helvetica;sans-serif" w:hAnsi="Arial;Helvetica;sans-serif"/>
                <w:color w:val="4C4C4C"/>
                <w:sz w:val="20"/>
              </w:rPr>
              <w:t>6,000</w:t>
            </w:r>
          </w:p>
        </w:tc>
        <w:tc>
          <w:tcPr>
            <w:tcW w:w="215" w:type="dxa"/>
            <w:tcBorders/>
            <w:shd w:fill="BAE2F8" w:val="clear"/>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4985"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860" w:type="dxa"/>
            <w:tcBorders/>
            <w:shd w:fill="BAE2F8" w:val="clear"/>
            <w:vAlign w:val="center"/>
          </w:tcPr>
          <w:p>
            <w:pPr>
              <w:pStyle w:val="TableContents"/>
              <w:bidi w:val="0"/>
              <w:spacing w:before="0" w:after="0"/>
              <w:jc w:val="left"/>
              <w:rPr/>
            </w:pPr>
            <w:r>
              <w:rPr/>
              <w:t> </w:t>
            </w:r>
          </w:p>
        </w:tc>
        <w:tc>
          <w:tcPr>
            <w:tcW w:w="215" w:type="dxa"/>
            <w:tcBorders/>
            <w:shd w:fill="BAE2F8" w:val="clear"/>
            <w:vAlign w:val="center"/>
          </w:tcPr>
          <w:p>
            <w:pPr>
              <w:pStyle w:val="TableContents"/>
              <w:bidi w:val="0"/>
              <w:spacing w:before="0" w:after="0"/>
              <w:jc w:val="left"/>
              <w:rPr/>
            </w:pPr>
            <w:r>
              <w:rPr/>
              <w:t> </w:t>
            </w:r>
          </w:p>
        </w:tc>
      </w:tr>
    </w:tbl>
    <w:p>
      <w:pPr>
        <w:pStyle w:val="TextBody"/>
        <w:bidi w:val="0"/>
        <w:spacing w:before="32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Pursuant to the 2024 director compensation policy, each non-employee director of ACM Research elected at our 2024 Annual Meeting of Stockholders was granted a non-qualified stock option to acquire 20,000 shares of Class A common stock at a price equal to the closing price of Class A common stock on the grant date, which was $18.89 per share (the “Annual Options”). Each Annual Option vests, subject to continued board service, in full immediately prior to the 2025 Annual Meeting. </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We have entered into an agreement with Dr. Hu effective May 1, 2023 (the “Hu Agreement”), providing for consulting fees equal to $100,000 for one year, plus reimbursement of out of pocket expenses incurred as authorized by the Company in exchange for Dr. Hu’s assistance in developing the Company’s business of selling a range of ACM Production tools to major global semiconductor manufacturers. Dr. Hu was paid a fee of $33,333 for the twelve months ended December 31, 2024. The Hu Agreement expired on May 1, 2024, and all related payments were made, before the appointment of Dr. Hu to the audit committee effective as of November 15, 2024. Dr. Hu was subsequently replaced by Charles Pappis on the audit committee, effective as of March 15, 2025.</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18</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4" w:name="ny20042784x1_def14a_111-director_pg2"/>
        <w:bookmarkEnd w:id="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following table shows the total compensation for non-employee directors during 2024. David Wang, our sole executive officer who served as a member of the board during 2024, did not receive any additional compensation for such service as a director. Mr. Wang’s compensation for his service as an employee is discussed in the executive compensation disclosures below.</w:t>
      </w:r>
    </w:p>
    <w:p>
      <w:pPr>
        <w:pStyle w:val="TextBody"/>
        <w:bidi w:val="0"/>
        <w:spacing w:before="240" w:after="283"/>
        <w:jc w:val="center"/>
        <w:rPr>
          <w:rFonts w:ascii="Arial;Helvetica;sans-serif" w:hAnsi="Arial;Helvetica;sans-serif"/>
          <w:b/>
          <w:color w:val="4C4C4C"/>
          <w:sz w:val="20"/>
        </w:rPr>
      </w:pPr>
      <w:r>
        <w:rPr>
          <w:rFonts w:ascii="Arial;Helvetica;sans-serif" w:hAnsi="Arial;Helvetica;sans-serif"/>
          <w:b/>
          <w:color w:val="4C4C4C"/>
          <w:sz w:val="20"/>
        </w:rPr>
        <w:t>2024 DIRECTOR COMPENSATION</w:t>
      </w:r>
    </w:p>
    <w:tbl>
      <w:tblPr>
        <w:tblW w:w="8925" w:type="dxa"/>
        <w:jc w:val="left"/>
        <w:tblInd w:w="0" w:type="dxa"/>
        <w:tblLayout w:type="fixed"/>
        <w:tblCellMar>
          <w:top w:w="0" w:type="dxa"/>
          <w:left w:w="0" w:type="dxa"/>
          <w:bottom w:w="0" w:type="dxa"/>
          <w:right w:w="0" w:type="dxa"/>
        </w:tblCellMar>
      </w:tblPr>
      <w:tblGrid>
        <w:gridCol w:w="185"/>
        <w:gridCol w:w="1700"/>
        <w:gridCol w:w="170"/>
        <w:gridCol w:w="170"/>
        <w:gridCol w:w="1460"/>
        <w:gridCol w:w="170"/>
        <w:gridCol w:w="170"/>
        <w:gridCol w:w="1670"/>
        <w:gridCol w:w="170"/>
        <w:gridCol w:w="170"/>
        <w:gridCol w:w="1430"/>
        <w:gridCol w:w="170"/>
        <w:gridCol w:w="170"/>
        <w:gridCol w:w="905"/>
        <w:gridCol w:w="215"/>
      </w:tblGrid>
      <w:tr>
        <w:trPr/>
        <w:tc>
          <w:tcPr>
            <w:tcW w:w="185" w:type="dxa"/>
            <w:tcBorders/>
            <w:shd w:fill="0D3F64" w:val="clear"/>
            <w:vAlign w:val="center"/>
          </w:tcPr>
          <w:p>
            <w:pPr>
              <w:pStyle w:val="TableContents"/>
              <w:bidi w:val="0"/>
              <w:spacing w:before="0" w:after="0"/>
              <w:jc w:val="left"/>
              <w:rPr/>
            </w:pPr>
            <w:r>
              <w:rPr/>
              <w:t> </w:t>
            </w:r>
          </w:p>
        </w:tc>
        <w:tc>
          <w:tcPr>
            <w:tcW w:w="170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46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6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43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905" w:type="dxa"/>
            <w:tcBorders/>
            <w:shd w:fill="0D3F64" w:val="clear"/>
            <w:vAlign w:val="center"/>
          </w:tcPr>
          <w:p>
            <w:pPr>
              <w:pStyle w:val="TableContents"/>
              <w:bidi w:val="0"/>
              <w:spacing w:before="0" w:after="0"/>
              <w:jc w:val="left"/>
              <w:rPr/>
            </w:pPr>
            <w:r>
              <w:rPr/>
              <w:t> </w:t>
            </w:r>
          </w:p>
        </w:tc>
        <w:tc>
          <w:tcPr>
            <w:tcW w:w="215" w:type="dxa"/>
            <w:tcBorders/>
            <w:shd w:fill="0D3F64" w:val="clear"/>
            <w:vAlign w:val="center"/>
          </w:tcPr>
          <w:p>
            <w:pPr>
              <w:pStyle w:val="TableContents"/>
              <w:bidi w:val="0"/>
              <w:spacing w:before="0" w:after="0"/>
              <w:jc w:val="left"/>
              <w:rPr/>
            </w:pPr>
            <w:r>
              <w:rPr/>
              <w:t> </w:t>
            </w:r>
          </w:p>
        </w:tc>
      </w:tr>
      <w:tr>
        <w:trPr/>
        <w:tc>
          <w:tcPr>
            <w:tcW w:w="185" w:type="dxa"/>
            <w:tcBorders/>
            <w:shd w:fill="0D3F64" w:val="clear"/>
            <w:vAlign w:val="center"/>
          </w:tcPr>
          <w:p>
            <w:pPr>
              <w:pStyle w:val="TableContents"/>
              <w:bidi w:val="0"/>
              <w:spacing w:before="0" w:after="0"/>
              <w:jc w:val="left"/>
              <w:rPr/>
            </w:pPr>
            <w:r>
              <w:rPr/>
              <w:t> </w:t>
            </w:r>
          </w:p>
        </w:tc>
        <w:tc>
          <w:tcPr>
            <w:tcW w:w="1700" w:type="dxa"/>
            <w:tcBorders/>
            <w:shd w:fill="0D3F64" w:val="clear"/>
            <w:vAlign w:val="center"/>
          </w:tcPr>
          <w:p>
            <w:pPr>
              <w:pStyle w:val="TableContents"/>
              <w:bidi w:val="0"/>
              <w:spacing w:before="20" w:after="283"/>
              <w:ind w:left="20" w:right="0" w:hanging="0"/>
              <w:jc w:val="left"/>
              <w:rPr>
                <w:rFonts w:ascii="Arial;Helvetica;sans-serif" w:hAnsi="Arial;Helvetica;sans-serif"/>
                <w:b/>
                <w:color w:val="FFFFFF"/>
                <w:sz w:val="16"/>
              </w:rPr>
            </w:pPr>
            <w:r>
              <w:rPr>
                <w:rFonts w:ascii="Arial;Helvetica;sans-serif" w:hAnsi="Arial;Helvetica;sans-serif"/>
                <w:b/>
                <w:color w:val="FFFFFF"/>
                <w:sz w:val="16"/>
              </w:rPr>
              <w:t>Director</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460"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Fees Earned or</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Paid in Cash($)(1)</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670"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Option Awards($)(2)</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430"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All Other</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Compensation($)</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905"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Total($)</w:t>
            </w:r>
          </w:p>
        </w:tc>
        <w:tc>
          <w:tcPr>
            <w:tcW w:w="215" w:type="dxa"/>
            <w:tcBorders/>
            <w:shd w:fill="0D3F6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Haiping Dun(3)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ind w:left="412" w:right="0" w:hanging="0"/>
              <w:jc w:val="left"/>
              <w:rPr>
                <w:rFonts w:ascii="Arial;Helvetica;sans-serif" w:hAnsi="Arial;Helvetica;sans-serif"/>
                <w:color w:val="4C4C4C"/>
                <w:sz w:val="20"/>
              </w:rPr>
            </w:pPr>
            <w:r>
              <w:rPr>
                <w:rFonts w:ascii="Arial;Helvetica;sans-serif" w:hAnsi="Arial;Helvetica;sans-serif"/>
                <w:color w:val="4C4C4C"/>
                <w:sz w:val="20"/>
              </w:rPr>
              <w:t xml:space="preserve">$44,333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0" w:type="dxa"/>
            <w:tcBorders/>
            <w:vAlign w:val="center"/>
          </w:tcPr>
          <w:p>
            <w:pPr>
              <w:pStyle w:val="TableContents"/>
              <w:bidi w:val="0"/>
              <w:spacing w:before="0" w:after="283"/>
              <w:ind w:left="361" w:right="0" w:hanging="0"/>
              <w:jc w:val="left"/>
              <w:rPr>
                <w:rFonts w:ascii="Arial;Helvetica;sans-serif" w:hAnsi="Arial;Helvetica;sans-serif"/>
                <w:color w:val="4C4C4C"/>
                <w:sz w:val="20"/>
              </w:rPr>
            </w:pPr>
            <w:r>
              <w:rPr>
                <w:rFonts w:ascii="Arial;Helvetica;sans-serif" w:hAnsi="Arial;Helvetica;sans-serif"/>
                <w:color w:val="4C4C4C"/>
                <w:sz w:val="20"/>
              </w:rPr>
              <w:t xml:space="preserve">$268,400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382" w:right="0" w:hanging="0"/>
              <w:jc w:val="left"/>
              <w:rPr>
                <w:color w:val="4C4C4C"/>
              </w:rPr>
            </w:pPr>
            <w:r>
              <w:rPr>
                <w:color w:val="4C4C4C"/>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361" w:right="0" w:hanging="0"/>
              <w:jc w:val="left"/>
              <w:rPr>
                <w:rFonts w:ascii="Arial;Helvetica;sans-serif" w:hAnsi="Arial;Helvetica;sans-serif"/>
                <w:color w:val="4C4C4C"/>
                <w:sz w:val="20"/>
              </w:rPr>
            </w:pPr>
            <w:r>
              <w:rPr>
                <w:rFonts w:ascii="Arial;Helvetica;sans-serif" w:hAnsi="Arial;Helvetica;sans-serif"/>
                <w:color w:val="4C4C4C"/>
                <w:sz w:val="20"/>
              </w:rPr>
              <w:t xml:space="preserve">$312,733 </w:t>
            </w:r>
          </w:p>
        </w:tc>
        <w:tc>
          <w:tcPr>
            <w:tcW w:w="215" w:type="dxa"/>
            <w:tcBorders/>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1700" w:type="dxa"/>
            <w:tcBorders/>
            <w:shd w:fill="BAE2F8" w:val="clear"/>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Chenming C. Hu(3)</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460" w:type="dxa"/>
            <w:tcBorders/>
            <w:shd w:fill="BAE2F8" w:val="clear"/>
            <w:vAlign w:val="center"/>
          </w:tcPr>
          <w:p>
            <w:pPr>
              <w:pStyle w:val="TableContents"/>
              <w:bidi w:val="0"/>
              <w:spacing w:before="0" w:after="283"/>
              <w:ind w:left="412" w:right="0" w:hanging="0"/>
              <w:jc w:val="left"/>
              <w:rPr>
                <w:rFonts w:ascii="Arial;Helvetica;sans-serif" w:hAnsi="Arial;Helvetica;sans-serif"/>
                <w:color w:val="4C4C4C"/>
                <w:sz w:val="20"/>
              </w:rPr>
            </w:pPr>
            <w:r>
              <w:rPr>
                <w:rFonts w:ascii="Arial;Helvetica;sans-serif" w:hAnsi="Arial;Helvetica;sans-serif"/>
                <w:color w:val="4C4C4C"/>
                <w:sz w:val="20"/>
              </w:rPr>
              <w:t>31,250</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670" w:type="dxa"/>
            <w:tcBorders/>
            <w:shd w:fill="BAE2F8" w:val="clear"/>
            <w:vAlign w:val="center"/>
          </w:tcPr>
          <w:p>
            <w:pPr>
              <w:pStyle w:val="TableContents"/>
              <w:bidi w:val="0"/>
              <w:spacing w:before="0" w:after="283"/>
              <w:ind w:left="361" w:right="0" w:hanging="0"/>
              <w:jc w:val="left"/>
              <w:rPr>
                <w:rFonts w:ascii="Arial;Helvetica;sans-serif" w:hAnsi="Arial;Helvetica;sans-serif"/>
                <w:color w:val="4C4C4C"/>
                <w:sz w:val="20"/>
              </w:rPr>
            </w:pPr>
            <w:r>
              <w:rPr>
                <w:rFonts w:ascii="Arial;Helvetica;sans-serif" w:hAnsi="Arial;Helvetica;sans-serif"/>
                <w:color w:val="4C4C4C"/>
                <w:sz w:val="20"/>
              </w:rPr>
              <w:t xml:space="preserve">268,400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430" w:type="dxa"/>
            <w:tcBorders/>
            <w:shd w:fill="BAE2F8" w:val="clear"/>
            <w:vAlign w:val="center"/>
          </w:tcPr>
          <w:p>
            <w:pPr>
              <w:pStyle w:val="TableContents"/>
              <w:bidi w:val="0"/>
              <w:spacing w:before="0" w:after="283"/>
              <w:ind w:left="382" w:right="0" w:hanging="0"/>
              <w:jc w:val="left"/>
              <w:rPr>
                <w:rFonts w:ascii="Arial;Helvetica;sans-serif" w:hAnsi="Arial;Helvetica;sans-serif"/>
                <w:color w:val="4C4C4C"/>
                <w:sz w:val="20"/>
              </w:rPr>
            </w:pPr>
            <w:r>
              <w:rPr>
                <w:rFonts w:ascii="Arial;Helvetica;sans-serif" w:hAnsi="Arial;Helvetica;sans-serif"/>
                <w:color w:val="4C4C4C"/>
                <w:sz w:val="20"/>
              </w:rPr>
              <w:t xml:space="preserve">33,333(5)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905" w:type="dxa"/>
            <w:tcBorders/>
            <w:shd w:fill="BAE2F8" w:val="clear"/>
            <w:vAlign w:val="center"/>
          </w:tcPr>
          <w:p>
            <w:pPr>
              <w:pStyle w:val="TableContents"/>
              <w:bidi w:val="0"/>
              <w:spacing w:before="0" w:after="283"/>
              <w:ind w:left="361" w:right="0" w:hanging="0"/>
              <w:jc w:val="left"/>
              <w:rPr>
                <w:rFonts w:ascii="Arial;Helvetica;sans-serif" w:hAnsi="Arial;Helvetica;sans-serif"/>
                <w:color w:val="4C4C4C"/>
                <w:sz w:val="20"/>
              </w:rPr>
            </w:pPr>
            <w:r>
              <w:rPr>
                <w:rFonts w:ascii="Arial;Helvetica;sans-serif" w:hAnsi="Arial;Helvetica;sans-serif"/>
                <w:color w:val="4C4C4C"/>
                <w:sz w:val="20"/>
              </w:rPr>
              <w:t xml:space="preserve">332,983 </w:t>
            </w:r>
          </w:p>
        </w:tc>
        <w:tc>
          <w:tcPr>
            <w:tcW w:w="215" w:type="dxa"/>
            <w:tcBorders/>
            <w:shd w:fill="BAE2F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Tracy Liu(3)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ind w:left="412" w:right="0" w:hanging="0"/>
              <w:jc w:val="left"/>
              <w:rPr>
                <w:rFonts w:ascii="Arial;Helvetica;sans-serif" w:hAnsi="Arial;Helvetica;sans-serif"/>
                <w:color w:val="4C4C4C"/>
                <w:sz w:val="20"/>
              </w:rPr>
            </w:pPr>
            <w:r>
              <w:rPr>
                <w:rFonts w:ascii="Arial;Helvetica;sans-serif" w:hAnsi="Arial;Helvetica;sans-serif"/>
                <w:color w:val="4C4C4C"/>
                <w:sz w:val="20"/>
              </w:rPr>
              <w:t xml:space="preserve">41,250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0" w:type="dxa"/>
            <w:tcBorders/>
            <w:vAlign w:val="center"/>
          </w:tcPr>
          <w:p>
            <w:pPr>
              <w:pStyle w:val="TableContents"/>
              <w:bidi w:val="0"/>
              <w:spacing w:before="0" w:after="283"/>
              <w:ind w:left="361" w:right="0" w:hanging="0"/>
              <w:jc w:val="left"/>
              <w:rPr>
                <w:rFonts w:ascii="Arial;Helvetica;sans-serif" w:hAnsi="Arial;Helvetica;sans-serif"/>
                <w:color w:val="4C4C4C"/>
                <w:sz w:val="20"/>
              </w:rPr>
            </w:pPr>
            <w:r>
              <w:rPr>
                <w:rFonts w:ascii="Arial;Helvetica;sans-serif" w:hAnsi="Arial;Helvetica;sans-serif"/>
                <w:color w:val="4C4C4C"/>
                <w:sz w:val="20"/>
              </w:rPr>
              <w:t xml:space="preserve">268,400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382" w:right="0" w:hanging="0"/>
              <w:jc w:val="left"/>
              <w:rPr>
                <w:color w:val="4C4C4C"/>
              </w:rPr>
            </w:pPr>
            <w:r>
              <w:rPr>
                <w:color w:val="4C4C4C"/>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361" w:right="0" w:hanging="0"/>
              <w:jc w:val="left"/>
              <w:rPr>
                <w:rFonts w:ascii="Arial;Helvetica;sans-serif" w:hAnsi="Arial;Helvetica;sans-serif"/>
                <w:color w:val="4C4C4C"/>
                <w:sz w:val="20"/>
              </w:rPr>
            </w:pPr>
            <w:r>
              <w:rPr>
                <w:rFonts w:ascii="Arial;Helvetica;sans-serif" w:hAnsi="Arial;Helvetica;sans-serif"/>
                <w:color w:val="4C4C4C"/>
                <w:sz w:val="20"/>
              </w:rPr>
              <w:t xml:space="preserve">309,650 </w:t>
            </w:r>
          </w:p>
        </w:tc>
        <w:tc>
          <w:tcPr>
            <w:tcW w:w="215" w:type="dxa"/>
            <w:tcBorders/>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1700" w:type="dxa"/>
            <w:tcBorders/>
            <w:shd w:fill="BAE2F8" w:val="clear"/>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Xiao Xing(4)</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460" w:type="dxa"/>
            <w:tcBorders/>
            <w:shd w:fill="BAE2F8" w:val="clear"/>
            <w:vAlign w:val="center"/>
          </w:tcPr>
          <w:p>
            <w:pPr>
              <w:pStyle w:val="TableContents"/>
              <w:bidi w:val="0"/>
              <w:spacing w:before="0" w:after="283"/>
              <w:ind w:left="412" w:right="0" w:hanging="0"/>
              <w:jc w:val="left"/>
              <w:rPr>
                <w:color w:val="4C4C4C"/>
              </w:rPr>
            </w:pPr>
            <w:r>
              <w:rPr>
                <w:color w:val="4C4C4C"/>
              </w:rPr>
              <w:t xml:space="preserve">—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670" w:type="dxa"/>
            <w:tcBorders/>
            <w:shd w:fill="BAE2F8" w:val="clear"/>
            <w:vAlign w:val="center"/>
          </w:tcPr>
          <w:p>
            <w:pPr>
              <w:pStyle w:val="TableContents"/>
              <w:bidi w:val="0"/>
              <w:spacing w:before="0" w:after="283"/>
              <w:ind w:left="361" w:right="0" w:hanging="0"/>
              <w:jc w:val="left"/>
              <w:rPr>
                <w:color w:val="4C4C4C"/>
              </w:rPr>
            </w:pPr>
            <w:r>
              <w:rPr>
                <w:color w:val="4C4C4C"/>
              </w:rPr>
              <w:t xml:space="preserve">—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430" w:type="dxa"/>
            <w:tcBorders/>
            <w:shd w:fill="BAE2F8" w:val="clear"/>
            <w:vAlign w:val="center"/>
          </w:tcPr>
          <w:p>
            <w:pPr>
              <w:pStyle w:val="TableContents"/>
              <w:bidi w:val="0"/>
              <w:spacing w:before="0" w:after="283"/>
              <w:ind w:left="382" w:right="0" w:hanging="0"/>
              <w:jc w:val="left"/>
              <w:rPr>
                <w:color w:val="4C4C4C"/>
              </w:rPr>
            </w:pPr>
            <w:r>
              <w:rPr>
                <w:color w:val="4C4C4C"/>
              </w:rPr>
              <w:t xml:space="preserve">—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905" w:type="dxa"/>
            <w:tcBorders/>
            <w:shd w:fill="BAE2F8" w:val="clear"/>
            <w:vAlign w:val="center"/>
          </w:tcPr>
          <w:p>
            <w:pPr>
              <w:pStyle w:val="TableContents"/>
              <w:bidi w:val="0"/>
              <w:spacing w:before="0" w:after="283"/>
              <w:ind w:left="361" w:right="0" w:hanging="0"/>
              <w:jc w:val="left"/>
              <w:rPr>
                <w:color w:val="4C4C4C"/>
              </w:rPr>
            </w:pPr>
            <w:r>
              <w:rPr>
                <w:color w:val="4C4C4C"/>
              </w:rPr>
              <w:t>—</w:t>
            </w:r>
          </w:p>
        </w:tc>
        <w:tc>
          <w:tcPr>
            <w:tcW w:w="215" w:type="dxa"/>
            <w:tcBorders/>
            <w:shd w:fill="BAE2F8" w:val="clear"/>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170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46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6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43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905" w:type="dxa"/>
            <w:tcBorders/>
            <w:shd w:fill="BAE2F8" w:val="clear"/>
            <w:vAlign w:val="center"/>
          </w:tcPr>
          <w:p>
            <w:pPr>
              <w:pStyle w:val="TableContents"/>
              <w:bidi w:val="0"/>
              <w:spacing w:before="0" w:after="0"/>
              <w:jc w:val="left"/>
              <w:rPr/>
            </w:pPr>
            <w:r>
              <w:rPr/>
              <w:t> </w:t>
            </w:r>
          </w:p>
        </w:tc>
        <w:tc>
          <w:tcPr>
            <w:tcW w:w="215" w:type="dxa"/>
            <w:tcBorders/>
            <w:shd w:fill="BAE2F8" w:val="clear"/>
            <w:vAlign w:val="center"/>
          </w:tcPr>
          <w:p>
            <w:pPr>
              <w:pStyle w:val="TableContents"/>
              <w:bidi w:val="0"/>
              <w:spacing w:before="0" w:after="0"/>
              <w:jc w:val="left"/>
              <w:rPr/>
            </w:pPr>
            <w:r>
              <w:rPr/>
              <w:t> </w:t>
            </w:r>
          </w:p>
        </w:tc>
      </w:tr>
    </w:tbl>
    <w:tbl>
      <w:tblPr>
        <w:tblW w:w="5590" w:type="dxa"/>
        <w:jc w:val="left"/>
        <w:tblInd w:w="0" w:type="dxa"/>
        <w:tblLayout w:type="fixed"/>
        <w:tblCellMar>
          <w:top w:w="0" w:type="dxa"/>
          <w:left w:w="0" w:type="dxa"/>
          <w:bottom w:w="0" w:type="dxa"/>
          <w:right w:w="0" w:type="dxa"/>
        </w:tblCellMar>
      </w:tblPr>
      <w:tblGrid>
        <w:gridCol w:w="260"/>
        <w:gridCol w:w="5330"/>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533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Annual cash retainers to our non-employee directors are paid in arrears.</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9999"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The amounts shown represent the aggregate grant date fair value, determined in accordance with Financial Accounting Standards Board Accounting Standards Codification Topic 718, Compensation—Stock Compensation, excluding estimated forfeitures, of non-qualified stock options granted on August 12, 2024 to acquire, subject to vesting, a total of 20,000 shares. Each Annual Option vests, subject to continued board service, in full immediately prior to the 2025 Annual Meeting. For assumptions made in valuing these awards and related information, see Note 2 to our consolidated financial statements included in our Annual Report on Form 10-K for the fiscal year ended December 31, 2024. As of December 31, 2024, (a) Dr. Dun held unexercised stock options for 188,001 shares of Class A common stock, (b) Dr. Hu held unexercised stock options for 63,000 shares of Class A common stock, (c) Ms. Liu held unexercised stock options for 182,500 shares of Class A common stock, and (d) Ms. Xing did not hold any unexercised stock options for Class A common stock.</w:t>
            </w:r>
          </w:p>
        </w:tc>
      </w:tr>
    </w:tbl>
    <w:tbl>
      <w:tblPr>
        <w:tblW w:w="3250" w:type="dxa"/>
        <w:jc w:val="left"/>
        <w:tblInd w:w="0" w:type="dxa"/>
        <w:tblLayout w:type="fixed"/>
        <w:tblCellMar>
          <w:top w:w="0" w:type="dxa"/>
          <w:left w:w="0" w:type="dxa"/>
          <w:bottom w:w="0" w:type="dxa"/>
          <w:right w:w="0" w:type="dxa"/>
        </w:tblCellMar>
      </w:tblPr>
      <w:tblGrid>
        <w:gridCol w:w="260"/>
        <w:gridCol w:w="2990"/>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299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Chair of a board committee during 2024.</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(4)</w:t>
            </w:r>
          </w:p>
        </w:tc>
        <w:tc>
          <w:tcPr>
            <w:tcW w:w="994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Ms. Xing resigned her board position effective November 15, 2024 and did not receive any option or cash retainers for 2024 board service.</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(5)</w:t>
            </w:r>
          </w:p>
        </w:tc>
        <w:tc>
          <w:tcPr>
            <w:tcW w:w="9976"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This amount represents additional fees paid to Mr. Hu in 2024 under the Hu Agreement. The Hu Agreement expired on May 1, 2024, and all related payments were made, before the appointment of Dr. Hu to the audit committee effective as of November 15, 2024.</w:t>
            </w:r>
          </w:p>
        </w:tc>
      </w:tr>
    </w:tbl>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Under our Restated Insider Trading Policy, directors, as well as their family members, may not hedge or pledge any ACM securities that they hold directly. An exception to this prohibition may be granted where a person wishes to pledge ACM securities as collateral for a loan (not including margin debt) and clearly demonstrates the financial capacity to repay the loan without resort to the pledged securities. Any director, as well as their family members, who wishes to pledge ACM securities as collateral for a loan must submit a request for approval to the chief financial officer at least two weeks prior to the proposed execution of documents evidencing the proposed pledge, except that any proposed pledge by the chief financial officer must be submitted to and either approved or prohibited by the chief executive officer.</w:t>
      </w:r>
    </w:p>
    <w:p>
      <w:pPr>
        <w:pStyle w:val="TextBody"/>
        <w:bidi w:val="0"/>
        <w:spacing w:before="280" w:after="283"/>
        <w:ind w:left="0" w:right="0" w:hanging="0"/>
        <w:jc w:val="left"/>
        <w:rPr>
          <w:rFonts w:ascii="Arial;Helvetica;sans-serif" w:hAnsi="Arial;Helvetica;sans-serif"/>
          <w:b/>
          <w:color w:val="0079C1"/>
          <w:sz w:val="24"/>
        </w:rPr>
      </w:pPr>
      <w:r>
        <w:rPr>
          <w:rFonts w:ascii="Arial;Helvetica;sans-serif" w:hAnsi="Arial;Helvetica;sans-serif"/>
          <w:b/>
          <w:color w:val="0079C1"/>
          <w:sz w:val="24"/>
        </w:rPr>
        <w:t>Director Indemnification Agreements</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We have entered into indemnification agreements with our directors. Please see “Certain Relationships and Related-Person Transactions—Director and Executive Compensation and Indemnification Agreements” above for additional details.</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19</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5" w:name="ny20042784x1_def14a_112-prop1_pg1"/>
        <w:bookmarkEnd w:id="45"/>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Arial;Helvetica;sans-serif" w:hAnsi="Arial;Helvetica;sans-serif"/>
          <w:b/>
          <w:color w:val="0D3F64"/>
          <w:sz w:val="28"/>
        </w:rPr>
      </w:pPr>
      <w:bookmarkStart w:id="46" w:name="tPROP1"/>
      <w:bookmarkEnd w:id="46"/>
      <w:r>
        <w:rPr>
          <w:rFonts w:ascii="Arial;Helvetica;sans-serif" w:hAnsi="Arial;Helvetica;sans-serif"/>
          <w:b/>
          <w:color w:val="0D3F64"/>
          <w:sz w:val="28"/>
        </w:rPr>
        <w:t xml:space="preserve">Proposal </w:t>
      </w:r>
      <w:r>
        <w:rPr>
          <w:rFonts w:ascii="Arial;Helvetica;sans-serif" w:hAnsi="Arial;Helvetica;sans-serif"/>
          <w:b/>
          <w:color w:val="0D3F64"/>
          <w:sz w:val="28"/>
        </w:rPr>
        <w:drawing>
          <wp:inline distT="0" distB="0" distL="0" distR="0">
            <wp:extent cx="276225" cy="276225"/>
            <wp:effectExtent l="0" t="0" r="0" b="0"/>
            <wp:docPr id="2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8" descr=""/>
                    <pic:cNvPicPr>
                      <a:picLocks noChangeAspect="1" noChangeArrowheads="1"/>
                    </pic:cNvPicPr>
                  </pic:nvPicPr>
                  <pic:blipFill>
                    <a:blip r:embed="rId22"/>
                    <a:stretch>
                      <a:fillRect/>
                    </a:stretch>
                  </pic:blipFill>
                  <pic:spPr bwMode="auto">
                    <a:xfrm>
                      <a:off x="0" y="0"/>
                      <a:ext cx="276225" cy="276225"/>
                    </a:xfrm>
                    <a:prstGeom prst="rect">
                      <a:avLst/>
                    </a:prstGeom>
                  </pic:spPr>
                </pic:pic>
              </a:graphicData>
            </a:graphic>
          </wp:inline>
        </w:drawing>
      </w:r>
      <w:r>
        <w:rPr>
          <w:rFonts w:ascii="Arial;Helvetica;sans-serif" w:hAnsi="Arial;Helvetica;sans-serif"/>
          <w:b/>
          <w:color w:val="0D3F64"/>
          <w:sz w:val="28"/>
        </w:rPr>
        <w:t> — Election of Directors</w:t>
      </w:r>
    </w:p>
    <w:p>
      <w:pPr>
        <w:pStyle w:val="TextBody"/>
        <w:bidi w:val="0"/>
        <w:spacing w:before="36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At the Annual Meeting, stockholders will elect the entire board of directors to serve for the ensuing year and until their successors are elected and qualified. The board has designated as nominees for election the four persons named below, all of whom currently serve as directors. Shares of common stock that are voted as recommended by the board will be voted in favor of the election as directors of the nominees named below. </w:t>
      </w:r>
    </w:p>
    <w:p>
      <w:pPr>
        <w:pStyle w:val="TextBody"/>
        <w:bidi w:val="0"/>
        <w:spacing w:before="280" w:after="283"/>
        <w:ind w:left="0" w:right="0" w:hanging="0"/>
        <w:jc w:val="left"/>
        <w:rPr>
          <w:rFonts w:ascii="Arial;Helvetica;sans-serif" w:hAnsi="Arial;Helvetica;sans-serif"/>
          <w:b/>
          <w:color w:val="0079C1"/>
          <w:sz w:val="24"/>
        </w:rPr>
      </w:pPr>
      <w:bookmarkStart w:id="47" w:name="tDQ"/>
      <w:bookmarkEnd w:id="47"/>
      <w:r>
        <w:rPr>
          <w:rFonts w:ascii="Arial;Helvetica;sans-serif" w:hAnsi="Arial;Helvetica;sans-serif"/>
          <w:b/>
          <w:color w:val="0079C1"/>
          <w:sz w:val="24"/>
        </w:rPr>
        <w:t>Director Qualifications</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The board of directors has determined that, as a whole, it must have the right mix of characteristics, skills and diversity to provide effective oversight of our company. The nominating and governance committee has adopted Qualifications for Nomination to the board, a copy of which is posted on our website at </w:t>
      </w:r>
      <w:r>
        <w:rPr>
          <w:rFonts w:ascii="Arial;Helvetica;sans-serif" w:hAnsi="Arial;Helvetica;sans-serif"/>
          <w:i/>
          <w:color w:val="4C4C4C"/>
          <w:sz w:val="20"/>
        </w:rPr>
        <w:t xml:space="preserve">ir.acmr.com/corporate-governance/highlights. </w:t>
      </w:r>
      <w:r>
        <w:rPr>
          <w:rFonts w:ascii="Arial;Helvetica;sans-serif" w:hAnsi="Arial;Helvetica;sans-serif"/>
          <w:color w:val="4C4C4C"/>
          <w:sz w:val="20"/>
        </w:rPr>
        <w:t>The Qualifications for Nomination provide that, in selecting directors, the board should seek to achieve a mix of directors that enhances the diversity of background, skills and experience on the board, including with respect to age, gender, international background, ethnicity and specialized experience. Directors should have relevant expertise and experience and be able to offer advice and guidance to our Chief Executive Officer based on that expertise and experience. Also, a majority of directors should be independent under applicable Nasdaq listing standards, board and committee guidelines, and applicable laws and regulations. Each director is also expected to:</w:t>
      </w:r>
    </w:p>
    <w:tbl>
      <w:tblPr>
        <w:tblW w:w="8245" w:type="dxa"/>
        <w:jc w:val="left"/>
        <w:tblInd w:w="0" w:type="dxa"/>
        <w:tblLayout w:type="fixed"/>
        <w:tblCellMar>
          <w:top w:w="0" w:type="dxa"/>
          <w:left w:w="0" w:type="dxa"/>
          <w:bottom w:w="0" w:type="dxa"/>
          <w:right w:w="0" w:type="dxa"/>
        </w:tblCellMar>
      </w:tblPr>
      <w:tblGrid>
        <w:gridCol w:w="140"/>
        <w:gridCol w:w="8105"/>
      </w:tblGrid>
      <w:tr>
        <w:trPr/>
        <w:tc>
          <w:tcPr>
            <w:tcW w:w="140" w:type="dxa"/>
            <w:tcBorders/>
            <w:vAlign w:val="center"/>
          </w:tcPr>
          <w:p>
            <w:pPr>
              <w:pStyle w:val="TableContents"/>
              <w:bidi w:val="0"/>
              <w:spacing w:before="0" w:after="0"/>
              <w:jc w:val="left"/>
              <w:rPr>
                <w:color w:val="4C4C4C"/>
              </w:rPr>
            </w:pPr>
            <w:r>
              <w:rPr>
                <w:color w:val="4C4C4C"/>
              </w:rPr>
              <w:t>•</w:t>
            </w:r>
          </w:p>
        </w:tc>
        <w:tc>
          <w:tcPr>
            <w:tcW w:w="8105"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be of the highest ethical character and share our values as reflected in our Code of Conduct;</w:t>
            </w:r>
          </w:p>
        </w:tc>
      </w:tr>
    </w:tbl>
    <w:tbl>
      <w:tblPr>
        <w:tblW w:w="7420" w:type="dxa"/>
        <w:jc w:val="left"/>
        <w:tblInd w:w="0" w:type="dxa"/>
        <w:tblLayout w:type="fixed"/>
        <w:tblCellMar>
          <w:top w:w="0" w:type="dxa"/>
          <w:left w:w="0" w:type="dxa"/>
          <w:bottom w:w="0" w:type="dxa"/>
          <w:right w:w="0" w:type="dxa"/>
        </w:tblCellMar>
      </w:tblPr>
      <w:tblGrid>
        <w:gridCol w:w="140"/>
        <w:gridCol w:w="7280"/>
      </w:tblGrid>
      <w:tr>
        <w:trPr/>
        <w:tc>
          <w:tcPr>
            <w:tcW w:w="140" w:type="dxa"/>
            <w:tcBorders/>
            <w:vAlign w:val="center"/>
          </w:tcPr>
          <w:p>
            <w:pPr>
              <w:pStyle w:val="TableContents"/>
              <w:bidi w:val="0"/>
              <w:spacing w:before="0" w:after="0"/>
              <w:jc w:val="left"/>
              <w:rPr>
                <w:color w:val="4C4C4C"/>
              </w:rPr>
            </w:pPr>
            <w:r>
              <w:rPr>
                <w:color w:val="4C4C4C"/>
              </w:rPr>
              <w:t>•</w:t>
            </w:r>
          </w:p>
        </w:tc>
        <w:tc>
          <w:tcPr>
            <w:tcW w:w="7280"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be highly accomplished in his or her field, with superior credentials and recognition;</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C4C4C"/>
              </w:rPr>
            </w:pPr>
            <w:r>
              <w:rPr>
                <w:color w:val="4C4C4C"/>
              </w:rPr>
              <w:t>•</w:t>
            </w:r>
          </w:p>
        </w:tc>
        <w:tc>
          <w:tcPr>
            <w:tcW w:w="10065" w:type="dxa"/>
            <w:tcBorders/>
            <w:vAlign w:val="center"/>
          </w:tcPr>
          <w:p>
            <w:pPr>
              <w:pStyle w:val="TableContents"/>
              <w:bidi w:val="0"/>
              <w:spacing w:before="0" w:after="0"/>
              <w:jc w:val="both"/>
              <w:rPr>
                <w:rFonts w:ascii="Arial;Helvetica;sans-serif" w:hAnsi="Arial;Helvetica;sans-serif"/>
                <w:color w:val="4C4C4C"/>
                <w:sz w:val="20"/>
              </w:rPr>
            </w:pPr>
            <w:r>
              <w:rPr>
                <w:rFonts w:ascii="Arial;Helvetica;sans-serif" w:hAnsi="Arial;Helvetica;sans-serif"/>
                <w:color w:val="4C4C4C"/>
                <w:sz w:val="20"/>
              </w:rPr>
              <w:t>have sound business judgment, be able to work effectively with others, have sufficient time to devote to our affairs, and be free from conflicts of interest; and</w:t>
            </w:r>
          </w:p>
        </w:tc>
      </w:tr>
    </w:tbl>
    <w:tbl>
      <w:tblPr>
        <w:tblW w:w="8095" w:type="dxa"/>
        <w:jc w:val="left"/>
        <w:tblInd w:w="0" w:type="dxa"/>
        <w:tblLayout w:type="fixed"/>
        <w:tblCellMar>
          <w:top w:w="0" w:type="dxa"/>
          <w:left w:w="0" w:type="dxa"/>
          <w:bottom w:w="0" w:type="dxa"/>
          <w:right w:w="0" w:type="dxa"/>
        </w:tblCellMar>
      </w:tblPr>
      <w:tblGrid>
        <w:gridCol w:w="140"/>
        <w:gridCol w:w="7955"/>
      </w:tblGrid>
      <w:tr>
        <w:trPr/>
        <w:tc>
          <w:tcPr>
            <w:tcW w:w="140" w:type="dxa"/>
            <w:tcBorders/>
            <w:vAlign w:val="center"/>
          </w:tcPr>
          <w:p>
            <w:pPr>
              <w:pStyle w:val="TableContents"/>
              <w:bidi w:val="0"/>
              <w:spacing w:before="0" w:after="0"/>
              <w:jc w:val="left"/>
              <w:rPr>
                <w:color w:val="4C4C4C"/>
              </w:rPr>
            </w:pPr>
            <w:r>
              <w:rPr>
                <w:color w:val="4C4C4C"/>
              </w:rPr>
              <w:t>•</w:t>
            </w:r>
          </w:p>
        </w:tc>
        <w:tc>
          <w:tcPr>
            <w:tcW w:w="7955"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be independent of any particular constituency and able to represent all of our stockholders.</w:t>
            </w:r>
          </w:p>
        </w:tc>
      </w:tr>
    </w:tbl>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board is to conduct a self-assessment process every year and to periodically review the diversity of skills and characteristics needed in the board’s oversight of our company, as well as the effectiveness of the mix of skills and experience. The board considers the skill areas represented on the board, those skill areas represented by any directors who are expected to retire or leave the board in the near future, and recommendations of directors regarding skills that could improve the ability of the board to carry out its responsibilities. Although we do not have a formal diversity policy, the nominating and governance committee seeks to identify candidates who will enhance the board’s overall diversity.</w:t>
      </w:r>
    </w:p>
    <w:p>
      <w:pPr>
        <w:pStyle w:val="TextBody"/>
        <w:bidi w:val="0"/>
        <w:spacing w:before="280" w:after="283"/>
        <w:ind w:left="0" w:right="0" w:hanging="0"/>
        <w:jc w:val="left"/>
        <w:rPr>
          <w:rFonts w:ascii="Arial;Helvetica;sans-serif" w:hAnsi="Arial;Helvetica;sans-serif"/>
          <w:b/>
          <w:color w:val="0079C1"/>
          <w:sz w:val="24"/>
        </w:rPr>
      </w:pPr>
      <w:bookmarkStart w:id="48" w:name="tIAE"/>
      <w:bookmarkEnd w:id="48"/>
      <w:r>
        <w:rPr>
          <w:rFonts w:ascii="Arial;Helvetica;sans-serif" w:hAnsi="Arial;Helvetica;sans-serif"/>
          <w:b/>
          <w:color w:val="0079C1"/>
          <w:sz w:val="24"/>
        </w:rPr>
        <w:t>Identifying and Evaluating Nominees for Directors</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When the board of directors or its nominating and governance committee has identified the need to add a new director with specific qualifications or to fill a vacancy on the board, the chair of the nominating and governance committee will initiate a search, seeking input from other directors and senior management, review any candidates that the nominating and governance committee has previously identified, and, if necessary, hire a search firm. The nominating and governance committee will identify the initial list of candidates who satisfy the specific criteria and otherwise qualify for membership on the board. At least one member of the nominating and governance committee (preferably the chair) and the Chair of the Board and Chief Executive Officer will interview each qualified candidate; other directors will also interview the candidate if practicable. Based on a satisfactory outcome of those interviews, the nominating and governance committee will make its recommendation on the candidate to the board.</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Our bylaws include a procedure that stockholders must follow in order to nominate a person for election as a director at an annual meeting of stockholders. The Bylaws require that timely notice of the nomination in proper written form, including all required information, be provided to the Corporate Secretary.</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20</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9" w:name="ny20042784x1_def14a_112-prop1_pg2"/>
        <w:bookmarkEnd w:id="49"/>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079C1"/>
          <w:sz w:val="24"/>
        </w:rPr>
      </w:pPr>
      <w:bookmarkStart w:id="50" w:name="tICN"/>
      <w:bookmarkEnd w:id="50"/>
      <w:r>
        <w:rPr>
          <w:rFonts w:ascii="Arial;Helvetica;sans-serif" w:hAnsi="Arial;Helvetica;sans-serif"/>
          <w:b/>
          <w:color w:val="0079C1"/>
          <w:sz w:val="24"/>
        </w:rPr>
        <w:t>Information Concerning Nominees for Election as Directors</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information appearing in the following table sets forth, for each nominee for election as a director, as of April 15, 2025:</w:t>
      </w:r>
    </w:p>
    <w:tbl>
      <w:tblPr>
        <w:tblW w:w="6280" w:type="dxa"/>
        <w:jc w:val="left"/>
        <w:tblInd w:w="0" w:type="dxa"/>
        <w:tblLayout w:type="fixed"/>
        <w:tblCellMar>
          <w:top w:w="0" w:type="dxa"/>
          <w:left w:w="0" w:type="dxa"/>
          <w:bottom w:w="0" w:type="dxa"/>
          <w:right w:w="0" w:type="dxa"/>
        </w:tblCellMar>
      </w:tblPr>
      <w:tblGrid>
        <w:gridCol w:w="140"/>
        <w:gridCol w:w="6140"/>
      </w:tblGrid>
      <w:tr>
        <w:trPr/>
        <w:tc>
          <w:tcPr>
            <w:tcW w:w="140" w:type="dxa"/>
            <w:tcBorders/>
            <w:vAlign w:val="center"/>
          </w:tcPr>
          <w:p>
            <w:pPr>
              <w:pStyle w:val="TableContents"/>
              <w:bidi w:val="0"/>
              <w:spacing w:before="0" w:after="0"/>
              <w:jc w:val="left"/>
              <w:rPr>
                <w:color w:val="4C4C4C"/>
              </w:rPr>
            </w:pPr>
            <w:r>
              <w:rPr>
                <w:color w:val="4C4C4C"/>
              </w:rPr>
              <w:t>•</w:t>
            </w:r>
          </w:p>
        </w:tc>
        <w:tc>
          <w:tcPr>
            <w:tcW w:w="6140"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the nominee’s professional experience for at least the past five years;</w:t>
            </w:r>
          </w:p>
        </w:tc>
      </w:tr>
    </w:tbl>
    <w:tbl>
      <w:tblPr>
        <w:tblW w:w="5755" w:type="dxa"/>
        <w:jc w:val="left"/>
        <w:tblInd w:w="0" w:type="dxa"/>
        <w:tblLayout w:type="fixed"/>
        <w:tblCellMar>
          <w:top w:w="0" w:type="dxa"/>
          <w:left w:w="0" w:type="dxa"/>
          <w:bottom w:w="0" w:type="dxa"/>
          <w:right w:w="0" w:type="dxa"/>
        </w:tblCellMar>
      </w:tblPr>
      <w:tblGrid>
        <w:gridCol w:w="140"/>
        <w:gridCol w:w="5615"/>
      </w:tblGrid>
      <w:tr>
        <w:trPr/>
        <w:tc>
          <w:tcPr>
            <w:tcW w:w="140" w:type="dxa"/>
            <w:tcBorders/>
            <w:vAlign w:val="center"/>
          </w:tcPr>
          <w:p>
            <w:pPr>
              <w:pStyle w:val="TableContents"/>
              <w:bidi w:val="0"/>
              <w:spacing w:before="0" w:after="0"/>
              <w:jc w:val="left"/>
              <w:rPr>
                <w:color w:val="4C4C4C"/>
              </w:rPr>
            </w:pPr>
            <w:r>
              <w:rPr>
                <w:color w:val="4C4C4C"/>
              </w:rPr>
              <w:t>•</w:t>
            </w:r>
          </w:p>
        </w:tc>
        <w:tc>
          <w:tcPr>
            <w:tcW w:w="5615"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the year in which the nominee first became one of our directors;</w:t>
            </w:r>
          </w:p>
        </w:tc>
      </w:tr>
    </w:tbl>
    <w:tbl>
      <w:tblPr>
        <w:tblW w:w="7210" w:type="dxa"/>
        <w:jc w:val="left"/>
        <w:tblInd w:w="0" w:type="dxa"/>
        <w:tblLayout w:type="fixed"/>
        <w:tblCellMar>
          <w:top w:w="0" w:type="dxa"/>
          <w:left w:w="0" w:type="dxa"/>
          <w:bottom w:w="0" w:type="dxa"/>
          <w:right w:w="0" w:type="dxa"/>
        </w:tblCellMar>
      </w:tblPr>
      <w:tblGrid>
        <w:gridCol w:w="140"/>
        <w:gridCol w:w="7070"/>
      </w:tblGrid>
      <w:tr>
        <w:trPr/>
        <w:tc>
          <w:tcPr>
            <w:tcW w:w="140" w:type="dxa"/>
            <w:tcBorders/>
            <w:vAlign w:val="center"/>
          </w:tcPr>
          <w:p>
            <w:pPr>
              <w:pStyle w:val="TableContents"/>
              <w:bidi w:val="0"/>
              <w:spacing w:before="0" w:after="0"/>
              <w:jc w:val="left"/>
              <w:rPr>
                <w:color w:val="4C4C4C"/>
              </w:rPr>
            </w:pPr>
            <w:r>
              <w:rPr>
                <w:color w:val="4C4C4C"/>
              </w:rPr>
              <w:t>•</w:t>
            </w:r>
          </w:p>
        </w:tc>
        <w:tc>
          <w:tcPr>
            <w:tcW w:w="7070"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each committee of the board of directors on which the nominee currently serves;</w:t>
            </w:r>
          </w:p>
        </w:tc>
      </w:tr>
    </w:tbl>
    <w:tbl>
      <w:tblPr>
        <w:tblW w:w="5755" w:type="dxa"/>
        <w:jc w:val="left"/>
        <w:tblInd w:w="0" w:type="dxa"/>
        <w:tblLayout w:type="fixed"/>
        <w:tblCellMar>
          <w:top w:w="0" w:type="dxa"/>
          <w:left w:w="0" w:type="dxa"/>
          <w:bottom w:w="0" w:type="dxa"/>
          <w:right w:w="0" w:type="dxa"/>
        </w:tblCellMar>
      </w:tblPr>
      <w:tblGrid>
        <w:gridCol w:w="140"/>
        <w:gridCol w:w="5615"/>
      </w:tblGrid>
      <w:tr>
        <w:trPr/>
        <w:tc>
          <w:tcPr>
            <w:tcW w:w="140" w:type="dxa"/>
            <w:tcBorders/>
            <w:vAlign w:val="center"/>
          </w:tcPr>
          <w:p>
            <w:pPr>
              <w:pStyle w:val="TableContents"/>
              <w:bidi w:val="0"/>
              <w:spacing w:before="0" w:after="0"/>
              <w:jc w:val="left"/>
              <w:rPr>
                <w:color w:val="4C4C4C"/>
              </w:rPr>
            </w:pPr>
            <w:r>
              <w:rPr>
                <w:color w:val="4C4C4C"/>
              </w:rPr>
              <w:t>•</w:t>
            </w:r>
          </w:p>
        </w:tc>
        <w:tc>
          <w:tcPr>
            <w:tcW w:w="5615"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the nominee’s age as of the record date for the Annual Meeting;</w:t>
            </w:r>
          </w:p>
        </w:tc>
      </w:tr>
    </w:tbl>
    <w:tbl>
      <w:tblPr>
        <w:tblW w:w="8650" w:type="dxa"/>
        <w:jc w:val="left"/>
        <w:tblInd w:w="0" w:type="dxa"/>
        <w:tblLayout w:type="fixed"/>
        <w:tblCellMar>
          <w:top w:w="0" w:type="dxa"/>
          <w:left w:w="0" w:type="dxa"/>
          <w:bottom w:w="0" w:type="dxa"/>
          <w:right w:w="0" w:type="dxa"/>
        </w:tblCellMar>
      </w:tblPr>
      <w:tblGrid>
        <w:gridCol w:w="140"/>
        <w:gridCol w:w="8510"/>
      </w:tblGrid>
      <w:tr>
        <w:trPr/>
        <w:tc>
          <w:tcPr>
            <w:tcW w:w="140" w:type="dxa"/>
            <w:tcBorders/>
            <w:vAlign w:val="center"/>
          </w:tcPr>
          <w:p>
            <w:pPr>
              <w:pStyle w:val="TableContents"/>
              <w:bidi w:val="0"/>
              <w:spacing w:before="0" w:after="0"/>
              <w:jc w:val="left"/>
              <w:rPr>
                <w:color w:val="4C4C4C"/>
              </w:rPr>
            </w:pPr>
            <w:r>
              <w:rPr>
                <w:color w:val="4C4C4C"/>
              </w:rPr>
              <w:t>•</w:t>
            </w:r>
          </w:p>
        </w:tc>
        <w:tc>
          <w:tcPr>
            <w:tcW w:w="8510"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the relevant skills the nominee possesses that qualify him or her for nomination to the board; and</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C4C4C"/>
              </w:rPr>
            </w:pPr>
            <w:r>
              <w:rPr>
                <w:color w:val="4C4C4C"/>
              </w:rPr>
              <w:t>•</w:t>
            </w:r>
          </w:p>
        </w:tc>
        <w:tc>
          <w:tcPr>
            <w:tcW w:w="10065" w:type="dxa"/>
            <w:tcBorders/>
            <w:vAlign w:val="center"/>
          </w:tcPr>
          <w:p>
            <w:pPr>
              <w:pStyle w:val="TableContents"/>
              <w:bidi w:val="0"/>
              <w:spacing w:before="0" w:after="0"/>
              <w:jc w:val="both"/>
              <w:rPr>
                <w:rFonts w:ascii="Arial;Helvetica;sans-serif" w:hAnsi="Arial;Helvetica;sans-serif"/>
                <w:color w:val="4C4C4C"/>
                <w:sz w:val="20"/>
              </w:rPr>
            </w:pPr>
            <w:r>
              <w:rPr>
                <w:rFonts w:ascii="Arial;Helvetica;sans-serif" w:hAnsi="Arial;Helvetica;sans-serif"/>
                <w:color w:val="4C4C4C"/>
                <w:sz w:val="20"/>
              </w:rPr>
              <w:t>directorships held by each nominee presently and at any time during the past five years at any public company or registered investment company.</w:t>
            </w:r>
          </w:p>
        </w:tc>
      </w:tr>
    </w:tbl>
    <w:tbl>
      <w:tblPr>
        <w:tblW w:w="10205" w:type="dxa"/>
        <w:jc w:val="left"/>
        <w:tblInd w:w="0" w:type="dxa"/>
        <w:tblLayout w:type="fixed"/>
        <w:tblCellMar>
          <w:top w:w="0" w:type="dxa"/>
          <w:left w:w="0" w:type="dxa"/>
          <w:bottom w:w="0" w:type="dxa"/>
          <w:right w:w="0" w:type="dxa"/>
        </w:tblCellMar>
      </w:tblPr>
      <w:tblGrid>
        <w:gridCol w:w="2245"/>
        <w:gridCol w:w="229"/>
        <w:gridCol w:w="229"/>
        <w:gridCol w:w="1636"/>
        <w:gridCol w:w="170"/>
        <w:gridCol w:w="170"/>
        <w:gridCol w:w="2295"/>
        <w:gridCol w:w="238"/>
        <w:gridCol w:w="238"/>
        <w:gridCol w:w="2755"/>
      </w:tblGrid>
      <w:tr>
        <w:trPr/>
        <w:tc>
          <w:tcPr>
            <w:tcW w:w="2245" w:type="dxa"/>
            <w:tcBorders/>
            <w:vAlign w:val="center"/>
          </w:tcPr>
          <w:p>
            <w:pPr>
              <w:pStyle w:val="TableContents"/>
              <w:bidi w:val="0"/>
              <w:spacing w:before="0" w:after="0"/>
              <w:jc w:val="left"/>
              <w:rPr/>
            </w:pPr>
            <w:r>
              <w:rPr/>
              <w:t> </w:t>
            </w:r>
          </w:p>
        </w:tc>
        <w:tc>
          <w:tcPr>
            <w:tcW w:w="229" w:type="dxa"/>
            <w:tcBorders/>
            <w:vAlign w:val="center"/>
          </w:tcPr>
          <w:p>
            <w:pPr>
              <w:pStyle w:val="TableContents"/>
              <w:bidi w:val="0"/>
              <w:spacing w:before="0" w:after="0"/>
              <w:jc w:val="left"/>
              <w:rPr/>
            </w:pPr>
            <w:r>
              <w:rPr/>
              <w:t> </w:t>
            </w:r>
          </w:p>
        </w:tc>
        <w:tc>
          <w:tcPr>
            <w:tcW w:w="229" w:type="dxa"/>
            <w:tcBorders/>
            <w:vAlign w:val="center"/>
          </w:tcPr>
          <w:p>
            <w:pPr>
              <w:pStyle w:val="TableContents"/>
              <w:bidi w:val="0"/>
              <w:spacing w:before="0" w:after="0"/>
              <w:jc w:val="left"/>
              <w:rPr/>
            </w:pPr>
            <w:r>
              <w:rPr/>
              <w:t> </w:t>
            </w:r>
          </w:p>
        </w:tc>
        <w:tc>
          <w:tcPr>
            <w:tcW w:w="163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95" w:type="dxa"/>
            <w:tcBorders/>
            <w:vAlign w:val="center"/>
          </w:tcPr>
          <w:p>
            <w:pPr>
              <w:pStyle w:val="TableContents"/>
              <w:bidi w:val="0"/>
              <w:spacing w:before="0" w:after="0"/>
              <w:jc w:val="left"/>
              <w:rPr/>
            </w:pPr>
            <w:r>
              <w:rPr/>
              <w:t> </w:t>
            </w:r>
          </w:p>
        </w:tc>
        <w:tc>
          <w:tcPr>
            <w:tcW w:w="238" w:type="dxa"/>
            <w:tcBorders/>
            <w:vAlign w:val="center"/>
          </w:tcPr>
          <w:p>
            <w:pPr>
              <w:pStyle w:val="TableContents"/>
              <w:bidi w:val="0"/>
              <w:spacing w:before="0" w:after="0"/>
              <w:jc w:val="left"/>
              <w:rPr/>
            </w:pPr>
            <w:r>
              <w:rPr/>
              <w:t> </w:t>
            </w:r>
          </w:p>
        </w:tc>
        <w:tc>
          <w:tcPr>
            <w:tcW w:w="238" w:type="dxa"/>
            <w:tcBorders/>
            <w:vAlign w:val="center"/>
          </w:tcPr>
          <w:p>
            <w:pPr>
              <w:pStyle w:val="TableContents"/>
              <w:bidi w:val="0"/>
              <w:spacing w:before="0" w:after="0"/>
              <w:jc w:val="left"/>
              <w:rPr/>
            </w:pPr>
            <w:r>
              <w:rPr/>
              <w:t> </w:t>
            </w:r>
          </w:p>
        </w:tc>
        <w:tc>
          <w:tcPr>
            <w:tcW w:w="2755" w:type="dxa"/>
            <w:tcBorders/>
            <w:vAlign w:val="center"/>
          </w:tcPr>
          <w:p>
            <w:pPr>
              <w:pStyle w:val="TableContents"/>
              <w:bidi w:val="0"/>
              <w:spacing w:before="0" w:after="0"/>
              <w:jc w:val="left"/>
              <w:rPr/>
            </w:pPr>
            <w:r>
              <w:rPr/>
              <w:t> </w:t>
            </w:r>
          </w:p>
        </w:tc>
      </w:tr>
      <w:tr>
        <w:trPr/>
        <w:tc>
          <w:tcPr>
            <w:tcW w:w="2245" w:type="dxa"/>
            <w:tcBorders/>
            <w:vAlign w:val="center"/>
          </w:tcPr>
          <w:p>
            <w:pPr>
              <w:pStyle w:val="TableContents"/>
              <w:bidi w:val="0"/>
              <w:spacing w:before="0" w:after="283"/>
              <w:ind w:left="0" w:right="0" w:hanging="0"/>
              <w:jc w:val="left"/>
              <w:rPr>
                <w:color w:val="4C4C4C"/>
              </w:rPr>
            </w:pPr>
            <w:r>
              <w:rPr>
                <w:color w:val="4C4C4C"/>
              </w:rPr>
              <w:drawing>
                <wp:inline distT="0" distB="0" distL="0" distR="0">
                  <wp:extent cx="1028700" cy="1362075"/>
                  <wp:effectExtent l="0" t="0" r="0" b="0"/>
                  <wp:docPr id="2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9" descr=""/>
                          <pic:cNvPicPr>
                            <a:picLocks noChangeAspect="1" noChangeArrowheads="1"/>
                          </pic:cNvPicPr>
                        </pic:nvPicPr>
                        <pic:blipFill>
                          <a:blip r:embed="rId23"/>
                          <a:stretch>
                            <a:fillRect/>
                          </a:stretch>
                        </pic:blipFill>
                        <pic:spPr bwMode="auto">
                          <a:xfrm>
                            <a:off x="0" y="0"/>
                            <a:ext cx="1028700" cy="1362075"/>
                          </a:xfrm>
                          <a:prstGeom prst="rect">
                            <a:avLst/>
                          </a:prstGeom>
                        </pic:spPr>
                      </pic:pic>
                    </a:graphicData>
                  </a:graphic>
                </wp:inline>
              </w:drawing>
            </w:r>
          </w:p>
          <w:p>
            <w:pPr>
              <w:pStyle w:val="TableContents"/>
              <w:bidi w:val="0"/>
              <w:spacing w:before="0" w:after="283"/>
              <w:ind w:left="0" w:right="0" w:hanging="0"/>
              <w:jc w:val="left"/>
              <w:rPr>
                <w:color w:val="4C4C4C"/>
              </w:rPr>
            </w:pPr>
            <w:r>
              <w:rPr>
                <w:color w:val="4C4C4C"/>
              </w:rPr>
              <w:t> </w:t>
            </w:r>
          </w:p>
        </w:tc>
        <w:tc>
          <w:tcPr>
            <w:tcW w:w="229" w:type="dxa"/>
            <w:tcBorders/>
            <w:vAlign w:val="center"/>
          </w:tcPr>
          <w:p>
            <w:pPr>
              <w:pStyle w:val="TableContents"/>
              <w:bidi w:val="0"/>
              <w:spacing w:before="0" w:after="0"/>
              <w:jc w:val="left"/>
              <w:rPr/>
            </w:pPr>
            <w:r>
              <w:rPr/>
              <w:t> </w:t>
            </w:r>
          </w:p>
        </w:tc>
        <w:tc>
          <w:tcPr>
            <w:tcW w:w="229" w:type="dxa"/>
            <w:tcBorders/>
            <w:vAlign w:val="center"/>
          </w:tcPr>
          <w:p>
            <w:pPr>
              <w:pStyle w:val="TableContents"/>
              <w:bidi w:val="0"/>
              <w:spacing w:before="0" w:after="0"/>
              <w:jc w:val="left"/>
              <w:rPr/>
            </w:pPr>
            <w:r>
              <w:rPr/>
              <w:t> </w:t>
            </w:r>
          </w:p>
        </w:tc>
        <w:tc>
          <w:tcPr>
            <w:tcW w:w="1636" w:type="dxa"/>
            <w:tcBorders/>
            <w:vAlign w:val="center"/>
          </w:tcPr>
          <w:p>
            <w:pPr>
              <w:pStyle w:val="TableContents"/>
              <w:bidi w:val="0"/>
              <w:spacing w:before="0" w:after="283"/>
              <w:ind w:left="0" w:right="0" w:hanging="0"/>
              <w:jc w:val="left"/>
              <w:rPr>
                <w:rFonts w:ascii="Arial;Helvetica;sans-serif" w:hAnsi="Arial;Helvetica;sans-serif"/>
                <w:b/>
                <w:color w:val="4C4C4C"/>
                <w:sz w:val="20"/>
              </w:rPr>
            </w:pPr>
            <w:r>
              <w:rPr>
                <w:rFonts w:ascii="Arial;Helvetica;sans-serif" w:hAnsi="Arial;Helvetica;sans-serif"/>
                <w:b/>
                <w:color w:val="4C4C4C"/>
                <w:sz w:val="20"/>
              </w:rPr>
              <w:t>DAVID H. WANG</w:t>
            </w:r>
          </w:p>
          <w:p>
            <w:pPr>
              <w:pStyle w:val="TableContents"/>
              <w:bidi w:val="0"/>
              <w:spacing w:before="60" w:after="283"/>
              <w:ind w:left="0" w:right="0" w:hanging="0"/>
              <w:jc w:val="left"/>
              <w:rPr>
                <w:rFonts w:ascii="Arial;Helvetica;sans-serif" w:hAnsi="Arial;Helvetica;sans-serif"/>
                <w:b w:val="false"/>
                <w:color w:val="4C4C4C"/>
                <w:sz w:val="20"/>
              </w:rPr>
            </w:pPr>
            <w:r>
              <w:rPr>
                <w:rFonts w:ascii="Arial;Helvetica;sans-serif" w:hAnsi="Arial;Helvetica;sans-serif"/>
                <w:b w:val="false"/>
                <w:color w:val="4C4C4C"/>
                <w:sz w:val="20"/>
              </w:rPr>
              <w:t>Age: 63</w:t>
            </w:r>
          </w:p>
          <w:p>
            <w:pPr>
              <w:pStyle w:val="TableContents"/>
              <w:bidi w:val="0"/>
              <w:spacing w:before="40" w:after="283"/>
              <w:ind w:left="0" w:right="0" w:hanging="0"/>
              <w:jc w:val="left"/>
              <w:rPr>
                <w:rFonts w:ascii="Arial;Helvetica;sans-serif" w:hAnsi="Arial;Helvetica;sans-serif"/>
                <w:b w:val="false"/>
                <w:color w:val="4C4C4C"/>
                <w:sz w:val="20"/>
              </w:rPr>
            </w:pPr>
            <w:r>
              <w:rPr>
                <w:rFonts w:ascii="Arial;Helvetica;sans-serif" w:hAnsi="Arial;Helvetica;sans-serif"/>
                <w:b w:val="false"/>
                <w:color w:val="4C4C4C"/>
                <w:sz w:val="20"/>
              </w:rPr>
              <w:t>ACM Board Service</w:t>
            </w:r>
          </w:p>
          <w:p>
            <w:pPr>
              <w:pStyle w:val="TableContents"/>
              <w:bidi w:val="0"/>
              <w:spacing w:before="40" w:after="283"/>
              <w:ind w:left="0" w:right="0" w:hanging="0"/>
              <w:jc w:val="left"/>
              <w:rPr>
                <w:color w:val="4C4C4C"/>
              </w:rPr>
            </w:pPr>
            <w:r>
              <w:rPr>
                <w:color w:val="4C4C4C"/>
              </w:rPr>
              <w:t>• </w:t>
            </w:r>
          </w:p>
          <w:p>
            <w:pPr>
              <w:pStyle w:val="TableContents"/>
              <w:bidi w:val="0"/>
              <w:spacing w:before="40" w:after="283"/>
              <w:jc w:val="left"/>
              <w:rPr>
                <w:rFonts w:ascii="Arial;Helvetica;sans-serif" w:hAnsi="Arial;Helvetica;sans-serif"/>
                <w:b w:val="false"/>
                <w:color w:val="4C4C4C"/>
                <w:sz w:val="20"/>
              </w:rPr>
            </w:pPr>
            <w:r>
              <w:rPr>
                <w:rFonts w:ascii="Arial;Helvetica;sans-serif" w:hAnsi="Arial;Helvetica;sans-serif"/>
                <w:b w:val="false"/>
                <w:color w:val="4C4C4C"/>
                <w:sz w:val="20"/>
              </w:rPr>
              <w:t>Tenure: 27 years (1998)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95" w:type="dxa"/>
            <w:tcBorders/>
            <w:vAlign w:val="center"/>
          </w:tcPr>
          <w:p>
            <w:pPr>
              <w:pStyle w:val="TableContents"/>
              <w:bidi w:val="0"/>
              <w:spacing w:before="0" w:after="283"/>
              <w:ind w:left="0" w:right="0" w:hanging="0"/>
              <w:jc w:val="left"/>
              <w:rPr>
                <w:color w:val="4C4C4C"/>
              </w:rPr>
            </w:pPr>
            <w:r>
              <w:rPr>
                <w:color w:val="4C4C4C"/>
              </w:rPr>
              <w:drawing>
                <wp:inline distT="0" distB="0" distL="0" distR="0">
                  <wp:extent cx="1019175" cy="1362075"/>
                  <wp:effectExtent l="0" t="0" r="0" b="0"/>
                  <wp:docPr id="2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0" descr=""/>
                          <pic:cNvPicPr>
                            <a:picLocks noChangeAspect="1" noChangeArrowheads="1"/>
                          </pic:cNvPicPr>
                        </pic:nvPicPr>
                        <pic:blipFill>
                          <a:blip r:embed="rId24"/>
                          <a:stretch>
                            <a:fillRect/>
                          </a:stretch>
                        </pic:blipFill>
                        <pic:spPr bwMode="auto">
                          <a:xfrm>
                            <a:off x="0" y="0"/>
                            <a:ext cx="1019175" cy="1362075"/>
                          </a:xfrm>
                          <a:prstGeom prst="rect">
                            <a:avLst/>
                          </a:prstGeom>
                        </pic:spPr>
                      </pic:pic>
                    </a:graphicData>
                  </a:graphic>
                </wp:inline>
              </w:drawing>
            </w:r>
          </w:p>
          <w:p>
            <w:pPr>
              <w:pStyle w:val="TableContents"/>
              <w:bidi w:val="0"/>
              <w:spacing w:before="0" w:after="283"/>
              <w:ind w:left="0" w:right="0" w:hanging="0"/>
              <w:jc w:val="left"/>
              <w:rPr>
                <w:color w:val="4C4C4C"/>
              </w:rPr>
            </w:pPr>
            <w:r>
              <w:rPr>
                <w:color w:val="4C4C4C"/>
              </w:rPr>
              <w:t> </w:t>
            </w:r>
          </w:p>
        </w:tc>
        <w:tc>
          <w:tcPr>
            <w:tcW w:w="238" w:type="dxa"/>
            <w:tcBorders/>
            <w:vAlign w:val="center"/>
          </w:tcPr>
          <w:p>
            <w:pPr>
              <w:pStyle w:val="TableContents"/>
              <w:bidi w:val="0"/>
              <w:spacing w:before="0" w:after="0"/>
              <w:jc w:val="left"/>
              <w:rPr/>
            </w:pPr>
            <w:r>
              <w:rPr/>
              <w:t> </w:t>
            </w:r>
          </w:p>
        </w:tc>
        <w:tc>
          <w:tcPr>
            <w:tcW w:w="238" w:type="dxa"/>
            <w:tcBorders/>
            <w:vAlign w:val="center"/>
          </w:tcPr>
          <w:p>
            <w:pPr>
              <w:pStyle w:val="TableContents"/>
              <w:bidi w:val="0"/>
              <w:spacing w:before="0" w:after="0"/>
              <w:jc w:val="left"/>
              <w:rPr/>
            </w:pPr>
            <w:r>
              <w:rPr/>
              <w:t> </w:t>
            </w:r>
          </w:p>
        </w:tc>
        <w:tc>
          <w:tcPr>
            <w:tcW w:w="2755" w:type="dxa"/>
            <w:tcBorders/>
            <w:vAlign w:val="center"/>
          </w:tcPr>
          <w:p>
            <w:pPr>
              <w:pStyle w:val="TableContents"/>
              <w:bidi w:val="0"/>
              <w:spacing w:before="0" w:after="283"/>
              <w:ind w:left="0" w:right="0" w:hanging="0"/>
              <w:jc w:val="left"/>
              <w:rPr>
                <w:rFonts w:ascii="Arial;Helvetica;sans-serif" w:hAnsi="Arial;Helvetica;sans-serif"/>
                <w:b/>
                <w:color w:val="4C4C4C"/>
                <w:sz w:val="20"/>
              </w:rPr>
            </w:pPr>
            <w:r>
              <w:rPr>
                <w:rFonts w:ascii="Arial;Helvetica;sans-serif" w:hAnsi="Arial;Helvetica;sans-serif"/>
                <w:b/>
                <w:color w:val="4C4C4C"/>
                <w:sz w:val="20"/>
              </w:rPr>
              <w:t>HAIPING DUN</w:t>
            </w:r>
          </w:p>
          <w:p>
            <w:pPr>
              <w:pStyle w:val="TableContents"/>
              <w:bidi w:val="0"/>
              <w:spacing w:before="60" w:after="283"/>
              <w:ind w:left="0" w:right="0" w:hanging="0"/>
              <w:jc w:val="left"/>
              <w:rPr>
                <w:rFonts w:ascii="Arial;Helvetica;sans-serif" w:hAnsi="Arial;Helvetica;sans-serif"/>
                <w:b w:val="false"/>
                <w:color w:val="4C4C4C"/>
                <w:sz w:val="20"/>
              </w:rPr>
            </w:pPr>
            <w:r>
              <w:rPr>
                <w:rFonts w:ascii="Arial;Helvetica;sans-serif" w:hAnsi="Arial;Helvetica;sans-serif"/>
                <w:b w:val="false"/>
                <w:color w:val="4C4C4C"/>
                <w:sz w:val="20"/>
              </w:rPr>
              <w:t>Age: 75</w:t>
            </w:r>
          </w:p>
          <w:p>
            <w:pPr>
              <w:pStyle w:val="TableContents"/>
              <w:bidi w:val="0"/>
              <w:spacing w:before="40" w:after="283"/>
              <w:ind w:left="0" w:right="0" w:hanging="0"/>
              <w:jc w:val="left"/>
              <w:rPr>
                <w:rFonts w:ascii="Arial;Helvetica;sans-serif" w:hAnsi="Arial;Helvetica;sans-serif"/>
                <w:b w:val="false"/>
                <w:color w:val="4C4C4C"/>
                <w:sz w:val="20"/>
              </w:rPr>
            </w:pPr>
            <w:r>
              <w:rPr>
                <w:rFonts w:ascii="Arial;Helvetica;sans-serif" w:hAnsi="Arial;Helvetica;sans-serif"/>
                <w:b w:val="false"/>
                <w:color w:val="4C4C4C"/>
                <w:sz w:val="20"/>
              </w:rPr>
              <w:t>ACM Board Service</w:t>
            </w:r>
          </w:p>
          <w:p>
            <w:pPr>
              <w:pStyle w:val="TableContents"/>
              <w:bidi w:val="0"/>
              <w:spacing w:before="40" w:after="283"/>
              <w:ind w:left="0" w:right="0" w:hanging="0"/>
              <w:jc w:val="left"/>
              <w:rPr>
                <w:color w:val="4C4C4C"/>
              </w:rPr>
            </w:pPr>
            <w:r>
              <w:rPr>
                <w:color w:val="4C4C4C"/>
              </w:rPr>
              <w:t>• </w:t>
            </w:r>
            <w:r>
              <w:rPr>
                <w:rFonts w:ascii="Arial;Helvetica;sans-serif" w:hAnsi="Arial;Helvetica;sans-serif"/>
                <w:b w:val="false"/>
                <w:color w:val="4C4C4C"/>
                <w:sz w:val="20"/>
              </w:rPr>
              <w:t>Tenure: 22 years (2003)</w:t>
            </w:r>
          </w:p>
          <w:p>
            <w:pPr>
              <w:pStyle w:val="TableContents"/>
              <w:bidi w:val="0"/>
              <w:spacing w:before="40" w:after="283"/>
              <w:ind w:left="0" w:right="0" w:hanging="0"/>
              <w:jc w:val="left"/>
              <w:rPr>
                <w:color w:val="4C4C4C"/>
              </w:rPr>
            </w:pPr>
            <w:r>
              <w:rPr>
                <w:color w:val="4C4C4C"/>
              </w:rPr>
              <w:t>• </w:t>
            </w:r>
            <w:r>
              <w:rPr>
                <w:rFonts w:ascii="Arial;Helvetica;sans-serif" w:hAnsi="Arial;Helvetica;sans-serif"/>
                <w:b w:val="false"/>
                <w:color w:val="4C4C4C"/>
                <w:sz w:val="20"/>
              </w:rPr>
              <w:t>Committees:</w:t>
            </w:r>
          </w:p>
          <w:p>
            <w:pPr>
              <w:pStyle w:val="TableContents"/>
              <w:bidi w:val="0"/>
              <w:spacing w:before="40" w:after="283"/>
              <w:ind w:left="0" w:right="0" w:hanging="0"/>
              <w:jc w:val="left"/>
              <w:rPr>
                <w:color w:val="4C4C4C"/>
              </w:rPr>
            </w:pPr>
            <w:r>
              <w:rPr>
                <w:color w:val="4C4C4C"/>
              </w:rPr>
              <w:t>  ○ </w:t>
            </w:r>
            <w:r>
              <w:rPr>
                <w:rFonts w:ascii="Arial;Helvetica;sans-serif" w:hAnsi="Arial;Helvetica;sans-serif"/>
                <w:b w:val="false"/>
                <w:color w:val="4C4C4C"/>
                <w:sz w:val="20"/>
              </w:rPr>
              <w:t>Audit</w:t>
            </w:r>
          </w:p>
          <w:p>
            <w:pPr>
              <w:pStyle w:val="TableContents"/>
              <w:bidi w:val="0"/>
              <w:spacing w:before="40" w:after="283"/>
              <w:ind w:left="0" w:right="0" w:hanging="0"/>
              <w:jc w:val="left"/>
              <w:rPr>
                <w:color w:val="4C4C4C"/>
              </w:rPr>
            </w:pPr>
            <w:r>
              <w:rPr>
                <w:color w:val="4C4C4C"/>
              </w:rPr>
              <w:t>  ○ </w:t>
            </w:r>
            <w:r>
              <w:rPr>
                <w:rFonts w:ascii="Arial;Helvetica;sans-serif" w:hAnsi="Arial;Helvetica;sans-serif"/>
                <w:b w:val="false"/>
                <w:color w:val="4C4C4C"/>
                <w:sz w:val="20"/>
              </w:rPr>
              <w:t>Compensation (Chair)</w:t>
            </w:r>
          </w:p>
          <w:p>
            <w:pPr>
              <w:pStyle w:val="TableContents"/>
              <w:bidi w:val="0"/>
              <w:spacing w:before="60" w:after="283"/>
              <w:ind w:left="0" w:right="0" w:hanging="0"/>
              <w:jc w:val="left"/>
              <w:rPr>
                <w:rFonts w:ascii="Arial;Helvetica;sans-serif" w:hAnsi="Arial;Helvetica;sans-serif"/>
                <w:b/>
                <w:color w:val="4C4C4C"/>
                <w:sz w:val="20"/>
              </w:rPr>
            </w:pPr>
            <w:r>
              <w:rPr>
                <w:rFonts w:ascii="Arial;Helvetica;sans-serif" w:hAnsi="Arial;Helvetica;sans-serif"/>
                <w:b/>
                <w:color w:val="4694D0"/>
                <w:sz w:val="20"/>
              </w:rPr>
              <w:t>INDEPENDENT</w:t>
            </w:r>
            <w:r>
              <w:rPr>
                <w:rFonts w:ascii="Arial;Helvetica;sans-serif" w:hAnsi="Arial;Helvetica;sans-serif"/>
                <w:b/>
                <w:color w:val="4C4C4C"/>
                <w:sz w:val="20"/>
              </w:rPr>
              <w:t xml:space="preserve"> </w:t>
            </w:r>
          </w:p>
        </w:tc>
      </w:tr>
      <w:tr>
        <w:trPr/>
        <w:tc>
          <w:tcPr>
            <w:tcW w:w="4339" w:type="dxa"/>
            <w:gridSpan w:val="4"/>
            <w:tcBorders/>
            <w:vAlign w:val="center"/>
          </w:tcPr>
          <w:p>
            <w:pPr>
              <w:pStyle w:val="TableContents"/>
              <w:bidi w:val="0"/>
              <w:spacing w:before="120" w:after="283"/>
              <w:ind w:left="0" w:right="0" w:hanging="0"/>
              <w:jc w:val="left"/>
              <w:rPr>
                <w:rFonts w:ascii="Arial;Helvetica;sans-serif" w:hAnsi="Arial;Helvetica;sans-serif"/>
                <w:b/>
                <w:color w:val="4C4C4C"/>
                <w:sz w:val="20"/>
              </w:rPr>
            </w:pPr>
            <w:r>
              <w:rPr>
                <w:rFonts w:ascii="Arial;Helvetica;sans-serif" w:hAnsi="Arial;Helvetica;sans-serif"/>
                <w:b/>
                <w:color w:val="4C4C4C"/>
                <w:sz w:val="20"/>
              </w:rPr>
              <w:t>Professional Experience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526" w:type="dxa"/>
            <w:gridSpan w:val="4"/>
            <w:tcBorders/>
            <w:vAlign w:val="center"/>
          </w:tcPr>
          <w:p>
            <w:pPr>
              <w:pStyle w:val="TableContents"/>
              <w:bidi w:val="0"/>
              <w:spacing w:before="120" w:after="283"/>
              <w:ind w:left="0" w:right="0" w:hanging="0"/>
              <w:jc w:val="left"/>
              <w:rPr>
                <w:rFonts w:ascii="Arial;Helvetica;sans-serif" w:hAnsi="Arial;Helvetica;sans-serif"/>
                <w:b/>
                <w:color w:val="4C4C4C"/>
                <w:sz w:val="20"/>
              </w:rPr>
            </w:pPr>
            <w:r>
              <w:rPr>
                <w:rFonts w:ascii="Arial;Helvetica;sans-serif" w:hAnsi="Arial;Helvetica;sans-serif"/>
                <w:b/>
                <w:color w:val="4C4C4C"/>
                <w:sz w:val="20"/>
              </w:rPr>
              <w:t>Professional Experience</w:t>
            </w:r>
          </w:p>
        </w:tc>
      </w:tr>
      <w:tr>
        <w:trPr/>
        <w:tc>
          <w:tcPr>
            <w:tcW w:w="4339" w:type="dxa"/>
            <w:gridSpan w:val="4"/>
            <w:tcBorders/>
            <w:vAlign w:val="center"/>
          </w:tcPr>
          <w:p>
            <w:pPr>
              <w:pStyle w:val="TableContents"/>
              <w:bidi w:val="0"/>
              <w:spacing w:before="0" w:after="283"/>
              <w:ind w:left="0" w:right="0" w:hanging="0"/>
              <w:jc w:val="both"/>
              <w:rPr>
                <w:color w:val="4C4C4C"/>
              </w:rPr>
            </w:pPr>
            <w:r>
              <w:rPr>
                <w:color w:val="4C4C4C"/>
              </w:rPr>
              <w:t>• </w:t>
            </w:r>
          </w:p>
          <w:p>
            <w:pPr>
              <w:pStyle w:val="TableContents"/>
              <w:bidi w:val="0"/>
              <w:spacing w:before="0" w:after="283"/>
              <w:jc w:val="both"/>
              <w:rPr>
                <w:rFonts w:ascii="Arial;Helvetica;sans-serif" w:hAnsi="Arial;Helvetica;sans-serif"/>
                <w:color w:val="4C4C4C"/>
                <w:sz w:val="20"/>
              </w:rPr>
            </w:pPr>
            <w:r>
              <w:rPr>
                <w:rFonts w:ascii="Arial;Helvetica;sans-serif" w:hAnsi="Arial;Helvetica;sans-serif"/>
                <w:color w:val="4C4C4C"/>
                <w:sz w:val="20"/>
              </w:rPr>
              <w:t>Founder, Chief Executive Officer, President and one of our directors since 1998.</w:t>
            </w:r>
          </w:p>
          <w:p>
            <w:pPr>
              <w:pStyle w:val="TableContents"/>
              <w:bidi w:val="0"/>
              <w:spacing w:before="60" w:after="283"/>
              <w:ind w:left="0" w:right="0" w:hanging="0"/>
              <w:jc w:val="left"/>
              <w:rPr>
                <w:color w:val="4C4C4C"/>
              </w:rPr>
            </w:pPr>
            <w:r>
              <w:rPr>
                <w:color w:val="4C4C4C"/>
              </w:rPr>
              <w:t>• </w:t>
            </w:r>
          </w:p>
          <w:p>
            <w:pPr>
              <w:pStyle w:val="TableContents"/>
              <w:bidi w:val="0"/>
              <w:spacing w:before="60" w:after="283"/>
              <w:jc w:val="left"/>
              <w:rPr>
                <w:rFonts w:ascii="Arial;Helvetica;sans-serif" w:hAnsi="Arial;Helvetica;sans-serif"/>
                <w:color w:val="4C4C4C"/>
                <w:sz w:val="20"/>
              </w:rPr>
            </w:pPr>
            <w:r>
              <w:rPr>
                <w:rFonts w:ascii="Arial;Helvetica;sans-serif" w:hAnsi="Arial;Helvetica;sans-serif"/>
                <w:color w:val="4C4C4C"/>
                <w:sz w:val="20"/>
              </w:rPr>
              <w:t>Inventor of stress-free Cu polishing technology.</w:t>
            </w:r>
          </w:p>
          <w:p>
            <w:pPr>
              <w:pStyle w:val="TableContents"/>
              <w:bidi w:val="0"/>
              <w:spacing w:before="60" w:after="283"/>
              <w:ind w:left="0" w:right="0" w:hanging="0"/>
              <w:jc w:val="both"/>
              <w:rPr>
                <w:color w:val="4C4C4C"/>
              </w:rPr>
            </w:pPr>
            <w:r>
              <w:rPr>
                <w:color w:val="4C4C4C"/>
              </w:rPr>
              <w:t>• </w:t>
            </w:r>
          </w:p>
          <w:p>
            <w:pPr>
              <w:pStyle w:val="TableContents"/>
              <w:bidi w:val="0"/>
              <w:spacing w:before="60" w:after="283"/>
              <w:jc w:val="both"/>
              <w:rPr>
                <w:rFonts w:ascii="Arial;Helvetica;sans-serif" w:hAnsi="Arial;Helvetica;sans-serif"/>
                <w:color w:val="4C4C4C"/>
                <w:sz w:val="20"/>
              </w:rPr>
            </w:pPr>
            <w:r>
              <w:rPr>
                <w:rFonts w:ascii="Arial;Helvetica;sans-serif" w:hAnsi="Arial;Helvetica;sans-serif"/>
                <w:color w:val="4C4C4C"/>
                <w:sz w:val="20"/>
              </w:rPr>
              <w:t>Holds more than 100 patents in semiconductor equipment and process technology.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526" w:type="dxa"/>
            <w:gridSpan w:val="4"/>
            <w:tcBorders/>
            <w:vAlign w:val="center"/>
          </w:tcPr>
          <w:p>
            <w:pPr>
              <w:pStyle w:val="TableContents"/>
              <w:bidi w:val="0"/>
              <w:spacing w:before="0" w:after="283"/>
              <w:ind w:left="0" w:right="0" w:hanging="0"/>
              <w:jc w:val="left"/>
              <w:rPr>
                <w:color w:val="4C4C4C"/>
              </w:rPr>
            </w:pPr>
            <w:r>
              <w:rPr>
                <w:color w:val="4C4C4C"/>
              </w:rPr>
              <w:t>• </w:t>
            </w:r>
          </w:p>
          <w:p>
            <w:pPr>
              <w:pStyle w:val="TableContents"/>
              <w:bidi w:val="0"/>
              <w:spacing w:before="0" w:after="283"/>
              <w:jc w:val="left"/>
              <w:rPr>
                <w:rFonts w:ascii="Arial;Helvetica;sans-serif" w:hAnsi="Arial;Helvetica;sans-serif"/>
                <w:color w:val="4C4C4C"/>
                <w:sz w:val="20"/>
              </w:rPr>
            </w:pPr>
            <w:r>
              <w:rPr>
                <w:rFonts w:ascii="Arial;Helvetica;sans-serif" w:hAnsi="Arial;Helvetica;sans-serif"/>
                <w:color w:val="4C4C4C"/>
                <w:sz w:val="20"/>
              </w:rPr>
              <w:t>Served as one of our directors since 2003.</w:t>
            </w:r>
          </w:p>
          <w:p>
            <w:pPr>
              <w:pStyle w:val="TableContents"/>
              <w:bidi w:val="0"/>
              <w:spacing w:before="60" w:after="283"/>
              <w:ind w:left="0" w:right="0" w:hanging="0"/>
              <w:jc w:val="both"/>
              <w:rPr>
                <w:color w:val="4C4C4C"/>
              </w:rPr>
            </w:pPr>
            <w:r>
              <w:rPr>
                <w:color w:val="4C4C4C"/>
              </w:rPr>
              <w:t>• </w:t>
            </w:r>
          </w:p>
          <w:p>
            <w:pPr>
              <w:pStyle w:val="TableContents"/>
              <w:bidi w:val="0"/>
              <w:spacing w:before="60" w:after="283"/>
              <w:jc w:val="both"/>
              <w:rPr>
                <w:rFonts w:ascii="Arial;Helvetica;sans-serif" w:hAnsi="Arial;Helvetica;sans-serif"/>
                <w:color w:val="4C4C4C"/>
                <w:sz w:val="20"/>
              </w:rPr>
            </w:pPr>
            <w:r>
              <w:rPr>
                <w:rFonts w:ascii="Arial;Helvetica;sans-serif" w:hAnsi="Arial;Helvetica;sans-serif"/>
                <w:color w:val="4C4C4C"/>
                <w:sz w:val="20"/>
              </w:rPr>
              <w:t>Former President of Champion Microelectronic Corp., an integrated circuit company based in Taiwan, from 2008 through 2018.</w:t>
            </w:r>
          </w:p>
          <w:p>
            <w:pPr>
              <w:pStyle w:val="TableContents"/>
              <w:bidi w:val="0"/>
              <w:spacing w:before="60" w:after="283"/>
              <w:ind w:left="0" w:right="0" w:hanging="0"/>
              <w:jc w:val="both"/>
              <w:rPr>
                <w:color w:val="4C4C4C"/>
              </w:rPr>
            </w:pPr>
            <w:r>
              <w:rPr>
                <w:color w:val="4C4C4C"/>
              </w:rPr>
              <w:t>• </w:t>
            </w:r>
          </w:p>
          <w:p>
            <w:pPr>
              <w:pStyle w:val="TableContents"/>
              <w:bidi w:val="0"/>
              <w:spacing w:before="60" w:after="283"/>
              <w:jc w:val="both"/>
              <w:rPr>
                <w:rFonts w:ascii="Arial;Helvetica;sans-serif" w:hAnsi="Arial;Helvetica;sans-serif"/>
                <w:color w:val="4C4C4C"/>
                <w:sz w:val="20"/>
              </w:rPr>
            </w:pPr>
            <w:r>
              <w:rPr>
                <w:rFonts w:ascii="Arial;Helvetica;sans-serif" w:hAnsi="Arial;Helvetica;sans-serif"/>
                <w:color w:val="4C4C4C"/>
                <w:sz w:val="20"/>
              </w:rPr>
              <w:t>Former Senior Director of Intel Corporation, a multi-national technology company where he was employed from 1983 to 2004.</w:t>
            </w:r>
          </w:p>
        </w:tc>
      </w:tr>
      <w:tr>
        <w:trPr/>
        <w:tc>
          <w:tcPr>
            <w:tcW w:w="4339" w:type="dxa"/>
            <w:gridSpan w:val="4"/>
            <w:tcBorders/>
            <w:vAlign w:val="center"/>
          </w:tcPr>
          <w:p>
            <w:pPr>
              <w:pStyle w:val="TableContents"/>
              <w:bidi w:val="0"/>
              <w:spacing w:before="120" w:after="283"/>
              <w:ind w:left="0" w:right="0" w:hanging="0"/>
              <w:jc w:val="left"/>
              <w:rPr>
                <w:rFonts w:ascii="Arial;Helvetica;sans-serif" w:hAnsi="Arial;Helvetica;sans-serif"/>
                <w:b/>
                <w:color w:val="4C4C4C"/>
                <w:sz w:val="20"/>
              </w:rPr>
            </w:pPr>
            <w:r>
              <w:rPr>
                <w:rFonts w:ascii="Arial;Helvetica;sans-serif" w:hAnsi="Arial;Helvetica;sans-serif"/>
                <w:b/>
                <w:color w:val="4C4C4C"/>
                <w:sz w:val="20"/>
              </w:rPr>
              <w:t>Education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526" w:type="dxa"/>
            <w:gridSpan w:val="4"/>
            <w:tcBorders/>
            <w:vAlign w:val="center"/>
          </w:tcPr>
          <w:p>
            <w:pPr>
              <w:pStyle w:val="TableContents"/>
              <w:bidi w:val="0"/>
              <w:spacing w:before="120" w:after="283"/>
              <w:ind w:left="0" w:right="0" w:hanging="0"/>
              <w:jc w:val="left"/>
              <w:rPr>
                <w:rFonts w:ascii="Arial;Helvetica;sans-serif" w:hAnsi="Arial;Helvetica;sans-serif"/>
                <w:b/>
                <w:color w:val="4C4C4C"/>
                <w:sz w:val="20"/>
              </w:rPr>
            </w:pPr>
            <w:r>
              <w:rPr>
                <w:rFonts w:ascii="Arial;Helvetica;sans-serif" w:hAnsi="Arial;Helvetica;sans-serif"/>
                <w:b/>
                <w:color w:val="4C4C4C"/>
                <w:sz w:val="20"/>
              </w:rPr>
              <w:t>Education</w:t>
            </w:r>
          </w:p>
        </w:tc>
      </w:tr>
      <w:tr>
        <w:trPr/>
        <w:tc>
          <w:tcPr>
            <w:tcW w:w="4339" w:type="dxa"/>
            <w:gridSpan w:val="4"/>
            <w:tcBorders/>
            <w:vAlign w:val="center"/>
          </w:tcPr>
          <w:p>
            <w:pPr>
              <w:pStyle w:val="TableContents"/>
              <w:bidi w:val="0"/>
              <w:spacing w:before="0" w:after="283"/>
              <w:ind w:left="0" w:right="0" w:hanging="0"/>
              <w:jc w:val="both"/>
              <w:rPr>
                <w:color w:val="4C4C4C"/>
              </w:rPr>
            </w:pPr>
            <w:r>
              <w:rPr>
                <w:color w:val="4C4C4C"/>
              </w:rPr>
              <w:t>• </w:t>
            </w:r>
          </w:p>
          <w:p>
            <w:pPr>
              <w:pStyle w:val="TableContents"/>
              <w:bidi w:val="0"/>
              <w:spacing w:before="0" w:after="283"/>
              <w:jc w:val="both"/>
              <w:rPr>
                <w:rFonts w:ascii="Arial;Helvetica;sans-serif" w:hAnsi="Arial;Helvetica;sans-serif"/>
                <w:color w:val="4C4C4C"/>
                <w:sz w:val="20"/>
              </w:rPr>
            </w:pPr>
            <w:r>
              <w:rPr>
                <w:rFonts w:ascii="Arial;Helvetica;sans-serif" w:hAnsi="Arial;Helvetica;sans-serif"/>
                <w:color w:val="4C4C4C"/>
                <w:sz w:val="20"/>
              </w:rPr>
              <w:t>Received a Ph.D. and Master of Engineering in Precision Engineering from Osaka University and a Bachelor of Science in Precision Instruments from Tsinghua University.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526" w:type="dxa"/>
            <w:gridSpan w:val="4"/>
            <w:tcBorders/>
            <w:vAlign w:val="center"/>
          </w:tcPr>
          <w:p>
            <w:pPr>
              <w:pStyle w:val="TableContents"/>
              <w:bidi w:val="0"/>
              <w:spacing w:before="0" w:after="283"/>
              <w:ind w:left="0" w:right="0" w:hanging="0"/>
              <w:jc w:val="both"/>
              <w:rPr>
                <w:color w:val="4C4C4C"/>
              </w:rPr>
            </w:pPr>
            <w:r>
              <w:rPr>
                <w:color w:val="4C4C4C"/>
              </w:rPr>
              <w:t>• </w:t>
            </w:r>
          </w:p>
          <w:p>
            <w:pPr>
              <w:pStyle w:val="TableContents"/>
              <w:bidi w:val="0"/>
              <w:spacing w:before="0" w:after="283"/>
              <w:jc w:val="both"/>
              <w:rPr>
                <w:rFonts w:ascii="Arial;Helvetica;sans-serif" w:hAnsi="Arial;Helvetica;sans-serif"/>
                <w:color w:val="4C4C4C"/>
                <w:sz w:val="20"/>
              </w:rPr>
            </w:pPr>
            <w:r>
              <w:rPr>
                <w:rFonts w:ascii="Arial;Helvetica;sans-serif" w:hAnsi="Arial;Helvetica;sans-serif"/>
                <w:color w:val="4C4C4C"/>
                <w:sz w:val="20"/>
              </w:rPr>
              <w:t>Received a Ph.D. in material science and engineering from Stanford University, a Master of Science in physics from the University of Washington and a Bachelor of Science in physics from National Taiwan University.</w:t>
            </w:r>
          </w:p>
        </w:tc>
      </w:tr>
      <w:tr>
        <w:trPr/>
        <w:tc>
          <w:tcPr>
            <w:tcW w:w="4339" w:type="dxa"/>
            <w:gridSpan w:val="4"/>
            <w:tcBorders/>
            <w:vAlign w:val="center"/>
          </w:tcPr>
          <w:p>
            <w:pPr>
              <w:pStyle w:val="TableContents"/>
              <w:bidi w:val="0"/>
              <w:spacing w:before="120" w:after="283"/>
              <w:ind w:left="0" w:right="0" w:hanging="0"/>
              <w:jc w:val="left"/>
              <w:rPr>
                <w:rFonts w:ascii="Arial;Helvetica;sans-serif" w:hAnsi="Arial;Helvetica;sans-serif"/>
                <w:b/>
                <w:color w:val="4C4C4C"/>
                <w:sz w:val="20"/>
              </w:rPr>
            </w:pPr>
            <w:r>
              <w:rPr>
                <w:rFonts w:ascii="Arial;Helvetica;sans-serif" w:hAnsi="Arial;Helvetica;sans-serif"/>
                <w:b/>
                <w:color w:val="4C4C4C"/>
                <w:sz w:val="20"/>
              </w:rPr>
              <w:t>Relevant Skills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526" w:type="dxa"/>
            <w:gridSpan w:val="4"/>
            <w:tcBorders/>
            <w:vAlign w:val="center"/>
          </w:tcPr>
          <w:p>
            <w:pPr>
              <w:pStyle w:val="TableContents"/>
              <w:bidi w:val="0"/>
              <w:spacing w:before="120" w:after="283"/>
              <w:ind w:left="0" w:right="0" w:hanging="0"/>
              <w:jc w:val="left"/>
              <w:rPr>
                <w:rFonts w:ascii="Arial;Helvetica;sans-serif" w:hAnsi="Arial;Helvetica;sans-serif"/>
                <w:b/>
                <w:color w:val="4C4C4C"/>
                <w:sz w:val="20"/>
              </w:rPr>
            </w:pPr>
            <w:r>
              <w:rPr>
                <w:rFonts w:ascii="Arial;Helvetica;sans-serif" w:hAnsi="Arial;Helvetica;sans-serif"/>
                <w:b/>
                <w:color w:val="4C4C4C"/>
                <w:sz w:val="20"/>
              </w:rPr>
              <w:t>Relevant Skills</w:t>
            </w:r>
          </w:p>
        </w:tc>
      </w:tr>
      <w:tr>
        <w:trPr/>
        <w:tc>
          <w:tcPr>
            <w:tcW w:w="4339" w:type="dxa"/>
            <w:gridSpan w:val="4"/>
            <w:tcBorders/>
            <w:vAlign w:val="center"/>
          </w:tcPr>
          <w:p>
            <w:pPr>
              <w:pStyle w:val="TableContents"/>
              <w:bidi w:val="0"/>
              <w:spacing w:before="0" w:after="283"/>
              <w:ind w:left="0" w:right="0" w:hanging="0"/>
              <w:jc w:val="left"/>
              <w:rPr>
                <w:color w:val="4C4C4C"/>
              </w:rPr>
            </w:pPr>
            <w:r>
              <w:rPr>
                <w:color w:val="4C4C4C"/>
              </w:rPr>
              <w:t>• </w:t>
            </w:r>
            <w:r>
              <w:rPr>
                <w:rFonts w:ascii="Arial;Helvetica;sans-serif" w:hAnsi="Arial;Helvetica;sans-serif"/>
                <w:color w:val="4C4C4C"/>
                <w:sz w:val="20"/>
              </w:rPr>
              <w:t>Industry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526" w:type="dxa"/>
            <w:gridSpan w:val="4"/>
            <w:tcBorders/>
            <w:vAlign w:val="center"/>
          </w:tcPr>
          <w:p>
            <w:pPr>
              <w:pStyle w:val="TableContents"/>
              <w:bidi w:val="0"/>
              <w:spacing w:before="0" w:after="283"/>
              <w:ind w:left="0" w:right="0" w:hanging="0"/>
              <w:jc w:val="left"/>
              <w:rPr>
                <w:color w:val="4C4C4C"/>
              </w:rPr>
            </w:pPr>
            <w:r>
              <w:rPr>
                <w:color w:val="4C4C4C"/>
              </w:rPr>
              <w:t>• </w:t>
            </w:r>
            <w:r>
              <w:rPr>
                <w:rFonts w:ascii="Arial;Helvetica;sans-serif" w:hAnsi="Arial;Helvetica;sans-serif"/>
                <w:color w:val="4C4C4C"/>
                <w:sz w:val="20"/>
              </w:rPr>
              <w:t>Innovation</w:t>
            </w:r>
          </w:p>
        </w:tc>
      </w:tr>
      <w:tr>
        <w:trPr/>
        <w:tc>
          <w:tcPr>
            <w:tcW w:w="4339" w:type="dxa"/>
            <w:gridSpan w:val="4"/>
            <w:tcBorders/>
            <w:vAlign w:val="center"/>
          </w:tcPr>
          <w:p>
            <w:pPr>
              <w:pStyle w:val="TableContents"/>
              <w:bidi w:val="0"/>
              <w:spacing w:before="0" w:after="283"/>
              <w:ind w:left="0" w:right="0" w:hanging="0"/>
              <w:jc w:val="left"/>
              <w:rPr>
                <w:color w:val="4C4C4C"/>
              </w:rPr>
            </w:pPr>
            <w:r>
              <w:rPr>
                <w:color w:val="4C4C4C"/>
              </w:rPr>
              <w:t>• </w:t>
            </w:r>
            <w:r>
              <w:rPr>
                <w:rFonts w:ascii="Arial;Helvetica;sans-serif" w:hAnsi="Arial;Helvetica;sans-serif"/>
                <w:color w:val="4C4C4C"/>
                <w:sz w:val="20"/>
              </w:rPr>
              <w:t>Leadership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526" w:type="dxa"/>
            <w:gridSpan w:val="4"/>
            <w:tcBorders/>
            <w:vAlign w:val="center"/>
          </w:tcPr>
          <w:p>
            <w:pPr>
              <w:pStyle w:val="TableContents"/>
              <w:bidi w:val="0"/>
              <w:spacing w:before="0" w:after="283"/>
              <w:ind w:left="0" w:right="0" w:hanging="0"/>
              <w:jc w:val="left"/>
              <w:rPr>
                <w:color w:val="4C4C4C"/>
              </w:rPr>
            </w:pPr>
            <w:r>
              <w:rPr>
                <w:color w:val="4C4C4C"/>
              </w:rPr>
              <w:t>• </w:t>
            </w:r>
            <w:r>
              <w:rPr>
                <w:rFonts w:ascii="Arial;Helvetica;sans-serif" w:hAnsi="Arial;Helvetica;sans-serif"/>
                <w:color w:val="4C4C4C"/>
                <w:sz w:val="20"/>
              </w:rPr>
              <w:t>Industry</w:t>
            </w:r>
          </w:p>
        </w:tc>
      </w:tr>
      <w:tr>
        <w:trPr/>
        <w:tc>
          <w:tcPr>
            <w:tcW w:w="4339" w:type="dxa"/>
            <w:gridSpan w:val="4"/>
            <w:tcBorders/>
            <w:vAlign w:val="center"/>
          </w:tcPr>
          <w:p>
            <w:pPr>
              <w:pStyle w:val="TableContents"/>
              <w:bidi w:val="0"/>
              <w:spacing w:before="0" w:after="283"/>
              <w:ind w:left="0" w:right="0" w:hanging="0"/>
              <w:jc w:val="left"/>
              <w:rPr>
                <w:color w:val="4C4C4C"/>
              </w:rPr>
            </w:pPr>
            <w:r>
              <w:rPr>
                <w:color w:val="4C4C4C"/>
              </w:rPr>
              <w:t>• </w:t>
            </w:r>
            <w:r>
              <w:rPr>
                <w:rFonts w:ascii="Arial;Helvetica;sans-serif" w:hAnsi="Arial;Helvetica;sans-serif"/>
                <w:color w:val="4C4C4C"/>
                <w:sz w:val="20"/>
              </w:rPr>
              <w:t>Global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526" w:type="dxa"/>
            <w:gridSpan w:val="4"/>
            <w:tcBorders/>
            <w:vAlign w:val="center"/>
          </w:tcPr>
          <w:p>
            <w:pPr>
              <w:pStyle w:val="TableContents"/>
              <w:bidi w:val="0"/>
              <w:spacing w:before="0" w:after="283"/>
              <w:ind w:left="0" w:right="0" w:hanging="0"/>
              <w:jc w:val="left"/>
              <w:rPr>
                <w:color w:val="4C4C4C"/>
              </w:rPr>
            </w:pPr>
            <w:r>
              <w:rPr>
                <w:color w:val="4C4C4C"/>
              </w:rPr>
              <w:t>• </w:t>
            </w:r>
            <w:r>
              <w:rPr>
                <w:rFonts w:ascii="Arial;Helvetica;sans-serif" w:hAnsi="Arial;Helvetica;sans-serif"/>
                <w:color w:val="4C4C4C"/>
                <w:sz w:val="20"/>
              </w:rPr>
              <w:t>Leadership</w:t>
            </w:r>
          </w:p>
        </w:tc>
      </w:tr>
      <w:tr>
        <w:trPr/>
        <w:tc>
          <w:tcPr>
            <w:tcW w:w="4339"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526" w:type="dxa"/>
            <w:gridSpan w:val="4"/>
            <w:tcBorders/>
            <w:vAlign w:val="center"/>
          </w:tcPr>
          <w:p>
            <w:pPr>
              <w:pStyle w:val="TableContents"/>
              <w:bidi w:val="0"/>
              <w:spacing w:before="0" w:after="0"/>
              <w:jc w:val="left"/>
              <w:rPr/>
            </w:pPr>
            <w:r>
              <w:rPr/>
              <w:t>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21</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1" w:name="ny20042784x1_def14a_112-prop1_pg3"/>
        <w:bookmarkEnd w:id="5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158"/>
        <w:gridCol w:w="220"/>
        <w:gridCol w:w="220"/>
        <w:gridCol w:w="2156"/>
        <w:gridCol w:w="170"/>
        <w:gridCol w:w="170"/>
        <w:gridCol w:w="2200"/>
        <w:gridCol w:w="226"/>
        <w:gridCol w:w="226"/>
        <w:gridCol w:w="2459"/>
      </w:tblGrid>
      <w:tr>
        <w:trPr/>
        <w:tc>
          <w:tcPr>
            <w:tcW w:w="2158" w:type="dxa"/>
            <w:tcBorders/>
            <w:vAlign w:val="center"/>
          </w:tcPr>
          <w:p>
            <w:pPr>
              <w:pStyle w:val="TableContents"/>
              <w:bidi w:val="0"/>
              <w:spacing w:before="0" w:after="0"/>
              <w:jc w:val="left"/>
              <w:rPr/>
            </w:pPr>
            <w:r>
              <w:rPr/>
              <w:t> </w:t>
            </w:r>
          </w:p>
        </w:tc>
        <w:tc>
          <w:tcPr>
            <w:tcW w:w="220" w:type="dxa"/>
            <w:tcBorders/>
            <w:vAlign w:val="center"/>
          </w:tcPr>
          <w:p>
            <w:pPr>
              <w:pStyle w:val="TableContents"/>
              <w:bidi w:val="0"/>
              <w:spacing w:before="0" w:after="0"/>
              <w:jc w:val="left"/>
              <w:rPr/>
            </w:pPr>
            <w:r>
              <w:rPr/>
              <w:t> </w:t>
            </w:r>
          </w:p>
        </w:tc>
        <w:tc>
          <w:tcPr>
            <w:tcW w:w="220" w:type="dxa"/>
            <w:tcBorders/>
            <w:vAlign w:val="center"/>
          </w:tcPr>
          <w:p>
            <w:pPr>
              <w:pStyle w:val="TableContents"/>
              <w:bidi w:val="0"/>
              <w:spacing w:before="0" w:after="0"/>
              <w:jc w:val="left"/>
              <w:rPr/>
            </w:pPr>
            <w:r>
              <w:rPr/>
              <w:t> </w:t>
            </w:r>
          </w:p>
        </w:tc>
        <w:tc>
          <w:tcPr>
            <w:tcW w:w="215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00"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pPr>
            <w:r>
              <w:rPr/>
              <w:t> </w:t>
            </w:r>
          </w:p>
        </w:tc>
        <w:tc>
          <w:tcPr>
            <w:tcW w:w="2459" w:type="dxa"/>
            <w:tcBorders/>
            <w:vAlign w:val="center"/>
          </w:tcPr>
          <w:p>
            <w:pPr>
              <w:pStyle w:val="TableContents"/>
              <w:bidi w:val="0"/>
              <w:spacing w:before="0" w:after="0"/>
              <w:jc w:val="left"/>
              <w:rPr/>
            </w:pPr>
            <w:r>
              <w:rPr/>
              <w:t> </w:t>
            </w:r>
          </w:p>
        </w:tc>
      </w:tr>
      <w:tr>
        <w:trPr/>
        <w:tc>
          <w:tcPr>
            <w:tcW w:w="2158" w:type="dxa"/>
            <w:tcBorders/>
            <w:vAlign w:val="center"/>
          </w:tcPr>
          <w:p>
            <w:pPr>
              <w:pStyle w:val="TableContents"/>
              <w:bidi w:val="0"/>
              <w:spacing w:before="0" w:after="283"/>
              <w:ind w:left="0" w:right="0" w:hanging="0"/>
              <w:jc w:val="left"/>
              <w:rPr>
                <w:color w:val="4C4C4C"/>
              </w:rPr>
            </w:pPr>
            <w:r>
              <w:rPr>
                <w:color w:val="4C4C4C"/>
              </w:rPr>
              <w:drawing>
                <wp:inline distT="0" distB="0" distL="0" distR="0">
                  <wp:extent cx="1028700" cy="1362075"/>
                  <wp:effectExtent l="0" t="0" r="0" b="0"/>
                  <wp:docPr id="2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1" descr=""/>
                          <pic:cNvPicPr>
                            <a:picLocks noChangeAspect="1" noChangeArrowheads="1"/>
                          </pic:cNvPicPr>
                        </pic:nvPicPr>
                        <pic:blipFill>
                          <a:blip r:embed="rId25"/>
                          <a:stretch>
                            <a:fillRect/>
                          </a:stretch>
                        </pic:blipFill>
                        <pic:spPr bwMode="auto">
                          <a:xfrm>
                            <a:off x="0" y="0"/>
                            <a:ext cx="1028700" cy="1362075"/>
                          </a:xfrm>
                          <a:prstGeom prst="rect">
                            <a:avLst/>
                          </a:prstGeom>
                        </pic:spPr>
                      </pic:pic>
                    </a:graphicData>
                  </a:graphic>
                </wp:inline>
              </w:drawing>
            </w:r>
          </w:p>
          <w:p>
            <w:pPr>
              <w:pStyle w:val="TableContents"/>
              <w:bidi w:val="0"/>
              <w:spacing w:before="0" w:after="283"/>
              <w:ind w:left="0" w:right="0" w:hanging="0"/>
              <w:jc w:val="left"/>
              <w:rPr>
                <w:color w:val="4C4C4C"/>
              </w:rPr>
            </w:pPr>
            <w:r>
              <w:rPr>
                <w:color w:val="4C4C4C"/>
              </w:rPr>
              <w:t> </w:t>
            </w:r>
          </w:p>
        </w:tc>
        <w:tc>
          <w:tcPr>
            <w:tcW w:w="220" w:type="dxa"/>
            <w:tcBorders/>
            <w:vAlign w:val="center"/>
          </w:tcPr>
          <w:p>
            <w:pPr>
              <w:pStyle w:val="TableContents"/>
              <w:bidi w:val="0"/>
              <w:spacing w:before="0" w:after="0"/>
              <w:jc w:val="left"/>
              <w:rPr/>
            </w:pPr>
            <w:r>
              <w:rPr/>
              <w:t> </w:t>
            </w:r>
          </w:p>
        </w:tc>
        <w:tc>
          <w:tcPr>
            <w:tcW w:w="220" w:type="dxa"/>
            <w:tcBorders/>
            <w:vAlign w:val="center"/>
          </w:tcPr>
          <w:p>
            <w:pPr>
              <w:pStyle w:val="TableContents"/>
              <w:bidi w:val="0"/>
              <w:spacing w:before="0" w:after="0"/>
              <w:jc w:val="left"/>
              <w:rPr/>
            </w:pPr>
            <w:r>
              <w:rPr/>
              <w:t> </w:t>
            </w:r>
          </w:p>
        </w:tc>
        <w:tc>
          <w:tcPr>
            <w:tcW w:w="2156" w:type="dxa"/>
            <w:tcBorders/>
            <w:vAlign w:val="center"/>
          </w:tcPr>
          <w:p>
            <w:pPr>
              <w:pStyle w:val="TableContents"/>
              <w:bidi w:val="0"/>
              <w:spacing w:before="0" w:after="283"/>
              <w:ind w:left="0" w:right="0" w:hanging="0"/>
              <w:jc w:val="left"/>
              <w:rPr>
                <w:rFonts w:ascii="Arial;Helvetica;sans-serif" w:hAnsi="Arial;Helvetica;sans-serif"/>
                <w:b/>
                <w:color w:val="4C4C4C"/>
                <w:sz w:val="20"/>
              </w:rPr>
            </w:pPr>
            <w:r>
              <w:rPr>
                <w:rFonts w:ascii="Arial;Helvetica;sans-serif" w:hAnsi="Arial;Helvetica;sans-serif"/>
                <w:b/>
                <w:color w:val="4C4C4C"/>
                <w:sz w:val="20"/>
              </w:rPr>
              <w:t>CHARLES PAPPIS</w:t>
            </w:r>
          </w:p>
          <w:p>
            <w:pPr>
              <w:pStyle w:val="TableContents"/>
              <w:bidi w:val="0"/>
              <w:spacing w:before="60" w:after="283"/>
              <w:ind w:left="0" w:right="0" w:hanging="0"/>
              <w:jc w:val="left"/>
              <w:rPr>
                <w:rFonts w:ascii="Arial;Helvetica;sans-serif" w:hAnsi="Arial;Helvetica;sans-serif"/>
                <w:b w:val="false"/>
                <w:color w:val="4C4C4C"/>
                <w:sz w:val="20"/>
              </w:rPr>
            </w:pPr>
            <w:r>
              <w:rPr>
                <w:rFonts w:ascii="Arial;Helvetica;sans-serif" w:hAnsi="Arial;Helvetica;sans-serif"/>
                <w:b w:val="false"/>
                <w:color w:val="4C4C4C"/>
                <w:sz w:val="20"/>
              </w:rPr>
              <w:t>Age: 64</w:t>
            </w:r>
          </w:p>
          <w:p>
            <w:pPr>
              <w:pStyle w:val="TableContents"/>
              <w:bidi w:val="0"/>
              <w:spacing w:before="40" w:after="283"/>
              <w:ind w:left="0" w:right="0" w:hanging="0"/>
              <w:jc w:val="left"/>
              <w:rPr>
                <w:rFonts w:ascii="Arial;Helvetica;sans-serif" w:hAnsi="Arial;Helvetica;sans-serif"/>
                <w:b w:val="false"/>
                <w:color w:val="4C4C4C"/>
                <w:sz w:val="20"/>
              </w:rPr>
            </w:pPr>
            <w:r>
              <w:rPr>
                <w:rFonts w:ascii="Arial;Helvetica;sans-serif" w:hAnsi="Arial;Helvetica;sans-serif"/>
                <w:b w:val="false"/>
                <w:color w:val="4C4C4C"/>
                <w:sz w:val="20"/>
              </w:rPr>
              <w:t>ACM Board Service</w:t>
            </w:r>
          </w:p>
          <w:p>
            <w:pPr>
              <w:pStyle w:val="TableContents"/>
              <w:bidi w:val="0"/>
              <w:spacing w:before="40" w:after="283"/>
              <w:ind w:left="0" w:right="0" w:hanging="0"/>
              <w:jc w:val="left"/>
              <w:rPr>
                <w:color w:val="4C4C4C"/>
              </w:rPr>
            </w:pPr>
            <w:r>
              <w:rPr>
                <w:color w:val="4C4C4C"/>
              </w:rPr>
              <w:t>• </w:t>
            </w:r>
          </w:p>
          <w:p>
            <w:pPr>
              <w:pStyle w:val="TableContents"/>
              <w:bidi w:val="0"/>
              <w:spacing w:before="40" w:after="283"/>
              <w:jc w:val="left"/>
              <w:rPr>
                <w:rFonts w:ascii="Arial;Helvetica;sans-serif" w:hAnsi="Arial;Helvetica;sans-serif"/>
                <w:b w:val="false"/>
                <w:color w:val="4C4C4C"/>
                <w:sz w:val="20"/>
              </w:rPr>
            </w:pPr>
            <w:r>
              <w:rPr>
                <w:rFonts w:ascii="Arial;Helvetica;sans-serif" w:hAnsi="Arial;Helvetica;sans-serif"/>
                <w:b w:val="false"/>
                <w:color w:val="4C4C4C"/>
                <w:sz w:val="20"/>
              </w:rPr>
              <w:t>Tenure: 1 month (2025)</w:t>
            </w:r>
          </w:p>
          <w:p>
            <w:pPr>
              <w:pStyle w:val="TableContents"/>
              <w:bidi w:val="0"/>
              <w:spacing w:before="40" w:after="283"/>
              <w:ind w:left="0" w:right="0" w:hanging="0"/>
              <w:jc w:val="left"/>
              <w:rPr>
                <w:color w:val="4C4C4C"/>
              </w:rPr>
            </w:pPr>
            <w:r>
              <w:rPr>
                <w:color w:val="4C4C4C"/>
              </w:rPr>
              <w:t>• </w:t>
            </w:r>
          </w:p>
          <w:p>
            <w:pPr>
              <w:pStyle w:val="TableContents"/>
              <w:bidi w:val="0"/>
              <w:spacing w:before="40" w:after="283"/>
              <w:jc w:val="left"/>
              <w:rPr>
                <w:rFonts w:ascii="Arial;Helvetica;sans-serif" w:hAnsi="Arial;Helvetica;sans-serif"/>
                <w:b w:val="false"/>
                <w:color w:val="4C4C4C"/>
                <w:sz w:val="20"/>
              </w:rPr>
            </w:pPr>
            <w:r>
              <w:rPr>
                <w:rFonts w:ascii="Arial;Helvetica;sans-serif" w:hAnsi="Arial;Helvetica;sans-serif"/>
                <w:b w:val="false"/>
                <w:color w:val="4C4C4C"/>
                <w:sz w:val="20"/>
              </w:rPr>
              <w:t>Committees:</w:t>
            </w:r>
          </w:p>
          <w:p>
            <w:pPr>
              <w:pStyle w:val="TableContents"/>
              <w:bidi w:val="0"/>
              <w:spacing w:before="0" w:after="283"/>
              <w:ind w:left="0" w:right="0" w:hanging="0"/>
              <w:jc w:val="left"/>
              <w:rPr>
                <w:color w:val="4C4C4C"/>
              </w:rPr>
            </w:pPr>
            <w:r>
              <w:rPr>
                <w:color w:val="4C4C4C"/>
              </w:rPr>
              <w:t>   ○ </w:t>
            </w:r>
          </w:p>
          <w:p>
            <w:pPr>
              <w:pStyle w:val="TableContents"/>
              <w:bidi w:val="0"/>
              <w:spacing w:before="0" w:after="283"/>
              <w:jc w:val="left"/>
              <w:rPr>
                <w:rFonts w:ascii="Arial;Helvetica;sans-serif" w:hAnsi="Arial;Helvetica;sans-serif"/>
                <w:b w:val="false"/>
                <w:color w:val="4C4C4C"/>
                <w:sz w:val="20"/>
              </w:rPr>
            </w:pPr>
            <w:r>
              <w:rPr>
                <w:rFonts w:ascii="Arial;Helvetica;sans-serif" w:hAnsi="Arial;Helvetica;sans-serif"/>
                <w:b w:val="false"/>
                <w:color w:val="4C4C4C"/>
                <w:sz w:val="20"/>
              </w:rPr>
              <w:t>Audit</w:t>
            </w:r>
          </w:p>
          <w:p>
            <w:pPr>
              <w:pStyle w:val="TableContents"/>
              <w:bidi w:val="0"/>
              <w:spacing w:before="0" w:after="283"/>
              <w:ind w:left="0" w:right="0" w:hanging="0"/>
              <w:jc w:val="left"/>
              <w:rPr>
                <w:color w:val="4C4C4C"/>
              </w:rPr>
            </w:pPr>
            <w:r>
              <w:rPr>
                <w:color w:val="4C4C4C"/>
              </w:rPr>
              <w:t> </w:t>
            </w:r>
          </w:p>
          <w:p>
            <w:pPr>
              <w:pStyle w:val="TableContents"/>
              <w:bidi w:val="0"/>
              <w:spacing w:before="160" w:after="283"/>
              <w:ind w:left="0" w:right="0" w:hanging="0"/>
              <w:jc w:val="left"/>
              <w:rPr>
                <w:rFonts w:ascii="Arial;Helvetica;sans-serif" w:hAnsi="Arial;Helvetica;sans-serif"/>
                <w:b/>
                <w:color w:val="4694D0"/>
                <w:sz w:val="20"/>
              </w:rPr>
            </w:pPr>
            <w:r>
              <w:rPr>
                <w:rFonts w:ascii="Arial;Helvetica;sans-serif" w:hAnsi="Arial;Helvetica;sans-serif"/>
                <w:b/>
                <w:color w:val="4694D0"/>
                <w:sz w:val="20"/>
              </w:rPr>
              <w:t>INDEPENDENT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00" w:type="dxa"/>
            <w:tcBorders/>
            <w:vAlign w:val="center"/>
          </w:tcPr>
          <w:p>
            <w:pPr>
              <w:pStyle w:val="TableContents"/>
              <w:bidi w:val="0"/>
              <w:spacing w:before="0" w:after="283"/>
              <w:ind w:left="0" w:right="0" w:hanging="0"/>
              <w:jc w:val="left"/>
              <w:rPr>
                <w:color w:val="4C4C4C"/>
              </w:rPr>
            </w:pPr>
            <w:r>
              <w:rPr>
                <w:color w:val="4C4C4C"/>
              </w:rPr>
              <w:drawing>
                <wp:inline distT="0" distB="0" distL="0" distR="0">
                  <wp:extent cx="1028700" cy="1371600"/>
                  <wp:effectExtent l="0" t="0" r="0" b="0"/>
                  <wp:docPr id="2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2" descr=""/>
                          <pic:cNvPicPr>
                            <a:picLocks noChangeAspect="1" noChangeArrowheads="1"/>
                          </pic:cNvPicPr>
                        </pic:nvPicPr>
                        <pic:blipFill>
                          <a:blip r:embed="rId26"/>
                          <a:stretch>
                            <a:fillRect/>
                          </a:stretch>
                        </pic:blipFill>
                        <pic:spPr bwMode="auto">
                          <a:xfrm>
                            <a:off x="0" y="0"/>
                            <a:ext cx="1028700" cy="1371600"/>
                          </a:xfrm>
                          <a:prstGeom prst="rect">
                            <a:avLst/>
                          </a:prstGeom>
                        </pic:spPr>
                      </pic:pic>
                    </a:graphicData>
                  </a:graphic>
                </wp:inline>
              </w:drawing>
            </w:r>
          </w:p>
          <w:p>
            <w:pPr>
              <w:pStyle w:val="TableContents"/>
              <w:bidi w:val="0"/>
              <w:spacing w:before="0" w:after="283"/>
              <w:ind w:left="0" w:right="0" w:hanging="0"/>
              <w:jc w:val="left"/>
              <w:rPr>
                <w:color w:val="4C4C4C"/>
              </w:rPr>
            </w:pPr>
            <w:r>
              <w:rPr>
                <w:color w:val="4C4C4C"/>
              </w:rPr>
              <w:t> </w:t>
            </w:r>
          </w:p>
        </w:tc>
        <w:tc>
          <w:tcPr>
            <w:tcW w:w="226"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pPr>
            <w:r>
              <w:rPr/>
              <w:t> </w:t>
            </w:r>
          </w:p>
        </w:tc>
        <w:tc>
          <w:tcPr>
            <w:tcW w:w="2459" w:type="dxa"/>
            <w:tcBorders/>
            <w:vAlign w:val="center"/>
          </w:tcPr>
          <w:p>
            <w:pPr>
              <w:pStyle w:val="TableContents"/>
              <w:bidi w:val="0"/>
              <w:spacing w:before="0" w:after="283"/>
              <w:ind w:left="0" w:right="0" w:hanging="0"/>
              <w:jc w:val="left"/>
              <w:rPr>
                <w:rFonts w:ascii="Arial;Helvetica;sans-serif" w:hAnsi="Arial;Helvetica;sans-serif"/>
                <w:b/>
                <w:color w:val="4C4C4C"/>
                <w:sz w:val="20"/>
              </w:rPr>
            </w:pPr>
            <w:r>
              <w:rPr>
                <w:rFonts w:ascii="Arial;Helvetica;sans-serif" w:hAnsi="Arial;Helvetica;sans-serif"/>
                <w:b/>
                <w:color w:val="4C4C4C"/>
                <w:sz w:val="20"/>
              </w:rPr>
              <w:t>TRACY LIU</w:t>
            </w:r>
          </w:p>
          <w:p>
            <w:pPr>
              <w:pStyle w:val="TableContents"/>
              <w:bidi w:val="0"/>
              <w:spacing w:before="60" w:after="283"/>
              <w:ind w:left="0" w:right="0" w:hanging="0"/>
              <w:jc w:val="left"/>
              <w:rPr>
                <w:rFonts w:ascii="Arial;Helvetica;sans-serif" w:hAnsi="Arial;Helvetica;sans-serif"/>
                <w:b w:val="false"/>
                <w:color w:val="4C4C4C"/>
                <w:sz w:val="20"/>
              </w:rPr>
            </w:pPr>
            <w:r>
              <w:rPr>
                <w:rFonts w:ascii="Arial;Helvetica;sans-serif" w:hAnsi="Arial;Helvetica;sans-serif"/>
                <w:b w:val="false"/>
                <w:color w:val="4C4C4C"/>
                <w:sz w:val="20"/>
              </w:rPr>
              <w:t>Age: 60</w:t>
              <w:br/>
              <w:t>ACM Board Service</w:t>
            </w:r>
          </w:p>
          <w:p>
            <w:pPr>
              <w:pStyle w:val="TableContents"/>
              <w:bidi w:val="0"/>
              <w:spacing w:before="0" w:after="283"/>
              <w:ind w:left="0" w:right="0" w:hanging="0"/>
              <w:jc w:val="left"/>
              <w:rPr>
                <w:color w:val="4C4C4C"/>
              </w:rPr>
            </w:pPr>
            <w:r>
              <w:rPr>
                <w:color w:val="4C4C4C"/>
              </w:rPr>
              <w:t>• </w:t>
            </w:r>
          </w:p>
          <w:p>
            <w:pPr>
              <w:pStyle w:val="TableContents"/>
              <w:bidi w:val="0"/>
              <w:spacing w:before="0" w:after="283"/>
              <w:jc w:val="left"/>
              <w:rPr>
                <w:rFonts w:ascii="Arial;Helvetica;sans-serif" w:hAnsi="Arial;Helvetica;sans-serif"/>
                <w:b w:val="false"/>
                <w:color w:val="4C4C4C"/>
                <w:sz w:val="20"/>
              </w:rPr>
            </w:pPr>
            <w:r>
              <w:rPr>
                <w:rFonts w:ascii="Arial;Helvetica;sans-serif" w:hAnsi="Arial;Helvetica;sans-serif"/>
                <w:b w:val="false"/>
                <w:color w:val="4C4C4C"/>
                <w:sz w:val="20"/>
              </w:rPr>
              <w:t>Tenure: 9 years (2016)</w:t>
              <w:br/>
              <w:t>• Committees:</w:t>
            </w:r>
          </w:p>
          <w:p>
            <w:pPr>
              <w:pStyle w:val="TableContents"/>
              <w:bidi w:val="0"/>
              <w:spacing w:before="0" w:after="283"/>
              <w:ind w:left="0" w:right="0" w:hanging="0"/>
              <w:jc w:val="left"/>
              <w:rPr>
                <w:color w:val="4C4C4C"/>
              </w:rPr>
            </w:pPr>
            <w:r>
              <w:rPr>
                <w:color w:val="4C4C4C"/>
              </w:rPr>
              <w:t>   ○ </w:t>
            </w:r>
          </w:p>
          <w:p>
            <w:pPr>
              <w:pStyle w:val="TableContents"/>
              <w:bidi w:val="0"/>
              <w:spacing w:before="0" w:after="283"/>
              <w:jc w:val="left"/>
              <w:rPr>
                <w:rFonts w:ascii="Arial;Helvetica;sans-serif" w:hAnsi="Arial;Helvetica;sans-serif"/>
                <w:b w:val="false"/>
                <w:color w:val="4C4C4C"/>
                <w:sz w:val="18"/>
              </w:rPr>
            </w:pPr>
            <w:r>
              <w:rPr>
                <w:rFonts w:ascii="Arial;Helvetica;sans-serif" w:hAnsi="Arial;Helvetica;sans-serif"/>
                <w:b w:val="false"/>
                <w:color w:val="4C4C4C"/>
                <w:sz w:val="18"/>
              </w:rPr>
              <w:t>Audit (Chair)</w:t>
            </w:r>
          </w:p>
          <w:p>
            <w:pPr>
              <w:pStyle w:val="TableContents"/>
              <w:bidi w:val="0"/>
              <w:spacing w:before="0" w:after="283"/>
              <w:ind w:left="0" w:right="0" w:hanging="0"/>
              <w:jc w:val="left"/>
              <w:rPr>
                <w:color w:val="4C4C4C"/>
              </w:rPr>
            </w:pPr>
            <w:r>
              <w:rPr>
                <w:color w:val="4C4C4C"/>
              </w:rPr>
              <w:t>   ○ </w:t>
            </w:r>
          </w:p>
          <w:p>
            <w:pPr>
              <w:pStyle w:val="TableContents"/>
              <w:bidi w:val="0"/>
              <w:spacing w:before="0" w:after="283"/>
              <w:jc w:val="left"/>
              <w:rPr>
                <w:rFonts w:ascii="Arial;Helvetica;sans-serif" w:hAnsi="Arial;Helvetica;sans-serif"/>
                <w:b w:val="false"/>
                <w:color w:val="4C4C4C"/>
                <w:sz w:val="18"/>
              </w:rPr>
            </w:pPr>
            <w:r>
              <w:rPr>
                <w:rFonts w:ascii="Arial;Helvetica;sans-serif" w:hAnsi="Arial;Helvetica;sans-serif"/>
                <w:b w:val="false"/>
                <w:color w:val="4C4C4C"/>
                <w:sz w:val="18"/>
              </w:rPr>
              <w:t>Compensation</w:t>
            </w:r>
          </w:p>
          <w:p>
            <w:pPr>
              <w:pStyle w:val="TableContents"/>
              <w:bidi w:val="0"/>
              <w:spacing w:before="0" w:after="283"/>
              <w:ind w:left="0" w:right="0" w:hanging="0"/>
              <w:jc w:val="left"/>
              <w:rPr>
                <w:color w:val="4C4C4C"/>
              </w:rPr>
            </w:pPr>
            <w:r>
              <w:rPr>
                <w:color w:val="4C4C4C"/>
              </w:rPr>
              <w:t>   ○ </w:t>
            </w:r>
          </w:p>
          <w:p>
            <w:pPr>
              <w:pStyle w:val="TableContents"/>
              <w:bidi w:val="0"/>
              <w:spacing w:before="0" w:after="283"/>
              <w:jc w:val="left"/>
              <w:rPr>
                <w:rFonts w:ascii="Arial;Helvetica;sans-serif" w:hAnsi="Arial;Helvetica;sans-serif"/>
                <w:b w:val="false"/>
                <w:color w:val="4C4C4C"/>
                <w:sz w:val="18"/>
              </w:rPr>
            </w:pPr>
            <w:r>
              <w:rPr>
                <w:rFonts w:ascii="Arial;Helvetica;sans-serif" w:hAnsi="Arial;Helvetica;sans-serif"/>
                <w:b w:val="false"/>
                <w:color w:val="4C4C4C"/>
                <w:sz w:val="18"/>
              </w:rPr>
              <w:t>Nominating and Governance</w:t>
            </w:r>
          </w:p>
          <w:p>
            <w:pPr>
              <w:pStyle w:val="TableContents"/>
              <w:bidi w:val="0"/>
              <w:spacing w:before="40" w:after="283"/>
              <w:ind w:left="0" w:right="0" w:hanging="0"/>
              <w:jc w:val="left"/>
              <w:rPr>
                <w:rFonts w:ascii="Arial;Helvetica;sans-serif" w:hAnsi="Arial;Helvetica;sans-serif"/>
                <w:b/>
                <w:color w:val="4C4C4C"/>
                <w:sz w:val="20"/>
              </w:rPr>
            </w:pPr>
            <w:r>
              <w:rPr>
                <w:rFonts w:ascii="Arial;Helvetica;sans-serif" w:hAnsi="Arial;Helvetica;sans-serif"/>
                <w:b/>
                <w:color w:val="4694D0"/>
                <w:sz w:val="20"/>
              </w:rPr>
              <w:t>INDEPENDENT</w:t>
            </w:r>
            <w:r>
              <w:rPr>
                <w:rFonts w:ascii="Arial;Helvetica;sans-serif" w:hAnsi="Arial;Helvetica;sans-serif"/>
                <w:b/>
                <w:color w:val="4C4C4C"/>
                <w:sz w:val="20"/>
              </w:rPr>
              <w:t xml:space="preserve"> </w:t>
            </w:r>
          </w:p>
        </w:tc>
      </w:tr>
      <w:tr>
        <w:trPr/>
        <w:tc>
          <w:tcPr>
            <w:tcW w:w="4754" w:type="dxa"/>
            <w:gridSpan w:val="4"/>
            <w:tcBorders/>
            <w:vAlign w:val="center"/>
          </w:tcPr>
          <w:p>
            <w:pPr>
              <w:pStyle w:val="TableContents"/>
              <w:bidi w:val="0"/>
              <w:spacing w:before="120" w:after="283"/>
              <w:ind w:left="0" w:right="0" w:hanging="0"/>
              <w:jc w:val="left"/>
              <w:rPr>
                <w:rFonts w:ascii="Arial;Helvetica;sans-serif" w:hAnsi="Arial;Helvetica;sans-serif"/>
                <w:b/>
                <w:color w:val="4C4C4C"/>
                <w:sz w:val="20"/>
              </w:rPr>
            </w:pPr>
            <w:r>
              <w:rPr>
                <w:rFonts w:ascii="Arial;Helvetica;sans-serif" w:hAnsi="Arial;Helvetica;sans-serif"/>
                <w:b/>
                <w:color w:val="4C4C4C"/>
                <w:sz w:val="20"/>
              </w:rPr>
              <w:t>Professional Experience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11" w:type="dxa"/>
            <w:gridSpan w:val="4"/>
            <w:tcBorders/>
            <w:vAlign w:val="center"/>
          </w:tcPr>
          <w:p>
            <w:pPr>
              <w:pStyle w:val="TableContents"/>
              <w:bidi w:val="0"/>
              <w:spacing w:before="120" w:after="283"/>
              <w:ind w:left="0" w:right="0" w:hanging="0"/>
              <w:jc w:val="left"/>
              <w:rPr>
                <w:rFonts w:ascii="Arial;Helvetica;sans-serif" w:hAnsi="Arial;Helvetica;sans-serif"/>
                <w:b/>
                <w:color w:val="4C4C4C"/>
                <w:sz w:val="20"/>
              </w:rPr>
            </w:pPr>
            <w:r>
              <w:rPr>
                <w:rFonts w:ascii="Arial;Helvetica;sans-serif" w:hAnsi="Arial;Helvetica;sans-serif"/>
                <w:b/>
                <w:color w:val="4C4C4C"/>
                <w:sz w:val="20"/>
              </w:rPr>
              <w:t xml:space="preserve">Professional Experience </w:t>
            </w:r>
          </w:p>
        </w:tc>
      </w:tr>
      <w:tr>
        <w:trPr/>
        <w:tc>
          <w:tcPr>
            <w:tcW w:w="4754" w:type="dxa"/>
            <w:gridSpan w:val="4"/>
            <w:tcBorders/>
            <w:vAlign w:val="center"/>
          </w:tcPr>
          <w:p>
            <w:pPr>
              <w:pStyle w:val="TableContents"/>
              <w:bidi w:val="0"/>
              <w:spacing w:before="0" w:after="283"/>
              <w:ind w:left="0" w:right="0" w:hanging="0"/>
              <w:jc w:val="left"/>
              <w:rPr>
                <w:color w:val="4C4C4C"/>
              </w:rPr>
            </w:pPr>
            <w:r>
              <w:rPr>
                <w:color w:val="4C4C4C"/>
              </w:rPr>
              <w:t>• </w:t>
            </w:r>
          </w:p>
          <w:p>
            <w:pPr>
              <w:pStyle w:val="TableContents"/>
              <w:bidi w:val="0"/>
              <w:spacing w:before="0" w:after="283"/>
              <w:jc w:val="left"/>
              <w:rPr>
                <w:rFonts w:ascii="Arial;Helvetica;sans-serif" w:hAnsi="Arial;Helvetica;sans-serif"/>
                <w:color w:val="4C4C4C"/>
                <w:sz w:val="20"/>
              </w:rPr>
            </w:pPr>
            <w:r>
              <w:rPr>
                <w:rFonts w:ascii="Arial;Helvetica;sans-serif" w:hAnsi="Arial;Helvetica;sans-serif"/>
                <w:color w:val="4C4C4C"/>
                <w:sz w:val="20"/>
              </w:rPr>
              <w:t>Served as one of our directors since March 2025.</w:t>
            </w:r>
          </w:p>
          <w:p>
            <w:pPr>
              <w:pStyle w:val="TableContents"/>
              <w:bidi w:val="0"/>
              <w:spacing w:before="60" w:after="283"/>
              <w:ind w:left="0" w:right="0" w:hanging="0"/>
              <w:jc w:val="left"/>
              <w:rPr>
                <w:color w:val="4C4C4C"/>
              </w:rPr>
            </w:pPr>
            <w:r>
              <w:rPr>
                <w:color w:val="4C4C4C"/>
              </w:rPr>
              <w:t>• </w:t>
            </w:r>
          </w:p>
          <w:p>
            <w:pPr>
              <w:pStyle w:val="TableContents"/>
              <w:bidi w:val="0"/>
              <w:spacing w:before="60" w:after="283"/>
              <w:jc w:val="left"/>
              <w:rPr>
                <w:rFonts w:ascii="Arial;Helvetica;sans-serif" w:hAnsi="Arial;Helvetica;sans-serif"/>
                <w:color w:val="4C4C4C"/>
                <w:sz w:val="20"/>
              </w:rPr>
            </w:pPr>
            <w:r>
              <w:rPr>
                <w:rFonts w:ascii="Arial;Helvetica;sans-serif" w:hAnsi="Arial;Helvetica;sans-serif"/>
                <w:color w:val="4C4C4C"/>
                <w:sz w:val="20"/>
              </w:rPr>
              <w:t>President of Pappis Consulting since April 2016.</w:t>
            </w:r>
          </w:p>
          <w:p>
            <w:pPr>
              <w:pStyle w:val="TableContents"/>
              <w:bidi w:val="0"/>
              <w:spacing w:before="60" w:after="283"/>
              <w:ind w:left="0" w:right="0" w:hanging="0"/>
              <w:jc w:val="both"/>
              <w:rPr>
                <w:color w:val="4C4C4C"/>
              </w:rPr>
            </w:pPr>
            <w:r>
              <w:rPr>
                <w:color w:val="4C4C4C"/>
              </w:rPr>
              <w:t>• </w:t>
            </w:r>
          </w:p>
          <w:p>
            <w:pPr>
              <w:pStyle w:val="TableContents"/>
              <w:bidi w:val="0"/>
              <w:spacing w:before="60" w:after="283"/>
              <w:jc w:val="both"/>
              <w:rPr>
                <w:rFonts w:ascii="Arial;Helvetica;sans-serif" w:hAnsi="Arial;Helvetica;sans-serif"/>
                <w:color w:val="4C4C4C"/>
                <w:sz w:val="20"/>
              </w:rPr>
            </w:pPr>
            <w:r>
              <w:rPr>
                <w:rFonts w:ascii="Arial;Helvetica;sans-serif" w:hAnsi="Arial;Helvetica;sans-serif"/>
                <w:color w:val="4C4C4C"/>
                <w:sz w:val="20"/>
              </w:rPr>
              <w:t>Vice President and General Manager at Applied Materials from 1986 to 2016.</w:t>
            </w:r>
          </w:p>
          <w:p>
            <w:pPr>
              <w:pStyle w:val="TableContents"/>
              <w:bidi w:val="0"/>
              <w:spacing w:before="60" w:after="283"/>
              <w:ind w:left="0" w:right="0" w:hanging="0"/>
              <w:jc w:val="both"/>
              <w:rPr>
                <w:color w:val="4C4C4C"/>
              </w:rPr>
            </w:pPr>
            <w:r>
              <w:rPr>
                <w:color w:val="4C4C4C"/>
              </w:rPr>
              <w:t>• </w:t>
            </w:r>
          </w:p>
          <w:p>
            <w:pPr>
              <w:pStyle w:val="TableContents"/>
              <w:bidi w:val="0"/>
              <w:spacing w:before="60" w:after="283"/>
              <w:jc w:val="both"/>
              <w:rPr>
                <w:rFonts w:ascii="Arial;Helvetica;sans-serif" w:hAnsi="Arial;Helvetica;sans-serif"/>
                <w:color w:val="4C4C4C"/>
                <w:sz w:val="20"/>
              </w:rPr>
            </w:pPr>
            <w:r>
              <w:rPr>
                <w:rFonts w:ascii="Arial;Helvetica;sans-serif" w:hAnsi="Arial;Helvetica;sans-serif"/>
                <w:color w:val="4C4C4C"/>
                <w:sz w:val="20"/>
              </w:rPr>
              <w:t>Received a Bachelor of Science in Materials Science from Worcester Polytechnic Institute and Executive MBA from Stanford University.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11" w:type="dxa"/>
            <w:gridSpan w:val="4"/>
            <w:tcBorders/>
            <w:vAlign w:val="center"/>
          </w:tcPr>
          <w:p>
            <w:pPr>
              <w:pStyle w:val="TableContents"/>
              <w:bidi w:val="0"/>
              <w:spacing w:before="0" w:after="283"/>
              <w:ind w:left="0" w:right="0" w:hanging="0"/>
              <w:jc w:val="left"/>
              <w:rPr>
                <w:color w:val="4C4C4C"/>
              </w:rPr>
            </w:pPr>
            <w:r>
              <w:rPr>
                <w:color w:val="4C4C4C"/>
              </w:rPr>
              <w:t>• </w:t>
            </w:r>
          </w:p>
          <w:p>
            <w:pPr>
              <w:pStyle w:val="TableContents"/>
              <w:bidi w:val="0"/>
              <w:spacing w:before="0" w:after="283"/>
              <w:jc w:val="left"/>
              <w:rPr>
                <w:rFonts w:ascii="Arial;Helvetica;sans-serif" w:hAnsi="Arial;Helvetica;sans-serif"/>
                <w:color w:val="4C4C4C"/>
                <w:sz w:val="20"/>
              </w:rPr>
            </w:pPr>
            <w:r>
              <w:rPr>
                <w:rFonts w:ascii="Arial;Helvetica;sans-serif" w:hAnsi="Arial;Helvetica;sans-serif"/>
                <w:color w:val="4C4C4C"/>
                <w:sz w:val="20"/>
              </w:rPr>
              <w:t>Served as one of our directors since September 2016.</w:t>
            </w:r>
          </w:p>
          <w:p>
            <w:pPr>
              <w:pStyle w:val="TableContents"/>
              <w:bidi w:val="0"/>
              <w:spacing w:before="60" w:after="283"/>
              <w:ind w:left="0" w:right="0" w:hanging="0"/>
              <w:jc w:val="both"/>
              <w:rPr>
                <w:color w:val="4C4C4C"/>
              </w:rPr>
            </w:pPr>
            <w:r>
              <w:rPr>
                <w:color w:val="4C4C4C"/>
              </w:rPr>
              <w:t>• </w:t>
            </w:r>
          </w:p>
          <w:p>
            <w:pPr>
              <w:pStyle w:val="TableContents"/>
              <w:bidi w:val="0"/>
              <w:spacing w:before="60" w:after="283"/>
              <w:jc w:val="both"/>
              <w:rPr>
                <w:rFonts w:ascii="Arial;Helvetica;sans-serif" w:hAnsi="Arial;Helvetica;sans-serif"/>
                <w:color w:val="4C4C4C"/>
                <w:sz w:val="20"/>
              </w:rPr>
            </w:pPr>
            <w:r>
              <w:rPr>
                <w:rFonts w:ascii="Arial;Helvetica;sans-serif" w:hAnsi="Arial;Helvetica;sans-serif"/>
                <w:color w:val="4C4C4C"/>
                <w:sz w:val="20"/>
              </w:rPr>
              <w:t xml:space="preserve">CEO and Founder of HM CPA Services, P.C. since November 2023. </w:t>
            </w:r>
          </w:p>
          <w:p>
            <w:pPr>
              <w:pStyle w:val="TableContents"/>
              <w:bidi w:val="0"/>
              <w:spacing w:before="60" w:after="283"/>
              <w:ind w:left="0" w:right="0" w:hanging="0"/>
              <w:jc w:val="both"/>
              <w:rPr>
                <w:color w:val="4C4C4C"/>
              </w:rPr>
            </w:pPr>
            <w:r>
              <w:rPr>
                <w:color w:val="4C4C4C"/>
              </w:rPr>
              <w:t>• </w:t>
            </w:r>
          </w:p>
          <w:p>
            <w:pPr>
              <w:pStyle w:val="TableContents"/>
              <w:bidi w:val="0"/>
              <w:spacing w:before="60" w:after="283"/>
              <w:jc w:val="both"/>
              <w:rPr>
                <w:rFonts w:ascii="Arial;Helvetica;sans-serif" w:hAnsi="Arial;Helvetica;sans-serif"/>
                <w:color w:val="4C4C4C"/>
                <w:sz w:val="20"/>
              </w:rPr>
            </w:pPr>
            <w:r>
              <w:rPr>
                <w:rFonts w:ascii="Arial;Helvetica;sans-serif" w:hAnsi="Arial;Helvetica;sans-serif"/>
                <w:color w:val="4C4C4C"/>
                <w:sz w:val="20"/>
              </w:rPr>
              <w:t>Managing Partner of H&amp;M Int’l CPAs, LLP since January 2017.</w:t>
            </w:r>
          </w:p>
          <w:p>
            <w:pPr>
              <w:pStyle w:val="TableContents"/>
              <w:bidi w:val="0"/>
              <w:spacing w:before="60" w:after="283"/>
              <w:ind w:left="0" w:right="0" w:hanging="0"/>
              <w:jc w:val="both"/>
              <w:rPr>
                <w:color w:val="4C4C4C"/>
              </w:rPr>
            </w:pPr>
            <w:r>
              <w:rPr>
                <w:color w:val="4C4C4C"/>
              </w:rPr>
              <w:t>• </w:t>
            </w:r>
          </w:p>
          <w:p>
            <w:pPr>
              <w:pStyle w:val="TableContents"/>
              <w:bidi w:val="0"/>
              <w:spacing w:before="60" w:after="283"/>
              <w:jc w:val="both"/>
              <w:rPr>
                <w:rFonts w:ascii="Arial;Helvetica;sans-serif" w:hAnsi="Arial;Helvetica;sans-serif"/>
                <w:color w:val="4C4C4C"/>
                <w:sz w:val="20"/>
              </w:rPr>
            </w:pPr>
            <w:r>
              <w:rPr>
                <w:rFonts w:ascii="Arial;Helvetica;sans-serif" w:hAnsi="Arial;Helvetica;sans-serif"/>
                <w:color w:val="4C4C4C"/>
                <w:sz w:val="20"/>
              </w:rPr>
              <w:t>Founder and owner of H&amp;M Financial Consulting from 2006 to 2016, where she provided international accounting and tax solutions to high-technology companies.</w:t>
            </w:r>
          </w:p>
          <w:p>
            <w:pPr>
              <w:pStyle w:val="TableContents"/>
              <w:bidi w:val="0"/>
              <w:spacing w:before="60" w:after="283"/>
              <w:ind w:left="0" w:right="0" w:hanging="0"/>
              <w:jc w:val="both"/>
              <w:rPr>
                <w:color w:val="4C4C4C"/>
              </w:rPr>
            </w:pPr>
            <w:r>
              <w:rPr>
                <w:color w:val="4C4C4C"/>
              </w:rPr>
              <w:t>• </w:t>
            </w:r>
          </w:p>
          <w:p>
            <w:pPr>
              <w:pStyle w:val="TableContents"/>
              <w:bidi w:val="0"/>
              <w:spacing w:before="60" w:after="283"/>
              <w:jc w:val="both"/>
              <w:rPr>
                <w:rFonts w:ascii="Arial;Helvetica;sans-serif" w:hAnsi="Arial;Helvetica;sans-serif"/>
                <w:color w:val="4C4C4C"/>
                <w:sz w:val="20"/>
              </w:rPr>
            </w:pPr>
            <w:r>
              <w:rPr>
                <w:rFonts w:ascii="Arial;Helvetica;sans-serif" w:hAnsi="Arial;Helvetica;sans-serif"/>
                <w:color w:val="4C4C4C"/>
                <w:sz w:val="20"/>
              </w:rPr>
              <w:t>Received a Bachelor of Science from Nankai University and a Master of Accounting and Tax from Golden Gate University.</w:t>
            </w:r>
          </w:p>
          <w:p>
            <w:pPr>
              <w:pStyle w:val="TableContents"/>
              <w:bidi w:val="0"/>
              <w:spacing w:before="60" w:after="283"/>
              <w:ind w:left="0" w:right="0" w:hanging="0"/>
              <w:jc w:val="both"/>
              <w:rPr>
                <w:color w:val="4C4C4C"/>
              </w:rPr>
            </w:pPr>
            <w:r>
              <w:rPr>
                <w:color w:val="4C4C4C"/>
              </w:rPr>
              <w:t>• </w:t>
            </w:r>
          </w:p>
          <w:p>
            <w:pPr>
              <w:pStyle w:val="TableContents"/>
              <w:bidi w:val="0"/>
              <w:spacing w:before="60" w:after="283"/>
              <w:jc w:val="both"/>
              <w:rPr>
                <w:rFonts w:ascii="Arial;Helvetica;sans-serif" w:hAnsi="Arial;Helvetica;sans-serif"/>
                <w:color w:val="4C4C4C"/>
                <w:sz w:val="20"/>
              </w:rPr>
            </w:pPr>
            <w:r>
              <w:rPr>
                <w:rFonts w:ascii="Arial;Helvetica;sans-serif" w:hAnsi="Arial;Helvetica;sans-serif"/>
                <w:color w:val="4C4C4C"/>
                <w:sz w:val="20"/>
              </w:rPr>
              <w:t>Certified Public Accountant and a member of the American Institute of Certified Public Accountants.</w:t>
            </w:r>
          </w:p>
        </w:tc>
      </w:tr>
      <w:tr>
        <w:trPr/>
        <w:tc>
          <w:tcPr>
            <w:tcW w:w="4754" w:type="dxa"/>
            <w:gridSpan w:val="4"/>
            <w:tcBorders/>
            <w:vAlign w:val="center"/>
          </w:tcPr>
          <w:p>
            <w:pPr>
              <w:pStyle w:val="TableContents"/>
              <w:bidi w:val="0"/>
              <w:spacing w:before="120" w:after="283"/>
              <w:ind w:left="0" w:right="0" w:hanging="0"/>
              <w:jc w:val="left"/>
              <w:rPr>
                <w:rFonts w:ascii="Arial;Helvetica;sans-serif" w:hAnsi="Arial;Helvetica;sans-serif"/>
                <w:b/>
                <w:color w:val="4C4C4C"/>
                <w:sz w:val="20"/>
              </w:rPr>
            </w:pPr>
            <w:r>
              <w:rPr>
                <w:rFonts w:ascii="Arial;Helvetica;sans-serif" w:hAnsi="Arial;Helvetica;sans-serif"/>
                <w:b/>
                <w:color w:val="4C4C4C"/>
                <w:sz w:val="20"/>
              </w:rPr>
              <w:t>Relevant Skills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11" w:type="dxa"/>
            <w:gridSpan w:val="4"/>
            <w:tcBorders/>
            <w:vAlign w:val="center"/>
          </w:tcPr>
          <w:p>
            <w:pPr>
              <w:pStyle w:val="TableContents"/>
              <w:bidi w:val="0"/>
              <w:spacing w:before="120" w:after="283"/>
              <w:ind w:left="0" w:right="0" w:hanging="0"/>
              <w:jc w:val="left"/>
              <w:rPr>
                <w:rFonts w:ascii="Arial;Helvetica;sans-serif" w:hAnsi="Arial;Helvetica;sans-serif"/>
                <w:b/>
                <w:color w:val="4C4C4C"/>
                <w:sz w:val="20"/>
              </w:rPr>
            </w:pPr>
            <w:r>
              <w:rPr>
                <w:rFonts w:ascii="Arial;Helvetica;sans-serif" w:hAnsi="Arial;Helvetica;sans-serif"/>
                <w:b/>
                <w:color w:val="4C4C4C"/>
                <w:sz w:val="20"/>
              </w:rPr>
              <w:t>Relevant Skills</w:t>
            </w:r>
          </w:p>
        </w:tc>
      </w:tr>
      <w:tr>
        <w:trPr/>
        <w:tc>
          <w:tcPr>
            <w:tcW w:w="4754" w:type="dxa"/>
            <w:gridSpan w:val="4"/>
            <w:tcBorders/>
            <w:vAlign w:val="center"/>
          </w:tcPr>
          <w:p>
            <w:pPr>
              <w:pStyle w:val="TableContents"/>
              <w:bidi w:val="0"/>
              <w:spacing w:before="0" w:after="283"/>
              <w:ind w:left="0" w:right="0" w:hanging="0"/>
              <w:jc w:val="left"/>
              <w:rPr>
                <w:color w:val="4C4C4C"/>
              </w:rPr>
            </w:pPr>
            <w:r>
              <w:rPr>
                <w:color w:val="4C4C4C"/>
              </w:rPr>
              <w:t>• </w:t>
            </w:r>
            <w:r>
              <w:rPr>
                <w:rFonts w:ascii="Arial;Helvetica;sans-serif" w:hAnsi="Arial;Helvetica;sans-serif"/>
                <w:color w:val="4C4C4C"/>
                <w:sz w:val="20"/>
              </w:rPr>
              <w:t>Finance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11" w:type="dxa"/>
            <w:gridSpan w:val="4"/>
            <w:tcBorders/>
            <w:vAlign w:val="center"/>
          </w:tcPr>
          <w:p>
            <w:pPr>
              <w:pStyle w:val="TableContents"/>
              <w:bidi w:val="0"/>
              <w:spacing w:before="0" w:after="283"/>
              <w:ind w:left="0" w:right="0" w:hanging="0"/>
              <w:jc w:val="left"/>
              <w:rPr>
                <w:color w:val="4C4C4C"/>
              </w:rPr>
            </w:pPr>
            <w:r>
              <w:rPr>
                <w:color w:val="4C4C4C"/>
              </w:rPr>
              <w:t>• </w:t>
            </w:r>
            <w:r>
              <w:rPr>
                <w:rFonts w:ascii="Arial;Helvetica;sans-serif" w:hAnsi="Arial;Helvetica;sans-serif"/>
                <w:color w:val="4C4C4C"/>
                <w:sz w:val="20"/>
              </w:rPr>
              <w:t>Industry</w:t>
            </w:r>
          </w:p>
        </w:tc>
      </w:tr>
      <w:tr>
        <w:trPr/>
        <w:tc>
          <w:tcPr>
            <w:tcW w:w="4754" w:type="dxa"/>
            <w:gridSpan w:val="4"/>
            <w:tcBorders/>
            <w:vAlign w:val="center"/>
          </w:tcPr>
          <w:p>
            <w:pPr>
              <w:pStyle w:val="TableContents"/>
              <w:bidi w:val="0"/>
              <w:spacing w:before="0" w:after="283"/>
              <w:ind w:left="0" w:right="0" w:hanging="0"/>
              <w:jc w:val="left"/>
              <w:rPr>
                <w:color w:val="4C4C4C"/>
              </w:rPr>
            </w:pPr>
            <w:r>
              <w:rPr>
                <w:color w:val="4C4C4C"/>
              </w:rPr>
              <w:t>• </w:t>
            </w:r>
            <w:r>
              <w:rPr>
                <w:rFonts w:ascii="Arial;Helvetica;sans-serif" w:hAnsi="Arial;Helvetica;sans-serif"/>
                <w:color w:val="4C4C4C"/>
                <w:sz w:val="20"/>
              </w:rPr>
              <w:t>Global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11" w:type="dxa"/>
            <w:gridSpan w:val="4"/>
            <w:tcBorders/>
            <w:vAlign w:val="center"/>
          </w:tcPr>
          <w:p>
            <w:pPr>
              <w:pStyle w:val="TableContents"/>
              <w:bidi w:val="0"/>
              <w:spacing w:before="0" w:after="283"/>
              <w:ind w:left="0" w:right="0" w:hanging="0"/>
              <w:jc w:val="left"/>
              <w:rPr>
                <w:color w:val="4C4C4C"/>
              </w:rPr>
            </w:pPr>
            <w:r>
              <w:rPr>
                <w:color w:val="4C4C4C"/>
              </w:rPr>
              <w:t>• </w:t>
            </w:r>
            <w:r>
              <w:rPr>
                <w:rFonts w:ascii="Arial;Helvetica;sans-serif" w:hAnsi="Arial;Helvetica;sans-serif"/>
                <w:color w:val="4C4C4C"/>
                <w:sz w:val="20"/>
              </w:rPr>
              <w:t>Finance</w:t>
            </w:r>
          </w:p>
        </w:tc>
      </w:tr>
      <w:tr>
        <w:trPr/>
        <w:tc>
          <w:tcPr>
            <w:tcW w:w="4754" w:type="dxa"/>
            <w:gridSpan w:val="4"/>
            <w:tcBorders/>
            <w:vAlign w:val="center"/>
          </w:tcPr>
          <w:p>
            <w:pPr>
              <w:pStyle w:val="TableContents"/>
              <w:bidi w:val="0"/>
              <w:spacing w:before="0" w:after="283"/>
              <w:ind w:left="0" w:right="0" w:hanging="0"/>
              <w:jc w:val="left"/>
              <w:rPr>
                <w:color w:val="4C4C4C"/>
              </w:rPr>
            </w:pPr>
            <w:r>
              <w:rPr>
                <w:color w:val="4C4C4C"/>
              </w:rPr>
              <w:t>• </w:t>
            </w:r>
            <w:r>
              <w:rPr>
                <w:rFonts w:ascii="Arial;Helvetica;sans-serif" w:hAnsi="Arial;Helvetica;sans-serif"/>
                <w:color w:val="4C4C4C"/>
                <w:sz w:val="20"/>
              </w:rPr>
              <w:t>Leadership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11" w:type="dxa"/>
            <w:gridSpan w:val="4"/>
            <w:tcBorders/>
            <w:vAlign w:val="center"/>
          </w:tcPr>
          <w:p>
            <w:pPr>
              <w:pStyle w:val="TableContents"/>
              <w:bidi w:val="0"/>
              <w:spacing w:before="0" w:after="283"/>
              <w:ind w:left="0" w:right="0" w:hanging="0"/>
              <w:jc w:val="left"/>
              <w:rPr>
                <w:color w:val="4C4C4C"/>
              </w:rPr>
            </w:pPr>
            <w:r>
              <w:rPr>
                <w:color w:val="4C4C4C"/>
              </w:rPr>
              <w:t>• </w:t>
            </w:r>
            <w:r>
              <w:rPr>
                <w:rFonts w:ascii="Arial;Helvetica;sans-serif" w:hAnsi="Arial;Helvetica;sans-serif"/>
                <w:color w:val="4C4C4C"/>
                <w:sz w:val="20"/>
              </w:rPr>
              <w:t>Global</w:t>
            </w:r>
          </w:p>
        </w:tc>
      </w:tr>
      <w:tr>
        <w:trPr/>
        <w:tc>
          <w:tcPr>
            <w:tcW w:w="4754"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11" w:type="dxa"/>
            <w:gridSpan w:val="4"/>
            <w:tcBorders/>
            <w:vAlign w:val="center"/>
          </w:tcPr>
          <w:p>
            <w:pPr>
              <w:pStyle w:val="TableContents"/>
              <w:bidi w:val="0"/>
              <w:spacing w:before="0" w:after="0"/>
              <w:jc w:val="left"/>
              <w:rPr/>
            </w:pPr>
            <w:r>
              <w:rPr/>
              <w:t> </w:t>
            </w:r>
          </w:p>
        </w:tc>
      </w:tr>
    </w:tbl>
    <w:p>
      <w:pPr>
        <w:pStyle w:val="TextBody"/>
        <w:bidi w:val="0"/>
        <w:spacing w:before="1495" w:after="283"/>
        <w:jc w:val="center"/>
        <w:rPr>
          <w:rFonts w:ascii="Arial;Helvetica;sans-serif" w:hAnsi="Arial;Helvetica;sans-serif"/>
          <w:b/>
          <w:color w:val="0079C1"/>
          <w:sz w:val="24"/>
        </w:rPr>
      </w:pPr>
      <w:r>
        <w:rPr>
          <w:rFonts w:ascii="Arial;Helvetica;sans-serif" w:hAnsi="Arial;Helvetica;sans-serif"/>
          <w:b/>
          <w:color w:val="0079C1"/>
          <w:sz w:val="24"/>
        </w:rPr>
        <w:t>The board of directors recommends a vote</w:t>
      </w:r>
    </w:p>
    <w:p>
      <w:pPr>
        <w:pStyle w:val="TextBody"/>
        <w:bidi w:val="0"/>
        <w:spacing w:before="0" w:after="283"/>
        <w:jc w:val="center"/>
        <w:rPr>
          <w:rFonts w:ascii="Arial;Helvetica;sans-serif" w:hAnsi="Arial;Helvetica;sans-serif"/>
          <w:b/>
          <w:color w:val="0079C1"/>
          <w:sz w:val="28"/>
        </w:rPr>
      </w:pPr>
      <w:r>
        <w:rPr>
          <w:rFonts w:ascii="Arial;Helvetica;sans-serif" w:hAnsi="Arial;Helvetica;sans-serif"/>
          <w:b/>
          <w:color w:val="0079C1"/>
          <w:sz w:val="28"/>
        </w:rPr>
        <w:t xml:space="preserve">FOR </w:t>
      </w:r>
    </w:p>
    <w:p>
      <w:pPr>
        <w:pStyle w:val="TextBody"/>
        <w:bidi w:val="0"/>
        <w:spacing w:before="0" w:after="283"/>
        <w:jc w:val="center"/>
        <w:rPr>
          <w:rFonts w:ascii="Arial;Helvetica;sans-serif" w:hAnsi="Arial;Helvetica;sans-serif"/>
          <w:b/>
          <w:color w:val="0079C1"/>
          <w:sz w:val="24"/>
        </w:rPr>
      </w:pPr>
      <w:r>
        <w:rPr>
          <w:rFonts w:ascii="Arial;Helvetica;sans-serif" w:hAnsi="Arial;Helvetica;sans-serif"/>
          <w:b/>
          <w:color w:val="0079C1"/>
          <w:sz w:val="24"/>
        </w:rPr>
        <w:t>each of the four nominees for election as directors.</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22</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2" w:name="ny20042784x1_def14a_112-prop1_pg4"/>
        <w:bookmarkEnd w:id="5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Arial;Helvetica;sans-serif" w:hAnsi="Arial;Helvetica;sans-serif"/>
          <w:b/>
          <w:color w:val="0D3F64"/>
          <w:sz w:val="28"/>
        </w:rPr>
      </w:pPr>
      <w:bookmarkStart w:id="53" w:name="tBOC"/>
      <w:bookmarkEnd w:id="53"/>
      <w:r>
        <w:rPr>
          <w:rFonts w:ascii="Arial;Helvetica;sans-serif" w:hAnsi="Arial;Helvetica;sans-serif"/>
          <w:b/>
          <w:color w:val="0D3F64"/>
          <w:sz w:val="28"/>
        </w:rPr>
        <w:t>Beneficial Ownership of Common Stock</w:t>
      </w:r>
    </w:p>
    <w:p>
      <w:pPr>
        <w:pStyle w:val="TextBody"/>
        <w:bidi w:val="0"/>
        <w:spacing w:before="36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following table sets forth the number of outstanding shares of Class A and Class B common stock beneficially owned and the percentage of each class beneficially owned, as of the record date of April 15, 2025, by:</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C4C4C"/>
              </w:rPr>
            </w:pPr>
            <w:r>
              <w:rPr>
                <w:color w:val="4C4C4C"/>
              </w:rPr>
              <w:t>•</w:t>
            </w:r>
          </w:p>
        </w:tc>
        <w:tc>
          <w:tcPr>
            <w:tcW w:w="10065" w:type="dxa"/>
            <w:tcBorders/>
            <w:vAlign w:val="center"/>
          </w:tcPr>
          <w:p>
            <w:pPr>
              <w:pStyle w:val="TableContents"/>
              <w:bidi w:val="0"/>
              <w:spacing w:before="0" w:after="0"/>
              <w:jc w:val="both"/>
              <w:rPr>
                <w:rFonts w:ascii="Arial;Helvetica;sans-serif" w:hAnsi="Arial;Helvetica;sans-serif"/>
                <w:color w:val="4C4C4C"/>
                <w:sz w:val="20"/>
              </w:rPr>
            </w:pPr>
            <w:r>
              <w:rPr>
                <w:rFonts w:ascii="Arial;Helvetica;sans-serif" w:hAnsi="Arial;Helvetica;sans-serif"/>
                <w:color w:val="4C4C4C"/>
                <w:sz w:val="20"/>
              </w:rPr>
              <w:t>each person known to us to be the beneficial owner of more than five percent of the then-outstanding Class A common stock (on an as-converted basis) or the then-outstanding Class B common stock;</w:t>
            </w:r>
          </w:p>
        </w:tc>
      </w:tr>
    </w:tbl>
    <w:tbl>
      <w:tblPr>
        <w:tblW w:w="8275" w:type="dxa"/>
        <w:jc w:val="left"/>
        <w:tblInd w:w="0" w:type="dxa"/>
        <w:tblLayout w:type="fixed"/>
        <w:tblCellMar>
          <w:top w:w="0" w:type="dxa"/>
          <w:left w:w="0" w:type="dxa"/>
          <w:bottom w:w="0" w:type="dxa"/>
          <w:right w:w="0" w:type="dxa"/>
        </w:tblCellMar>
      </w:tblPr>
      <w:tblGrid>
        <w:gridCol w:w="140"/>
        <w:gridCol w:w="8135"/>
      </w:tblGrid>
      <w:tr>
        <w:trPr/>
        <w:tc>
          <w:tcPr>
            <w:tcW w:w="140" w:type="dxa"/>
            <w:tcBorders/>
            <w:vAlign w:val="center"/>
          </w:tcPr>
          <w:p>
            <w:pPr>
              <w:pStyle w:val="TableContents"/>
              <w:bidi w:val="0"/>
              <w:spacing w:before="0" w:after="0"/>
              <w:jc w:val="left"/>
              <w:rPr>
                <w:color w:val="4C4C4C"/>
              </w:rPr>
            </w:pPr>
            <w:r>
              <w:rPr>
                <w:color w:val="4C4C4C"/>
              </w:rPr>
              <w:t>•</w:t>
            </w:r>
          </w:p>
        </w:tc>
        <w:tc>
          <w:tcPr>
            <w:tcW w:w="8135"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each of the directors (who include each of the director nominees) and each of the NEOs; and</w:t>
            </w:r>
          </w:p>
        </w:tc>
      </w:tr>
    </w:tbl>
    <w:tbl>
      <w:tblPr>
        <w:tblW w:w="8410" w:type="dxa"/>
        <w:jc w:val="left"/>
        <w:tblInd w:w="0" w:type="dxa"/>
        <w:tblLayout w:type="fixed"/>
        <w:tblCellMar>
          <w:top w:w="0" w:type="dxa"/>
          <w:left w:w="0" w:type="dxa"/>
          <w:bottom w:w="0" w:type="dxa"/>
          <w:right w:w="0" w:type="dxa"/>
        </w:tblCellMar>
      </w:tblPr>
      <w:tblGrid>
        <w:gridCol w:w="140"/>
        <w:gridCol w:w="8270"/>
      </w:tblGrid>
      <w:tr>
        <w:trPr/>
        <w:tc>
          <w:tcPr>
            <w:tcW w:w="140" w:type="dxa"/>
            <w:tcBorders/>
            <w:vAlign w:val="center"/>
          </w:tcPr>
          <w:p>
            <w:pPr>
              <w:pStyle w:val="TableContents"/>
              <w:bidi w:val="0"/>
              <w:spacing w:before="0" w:after="0"/>
              <w:jc w:val="left"/>
              <w:rPr>
                <w:color w:val="4C4C4C"/>
              </w:rPr>
            </w:pPr>
            <w:r>
              <w:rPr>
                <w:color w:val="4C4C4C"/>
              </w:rPr>
              <w:t>•</w:t>
            </w:r>
          </w:p>
        </w:tc>
        <w:tc>
          <w:tcPr>
            <w:tcW w:w="8270"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all of our directors (who include all of the director nominees) and executive officers as a group.</w:t>
            </w:r>
          </w:p>
        </w:tc>
      </w:tr>
    </w:tbl>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number of shares of Class A and Class B common stock beneficially owned by each person is determined under the rules of the SEC. Under these rules, beneficial ownership includes any shares as to which the individual has sole or shared voting power or investment power and also any shares that the individual has the right to acquire by June 14, 2025 (sixty days after April 15, 2025) through the exercise or conversion of a security or other right. As of April 15, 2025, there were 58,842,693 shares of Class A common stock outstanding and 5,021,811 shares of Class B common stock outstanding. Unless otherwise indicated, each person has sole investment and voting power, or shares such power with a family member, with respect to the shares set forth in the following table. The inclusion in this table of any shares deemed beneficially owned does not constitute an admission of beneficial ownership of those shares for any other purpose. Unless otherwise indicated, the address of all individuals listed below is c/o ACM Research, Inc., 42307 Osgood Road, Suite I, Fremont, California 94539.</w:t>
      </w:r>
    </w:p>
    <w:tbl>
      <w:tblPr>
        <w:tblW w:w="10205" w:type="dxa"/>
        <w:jc w:val="left"/>
        <w:tblInd w:w="0" w:type="dxa"/>
        <w:tblLayout w:type="fixed"/>
        <w:tblCellMar>
          <w:top w:w="0" w:type="dxa"/>
          <w:left w:w="0" w:type="dxa"/>
          <w:bottom w:w="0" w:type="dxa"/>
          <w:right w:w="0" w:type="dxa"/>
        </w:tblCellMar>
      </w:tblPr>
      <w:tblGrid>
        <w:gridCol w:w="185"/>
        <w:gridCol w:w="3995"/>
        <w:gridCol w:w="170"/>
        <w:gridCol w:w="170"/>
        <w:gridCol w:w="1010"/>
        <w:gridCol w:w="170"/>
        <w:gridCol w:w="170"/>
        <w:gridCol w:w="533"/>
        <w:gridCol w:w="170"/>
        <w:gridCol w:w="170"/>
        <w:gridCol w:w="905"/>
        <w:gridCol w:w="170"/>
        <w:gridCol w:w="170"/>
        <w:gridCol w:w="533"/>
        <w:gridCol w:w="170"/>
        <w:gridCol w:w="170"/>
        <w:gridCol w:w="1128"/>
        <w:gridCol w:w="216"/>
      </w:tblGrid>
      <w:tr>
        <w:trPr/>
        <w:tc>
          <w:tcPr>
            <w:tcW w:w="185" w:type="dxa"/>
            <w:tcBorders/>
            <w:shd w:fill="0D3F64" w:val="clear"/>
            <w:vAlign w:val="center"/>
          </w:tcPr>
          <w:p>
            <w:pPr>
              <w:pStyle w:val="TableContents"/>
              <w:bidi w:val="0"/>
              <w:spacing w:before="0" w:after="0"/>
              <w:jc w:val="left"/>
              <w:rPr/>
            </w:pPr>
            <w:r>
              <w:rPr/>
              <w:t> </w:t>
            </w:r>
          </w:p>
        </w:tc>
        <w:tc>
          <w:tcPr>
            <w:tcW w:w="3995"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883" w:type="dxa"/>
            <w:gridSpan w:val="4"/>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78" w:type="dxa"/>
            <w:gridSpan w:val="4"/>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128" w:type="dxa"/>
            <w:tcBorders/>
            <w:shd w:fill="0D3F64" w:val="clear"/>
            <w:vAlign w:val="center"/>
          </w:tcPr>
          <w:p>
            <w:pPr>
              <w:pStyle w:val="TableContents"/>
              <w:bidi w:val="0"/>
              <w:spacing w:before="0" w:after="0"/>
              <w:jc w:val="left"/>
              <w:rPr/>
            </w:pPr>
            <w:r>
              <w:rPr/>
              <w:t> </w:t>
            </w:r>
          </w:p>
        </w:tc>
        <w:tc>
          <w:tcPr>
            <w:tcW w:w="216" w:type="dxa"/>
            <w:tcBorders/>
            <w:shd w:fill="0D3F64" w:val="clear"/>
            <w:vAlign w:val="center"/>
          </w:tcPr>
          <w:p>
            <w:pPr>
              <w:pStyle w:val="TableContents"/>
              <w:bidi w:val="0"/>
              <w:spacing w:before="0" w:after="0"/>
              <w:jc w:val="left"/>
              <w:rPr/>
            </w:pPr>
            <w:r>
              <w:rPr/>
              <w:t> </w:t>
            </w:r>
          </w:p>
        </w:tc>
      </w:tr>
      <w:tr>
        <w:trPr/>
        <w:tc>
          <w:tcPr>
            <w:tcW w:w="185" w:type="dxa"/>
            <w:tcBorders/>
            <w:shd w:fill="0D3F64" w:val="clear"/>
            <w:vAlign w:val="center"/>
          </w:tcPr>
          <w:p>
            <w:pPr>
              <w:pStyle w:val="TableContents"/>
              <w:bidi w:val="0"/>
              <w:spacing w:before="0" w:after="0"/>
              <w:jc w:val="left"/>
              <w:rPr/>
            </w:pPr>
            <w:r>
              <w:rPr/>
              <w:t> </w:t>
            </w:r>
          </w:p>
        </w:tc>
        <w:tc>
          <w:tcPr>
            <w:tcW w:w="3995" w:type="dxa"/>
            <w:tcBorders/>
            <w:shd w:fill="0D3F64" w:val="clear"/>
            <w:vAlign w:val="center"/>
          </w:tcPr>
          <w:p>
            <w:pPr>
              <w:pStyle w:val="TableContents"/>
              <w:bidi w:val="0"/>
              <w:spacing w:before="20" w:after="283"/>
              <w:ind w:left="20" w:right="0" w:hanging="0"/>
              <w:jc w:val="left"/>
              <w:rPr>
                <w:color w:val="FFFFFF"/>
              </w:rPr>
            </w:pPr>
            <w:r>
              <w:rPr>
                <w:color w:val="FFFFFF"/>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883" w:type="dxa"/>
            <w:gridSpan w:val="4"/>
            <w:tcBorders>
              <w:bottom w:val="single" w:sz="8" w:space="0" w:color="FFFFFF"/>
            </w:tcBorders>
            <w:shd w:fill="0D3F64" w:val="clear"/>
            <w:tcMar>
              <w:bottom w:w="33" w:type="dxa"/>
            </w:tcM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Class A(1)</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78" w:type="dxa"/>
            <w:gridSpan w:val="4"/>
            <w:tcBorders>
              <w:bottom w:val="single" w:sz="8" w:space="0" w:color="FFFFFF"/>
            </w:tcBorders>
            <w:shd w:fill="0D3F64" w:val="clear"/>
            <w:tcMar>
              <w:bottom w:w="33" w:type="dxa"/>
            </w:tcM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Class B</w:t>
            </w:r>
          </w:p>
        </w:tc>
        <w:tc>
          <w:tcPr>
            <w:tcW w:w="170" w:type="dxa"/>
            <w:tcBorders/>
            <w:shd w:fill="0D3F64" w:val="clear"/>
            <w:vAlign w:val="center"/>
          </w:tcPr>
          <w:p>
            <w:pPr>
              <w:pStyle w:val="TableContents"/>
              <w:bidi w:val="0"/>
              <w:spacing w:before="0" w:after="0"/>
              <w:jc w:val="left"/>
              <w:rPr/>
            </w:pPr>
            <w:r>
              <w:rPr/>
              <w:t> </w:t>
            </w:r>
          </w:p>
        </w:tc>
        <w:tc>
          <w:tcPr>
            <w:tcW w:w="170" w:type="dxa"/>
            <w:vMerge w:val="restart"/>
            <w:tcBorders/>
            <w:shd w:fill="0D3F64" w:val="clear"/>
            <w:vAlign w:val="center"/>
          </w:tcPr>
          <w:p>
            <w:pPr>
              <w:pStyle w:val="TableContents"/>
              <w:bidi w:val="0"/>
              <w:spacing w:before="0" w:after="0"/>
              <w:jc w:val="left"/>
              <w:rPr/>
            </w:pPr>
            <w:r>
              <w:rPr/>
              <w:t> </w:t>
            </w:r>
          </w:p>
        </w:tc>
        <w:tc>
          <w:tcPr>
            <w:tcW w:w="1128" w:type="dxa"/>
            <w:vMerge w:val="restart"/>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 of Total Voting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Power(2)</w:t>
            </w:r>
          </w:p>
        </w:tc>
        <w:tc>
          <w:tcPr>
            <w:tcW w:w="216" w:type="dxa"/>
            <w:vMerge w:val="restart"/>
            <w:tcBorders/>
            <w:shd w:fill="0D3F64" w:val="clear"/>
            <w:vAlign w:val="center"/>
          </w:tcPr>
          <w:p>
            <w:pPr>
              <w:pStyle w:val="TableContents"/>
              <w:bidi w:val="0"/>
              <w:spacing w:before="0" w:after="0"/>
              <w:jc w:val="left"/>
              <w:rPr/>
            </w:pPr>
            <w:r>
              <w:rPr/>
              <w:t> </w:t>
            </w:r>
          </w:p>
        </w:tc>
      </w:tr>
      <w:tr>
        <w:trPr/>
        <w:tc>
          <w:tcPr>
            <w:tcW w:w="185" w:type="dxa"/>
            <w:tcBorders/>
            <w:shd w:fill="0D3F64" w:val="clear"/>
            <w:vAlign w:val="center"/>
          </w:tcPr>
          <w:p>
            <w:pPr>
              <w:pStyle w:val="TableContents"/>
              <w:bidi w:val="0"/>
              <w:spacing w:before="0" w:after="0"/>
              <w:jc w:val="left"/>
              <w:rPr/>
            </w:pPr>
            <w:r>
              <w:rPr/>
              <w:t> </w:t>
            </w:r>
          </w:p>
        </w:tc>
        <w:tc>
          <w:tcPr>
            <w:tcW w:w="3995" w:type="dxa"/>
            <w:tcBorders/>
            <w:shd w:fill="0D3F64" w:val="clear"/>
            <w:vAlign w:val="center"/>
          </w:tcPr>
          <w:p>
            <w:pPr>
              <w:pStyle w:val="TableContents"/>
              <w:bidi w:val="0"/>
              <w:spacing w:before="20" w:after="283"/>
              <w:ind w:left="20" w:right="0" w:hanging="0"/>
              <w:jc w:val="left"/>
              <w:rPr>
                <w:rFonts w:ascii="Arial;Helvetica;sans-serif" w:hAnsi="Arial;Helvetica;sans-serif"/>
                <w:b/>
                <w:color w:val="FFFFFF"/>
                <w:sz w:val="16"/>
              </w:rPr>
            </w:pPr>
            <w:r>
              <w:rPr>
                <w:rFonts w:ascii="Arial;Helvetica;sans-serif" w:hAnsi="Arial;Helvetica;sans-serif"/>
                <w:b/>
                <w:color w:val="FFFFFF"/>
                <w:sz w:val="16"/>
              </w:rPr>
              <w:t>Beneficial Owner</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010"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Shares</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533"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905"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Shares</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533"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0D3F64" w:val="clear"/>
            <w:vAlign w:val="center"/>
          </w:tcPr>
          <w:p>
            <w:pPr>
              <w:pStyle w:val="TableContents"/>
              <w:bidi w:val="0"/>
              <w:spacing w:before="0" w:after="0"/>
              <w:jc w:val="left"/>
              <w:rPr/>
            </w:pPr>
            <w:r>
              <w:rPr/>
              <w:t> </w:t>
            </w:r>
          </w:p>
        </w:tc>
        <w:tc>
          <w:tcPr>
            <w:tcW w:w="170" w:type="dxa"/>
            <w:vMerge w:val="continue"/>
            <w:tcBorders/>
            <w:shd w:fill="0D3F64" w:val="clear"/>
            <w:vAlign w:val="center"/>
          </w:tcPr>
          <w:p>
            <w:pPr>
              <w:pStyle w:val="Normal"/>
              <w:bidi w:val="0"/>
              <w:jc w:val="left"/>
              <w:rPr/>
            </w:pPr>
            <w:r>
              <w:rPr/>
            </w:r>
          </w:p>
        </w:tc>
        <w:tc>
          <w:tcPr>
            <w:tcW w:w="1128" w:type="dxa"/>
            <w:vMerge w:val="continue"/>
            <w:tcBorders/>
            <w:shd w:fill="0D3F64" w:val="clear"/>
            <w:vAlign w:val="center"/>
          </w:tcPr>
          <w:p>
            <w:pPr>
              <w:pStyle w:val="Normal"/>
              <w:bidi w:val="0"/>
              <w:jc w:val="left"/>
              <w:rPr/>
            </w:pPr>
            <w:r>
              <w:rPr/>
            </w:r>
          </w:p>
        </w:tc>
        <w:tc>
          <w:tcPr>
            <w:tcW w:w="216" w:type="dxa"/>
            <w:vMerge w:val="continue"/>
            <w:tcBorders/>
            <w:shd w:fill="0D3F64" w:val="clear"/>
            <w:vAlign w:val="center"/>
          </w:tcPr>
          <w:p>
            <w:pPr>
              <w:pStyle w:val="Normal"/>
              <w:bidi w:val="0"/>
              <w:jc w:val="left"/>
              <w:rPr/>
            </w:pPr>
            <w:r>
              <w:rPr/>
            </w:r>
          </w:p>
        </w:tc>
      </w:tr>
      <w:tr>
        <w:trPr/>
        <w:tc>
          <w:tcPr>
            <w:tcW w:w="185" w:type="dxa"/>
            <w:tcBorders/>
            <w:vAlign w:val="center"/>
          </w:tcPr>
          <w:p>
            <w:pPr>
              <w:pStyle w:val="TableContents"/>
              <w:bidi w:val="0"/>
              <w:spacing w:before="0" w:after="0"/>
              <w:jc w:val="left"/>
              <w:rPr/>
            </w:pPr>
            <w:r>
              <w:rPr/>
              <w:t> </w:t>
            </w:r>
          </w:p>
        </w:tc>
        <w:tc>
          <w:tcPr>
            <w:tcW w:w="3995" w:type="dxa"/>
            <w:tcBorders/>
            <w:vAlign w:val="center"/>
          </w:tcPr>
          <w:p>
            <w:pPr>
              <w:pStyle w:val="TableContents"/>
              <w:bidi w:val="0"/>
              <w:spacing w:before="0" w:after="283"/>
              <w:ind w:left="20" w:right="0" w:hanging="0"/>
              <w:jc w:val="left"/>
              <w:rPr>
                <w:rFonts w:ascii="Arial;Helvetica;sans-serif" w:hAnsi="Arial;Helvetica;sans-serif"/>
                <w:b/>
                <w:i/>
                <w:color w:val="4C4C4C"/>
                <w:sz w:val="20"/>
              </w:rPr>
            </w:pPr>
            <w:r>
              <w:rPr>
                <w:rFonts w:ascii="Arial;Helvetica;sans-serif" w:hAnsi="Arial;Helvetica;sans-serif"/>
                <w:b/>
                <w:i/>
                <w:color w:val="4C4C4C"/>
                <w:sz w:val="20"/>
              </w:rPr>
              <w:t>5% Stockholders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center"/>
              <w:rPr>
                <w:color w:val="4C4C4C"/>
              </w:rPr>
            </w:pPr>
            <w:r>
              <w:rPr>
                <w:color w:val="4C4C4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3" w:type="dxa"/>
            <w:tcBorders/>
            <w:vAlign w:val="center"/>
          </w:tcPr>
          <w:p>
            <w:pPr>
              <w:pStyle w:val="TableContents"/>
              <w:bidi w:val="0"/>
              <w:spacing w:before="0" w:after="0"/>
              <w:jc w:val="center"/>
              <w:rPr>
                <w:color w:val="4C4C4C"/>
              </w:rPr>
            </w:pPr>
            <w:r>
              <w:rPr>
                <w:color w:val="4C4C4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center"/>
              <w:rPr>
                <w:color w:val="4C4C4C"/>
              </w:rPr>
            </w:pPr>
            <w:r>
              <w:rPr>
                <w:color w:val="4C4C4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3" w:type="dxa"/>
            <w:tcBorders/>
            <w:vAlign w:val="center"/>
          </w:tcPr>
          <w:p>
            <w:pPr>
              <w:pStyle w:val="TableContents"/>
              <w:bidi w:val="0"/>
              <w:spacing w:before="0" w:after="0"/>
              <w:jc w:val="center"/>
              <w:rPr>
                <w:color w:val="4C4C4C"/>
              </w:rPr>
            </w:pPr>
            <w:r>
              <w:rPr>
                <w:color w:val="4C4C4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8" w:type="dxa"/>
            <w:tcBorders/>
            <w:vAlign w:val="center"/>
          </w:tcPr>
          <w:p>
            <w:pPr>
              <w:pStyle w:val="TableContents"/>
              <w:bidi w:val="0"/>
              <w:spacing w:before="0" w:after="0"/>
              <w:jc w:val="center"/>
              <w:rPr>
                <w:color w:val="4C4C4C"/>
              </w:rPr>
            </w:pPr>
            <w:r>
              <w:rPr>
                <w:color w:val="4C4C4C"/>
              </w:rPr>
              <w:t> </w:t>
            </w:r>
          </w:p>
        </w:tc>
        <w:tc>
          <w:tcPr>
            <w:tcW w:w="216" w:type="dxa"/>
            <w:tcBorders/>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3995" w:type="dxa"/>
            <w:tcBorders/>
            <w:shd w:fill="BAE2F8" w:val="clear"/>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The Vanguard Group(3)</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010"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 xml:space="preserve">4,057,397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533" w:type="dxa"/>
            <w:tcBorders/>
            <w:shd w:fill="BAE2F8" w:val="clear"/>
            <w:vAlign w:val="center"/>
          </w:tcPr>
          <w:p>
            <w:pPr>
              <w:pStyle w:val="TableContents"/>
              <w:bidi w:val="0"/>
              <w:spacing w:before="0" w:after="283"/>
              <w:ind w:left="182" w:right="0" w:hanging="0"/>
              <w:jc w:val="left"/>
              <w:rPr>
                <w:rFonts w:ascii="Arial;Helvetica;sans-serif" w:hAnsi="Arial;Helvetica;sans-serif"/>
                <w:color w:val="4C4C4C"/>
                <w:sz w:val="20"/>
              </w:rPr>
            </w:pPr>
            <w:r>
              <w:rPr>
                <w:rFonts w:ascii="Arial;Helvetica;sans-serif" w:hAnsi="Arial;Helvetica;sans-serif"/>
                <w:color w:val="4C4C4C"/>
                <w:sz w:val="20"/>
              </w:rPr>
              <w:t xml:space="preserve">6.9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905" w:type="dxa"/>
            <w:tcBorders/>
            <w:shd w:fill="BAE2F8" w:val="clear"/>
            <w:vAlign w:val="center"/>
          </w:tcPr>
          <w:p>
            <w:pPr>
              <w:pStyle w:val="TableContents"/>
              <w:bidi w:val="0"/>
              <w:spacing w:before="0" w:after="283"/>
              <w:ind w:left="0" w:right="0" w:hanging="0"/>
              <w:jc w:val="left"/>
              <w:rPr>
                <w:color w:val="4C4C4C"/>
              </w:rPr>
            </w:pPr>
            <w:r>
              <w:rPr>
                <w:color w:val="4C4C4C"/>
              </w:rPr>
              <w:t>—</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533" w:type="dxa"/>
            <w:tcBorders/>
            <w:shd w:fill="BAE2F8" w:val="clear"/>
            <w:vAlign w:val="center"/>
          </w:tcPr>
          <w:p>
            <w:pPr>
              <w:pStyle w:val="TableContents"/>
              <w:bidi w:val="0"/>
              <w:spacing w:before="0" w:after="283"/>
              <w:ind w:left="181" w:right="0" w:hanging="0"/>
              <w:jc w:val="left"/>
              <w:rPr>
                <w:color w:val="4C4C4C"/>
              </w:rPr>
            </w:pPr>
            <w:r>
              <w:rPr>
                <w:color w:val="4C4C4C"/>
              </w:rPr>
              <w:t>—</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128" w:type="dxa"/>
            <w:tcBorders/>
            <w:shd w:fill="BAE2F8" w:val="clear"/>
            <w:vAlign w:val="center"/>
          </w:tcPr>
          <w:p>
            <w:pPr>
              <w:pStyle w:val="TableContents"/>
              <w:bidi w:val="0"/>
              <w:spacing w:before="0" w:after="283"/>
              <w:ind w:left="390" w:right="0" w:hanging="0"/>
              <w:jc w:val="left"/>
              <w:rPr>
                <w:rFonts w:ascii="Arial;Helvetica;sans-serif" w:hAnsi="Arial;Helvetica;sans-serif"/>
                <w:color w:val="4C4C4C"/>
                <w:sz w:val="20"/>
              </w:rPr>
            </w:pPr>
            <w:r>
              <w:rPr>
                <w:rFonts w:ascii="Arial;Helvetica;sans-serif" w:hAnsi="Arial;Helvetica;sans-serif"/>
                <w:color w:val="4C4C4C"/>
                <w:sz w:val="20"/>
              </w:rPr>
              <w:t xml:space="preserve">2.5 </w:t>
            </w:r>
          </w:p>
        </w:tc>
        <w:tc>
          <w:tcPr>
            <w:tcW w:w="216" w:type="dxa"/>
            <w:tcBorders/>
            <w:shd w:fill="BAE2F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95" w:type="dxa"/>
            <w:tcBorders/>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Blackrock, Inc(4)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 xml:space="preserve">3,828,440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3" w:type="dxa"/>
            <w:tcBorders/>
            <w:vAlign w:val="center"/>
          </w:tcPr>
          <w:p>
            <w:pPr>
              <w:pStyle w:val="TableContents"/>
              <w:bidi w:val="0"/>
              <w:spacing w:before="0" w:after="283"/>
              <w:ind w:left="182" w:right="0" w:hanging="0"/>
              <w:jc w:val="left"/>
              <w:rPr>
                <w:rFonts w:ascii="Arial;Helvetica;sans-serif" w:hAnsi="Arial;Helvetica;sans-serif"/>
                <w:color w:val="4C4C4C"/>
                <w:sz w:val="20"/>
              </w:rPr>
            </w:pPr>
            <w:r>
              <w:rPr>
                <w:rFonts w:ascii="Arial;Helvetica;sans-serif" w:hAnsi="Arial;Helvetica;sans-serif"/>
                <w:color w:val="4C4C4C"/>
                <w:sz w:val="20"/>
              </w:rPr>
              <w:t xml:space="preserve">6.5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color w:val="4C4C4C"/>
              </w:rPr>
            </w:pPr>
            <w:r>
              <w:rPr>
                <w:color w:val="4C4C4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3" w:type="dxa"/>
            <w:tcBorders/>
            <w:vAlign w:val="center"/>
          </w:tcPr>
          <w:p>
            <w:pPr>
              <w:pStyle w:val="TableContents"/>
              <w:bidi w:val="0"/>
              <w:spacing w:before="0" w:after="283"/>
              <w:ind w:left="181" w:right="0" w:hanging="0"/>
              <w:jc w:val="left"/>
              <w:rPr>
                <w:color w:val="4C4C4C"/>
              </w:rPr>
            </w:pPr>
            <w:r>
              <w:rPr>
                <w:color w:val="4C4C4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8" w:type="dxa"/>
            <w:tcBorders/>
            <w:vAlign w:val="center"/>
          </w:tcPr>
          <w:p>
            <w:pPr>
              <w:pStyle w:val="TableContents"/>
              <w:bidi w:val="0"/>
              <w:spacing w:before="0" w:after="283"/>
              <w:ind w:left="390" w:right="0" w:hanging="0"/>
              <w:jc w:val="left"/>
              <w:rPr>
                <w:rFonts w:ascii="Arial;Helvetica;sans-serif" w:hAnsi="Arial;Helvetica;sans-serif"/>
                <w:color w:val="4C4C4C"/>
                <w:sz w:val="20"/>
              </w:rPr>
            </w:pPr>
            <w:r>
              <w:rPr>
                <w:rFonts w:ascii="Arial;Helvetica;sans-serif" w:hAnsi="Arial;Helvetica;sans-serif"/>
                <w:color w:val="4C4C4C"/>
                <w:sz w:val="20"/>
              </w:rPr>
              <w:t xml:space="preserve">2.4 </w:t>
            </w:r>
          </w:p>
        </w:tc>
        <w:tc>
          <w:tcPr>
            <w:tcW w:w="216" w:type="dxa"/>
            <w:tcBorders/>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3995" w:type="dxa"/>
            <w:tcBorders/>
            <w:shd w:fill="BAE2F8" w:val="clear"/>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Shanghai Pudong Innotek Capital Co., Ltd.(5)</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010"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 xml:space="preserve">3,358,728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533" w:type="dxa"/>
            <w:tcBorders/>
            <w:shd w:fill="BAE2F8" w:val="clear"/>
            <w:vAlign w:val="center"/>
          </w:tcPr>
          <w:p>
            <w:pPr>
              <w:pStyle w:val="TableContents"/>
              <w:bidi w:val="0"/>
              <w:spacing w:before="0" w:after="283"/>
              <w:ind w:left="182" w:right="0" w:hanging="0"/>
              <w:jc w:val="left"/>
              <w:rPr>
                <w:rFonts w:ascii="Arial;Helvetica;sans-serif" w:hAnsi="Arial;Helvetica;sans-serif"/>
                <w:color w:val="4C4C4C"/>
                <w:sz w:val="20"/>
              </w:rPr>
            </w:pPr>
            <w:r>
              <w:rPr>
                <w:rFonts w:ascii="Arial;Helvetica;sans-serif" w:hAnsi="Arial;Helvetica;sans-serif"/>
                <w:color w:val="4C4C4C"/>
                <w:sz w:val="20"/>
              </w:rPr>
              <w:t xml:space="preserve">5.7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905" w:type="dxa"/>
            <w:tcBorders/>
            <w:shd w:fill="BAE2F8" w:val="clear"/>
            <w:vAlign w:val="center"/>
          </w:tcPr>
          <w:p>
            <w:pPr>
              <w:pStyle w:val="TableContents"/>
              <w:bidi w:val="0"/>
              <w:spacing w:before="0" w:after="283"/>
              <w:ind w:left="0" w:right="0" w:hanging="0"/>
              <w:jc w:val="left"/>
              <w:rPr>
                <w:color w:val="4C4C4C"/>
              </w:rPr>
            </w:pPr>
            <w:r>
              <w:rPr>
                <w:color w:val="4C4C4C"/>
              </w:rPr>
              <w:t>—</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533" w:type="dxa"/>
            <w:tcBorders/>
            <w:shd w:fill="BAE2F8" w:val="clear"/>
            <w:vAlign w:val="center"/>
          </w:tcPr>
          <w:p>
            <w:pPr>
              <w:pStyle w:val="TableContents"/>
              <w:bidi w:val="0"/>
              <w:spacing w:before="0" w:after="283"/>
              <w:ind w:left="181" w:right="0" w:hanging="0"/>
              <w:jc w:val="left"/>
              <w:rPr>
                <w:color w:val="4C4C4C"/>
              </w:rPr>
            </w:pPr>
            <w:r>
              <w:rPr>
                <w:color w:val="4C4C4C"/>
              </w:rPr>
              <w:t>—</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128" w:type="dxa"/>
            <w:tcBorders/>
            <w:shd w:fill="BAE2F8" w:val="clear"/>
            <w:vAlign w:val="center"/>
          </w:tcPr>
          <w:p>
            <w:pPr>
              <w:pStyle w:val="TableContents"/>
              <w:bidi w:val="0"/>
              <w:spacing w:before="0" w:after="283"/>
              <w:ind w:left="390" w:right="0" w:hanging="0"/>
              <w:jc w:val="left"/>
              <w:rPr>
                <w:rFonts w:ascii="Arial;Helvetica;sans-serif" w:hAnsi="Arial;Helvetica;sans-serif"/>
                <w:color w:val="4C4C4C"/>
                <w:sz w:val="20"/>
              </w:rPr>
            </w:pPr>
            <w:r>
              <w:rPr>
                <w:rFonts w:ascii="Arial;Helvetica;sans-serif" w:hAnsi="Arial;Helvetica;sans-serif"/>
                <w:color w:val="4C4C4C"/>
                <w:sz w:val="20"/>
              </w:rPr>
              <w:t xml:space="preserve">2.1 </w:t>
            </w:r>
          </w:p>
        </w:tc>
        <w:tc>
          <w:tcPr>
            <w:tcW w:w="216" w:type="dxa"/>
            <w:tcBorders/>
            <w:shd w:fill="BAE2F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95" w:type="dxa"/>
            <w:tcBorders/>
            <w:vAlign w:val="center"/>
          </w:tcPr>
          <w:p>
            <w:pPr>
              <w:pStyle w:val="TableContents"/>
              <w:bidi w:val="0"/>
              <w:spacing w:before="0" w:after="283"/>
              <w:ind w:left="20" w:right="0" w:hanging="0"/>
              <w:jc w:val="left"/>
              <w:rPr>
                <w:rFonts w:ascii="Arial;Helvetica;sans-serif" w:hAnsi="Arial;Helvetica;sans-serif"/>
                <w:b/>
                <w:i/>
                <w:color w:val="4C4C4C"/>
                <w:sz w:val="20"/>
              </w:rPr>
            </w:pPr>
            <w:r>
              <w:rPr>
                <w:rFonts w:ascii="Arial;Helvetica;sans-serif" w:hAnsi="Arial;Helvetica;sans-serif"/>
                <w:b/>
                <w:i/>
                <w:color w:val="4C4C4C"/>
                <w:sz w:val="20"/>
              </w:rPr>
              <w:t>Named Executive Officers and 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center"/>
              <w:rPr>
                <w:color w:val="4C4C4C"/>
              </w:rPr>
            </w:pPr>
            <w:r>
              <w:rPr>
                <w:color w:val="4C4C4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3" w:type="dxa"/>
            <w:tcBorders/>
            <w:vAlign w:val="center"/>
          </w:tcPr>
          <w:p>
            <w:pPr>
              <w:pStyle w:val="TableContents"/>
              <w:bidi w:val="0"/>
              <w:spacing w:before="0" w:after="0"/>
              <w:jc w:val="center"/>
              <w:rPr>
                <w:color w:val="4C4C4C"/>
              </w:rPr>
            </w:pPr>
            <w:r>
              <w:rPr>
                <w:color w:val="4C4C4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center"/>
              <w:rPr>
                <w:color w:val="4C4C4C"/>
              </w:rPr>
            </w:pPr>
            <w:r>
              <w:rPr>
                <w:color w:val="4C4C4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3" w:type="dxa"/>
            <w:tcBorders/>
            <w:vAlign w:val="center"/>
          </w:tcPr>
          <w:p>
            <w:pPr>
              <w:pStyle w:val="TableContents"/>
              <w:bidi w:val="0"/>
              <w:spacing w:before="0" w:after="0"/>
              <w:jc w:val="center"/>
              <w:rPr>
                <w:color w:val="4C4C4C"/>
              </w:rPr>
            </w:pPr>
            <w:r>
              <w:rPr>
                <w:color w:val="4C4C4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8" w:type="dxa"/>
            <w:tcBorders/>
            <w:vAlign w:val="center"/>
          </w:tcPr>
          <w:p>
            <w:pPr>
              <w:pStyle w:val="TableContents"/>
              <w:bidi w:val="0"/>
              <w:spacing w:before="0" w:after="0"/>
              <w:jc w:val="center"/>
              <w:rPr>
                <w:color w:val="4C4C4C"/>
              </w:rPr>
            </w:pPr>
            <w:r>
              <w:rPr>
                <w:color w:val="4C4C4C"/>
              </w:rPr>
              <w:t> </w:t>
            </w:r>
          </w:p>
        </w:tc>
        <w:tc>
          <w:tcPr>
            <w:tcW w:w="216" w:type="dxa"/>
            <w:tcBorders/>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3995" w:type="dxa"/>
            <w:tcBorders/>
            <w:shd w:fill="BAE2F8" w:val="clear"/>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David H. Wang(6)</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010"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 xml:space="preserve">7,975,755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533" w:type="dxa"/>
            <w:tcBorders/>
            <w:shd w:fill="BAE2F8" w:val="clear"/>
            <w:vAlign w:val="center"/>
          </w:tcPr>
          <w:p>
            <w:pPr>
              <w:pStyle w:val="TableContents"/>
              <w:bidi w:val="0"/>
              <w:spacing w:before="0" w:after="283"/>
              <w:ind w:left="182" w:right="0" w:hanging="0"/>
              <w:jc w:val="left"/>
              <w:rPr>
                <w:rFonts w:ascii="Arial;Helvetica;sans-serif" w:hAnsi="Arial;Helvetica;sans-serif"/>
                <w:color w:val="4C4C4C"/>
                <w:sz w:val="20"/>
              </w:rPr>
            </w:pPr>
            <w:r>
              <w:rPr>
                <w:rFonts w:ascii="Arial;Helvetica;sans-serif" w:hAnsi="Arial;Helvetica;sans-serif"/>
                <w:color w:val="4C4C4C"/>
                <w:sz w:val="20"/>
              </w:rPr>
              <w:t xml:space="preserve">13.6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905"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4,166,808</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533" w:type="dxa"/>
            <w:tcBorders/>
            <w:shd w:fill="BAE2F8" w:val="clear"/>
            <w:vAlign w:val="center"/>
          </w:tcPr>
          <w:p>
            <w:pPr>
              <w:pStyle w:val="TableContents"/>
              <w:bidi w:val="0"/>
              <w:spacing w:before="0" w:after="283"/>
              <w:ind w:left="181" w:right="0" w:hanging="0"/>
              <w:jc w:val="left"/>
              <w:rPr>
                <w:rFonts w:ascii="Arial;Helvetica;sans-serif" w:hAnsi="Arial;Helvetica;sans-serif"/>
                <w:color w:val="4C4C4C"/>
                <w:sz w:val="20"/>
              </w:rPr>
            </w:pPr>
            <w:r>
              <w:rPr>
                <w:rFonts w:ascii="Arial;Helvetica;sans-serif" w:hAnsi="Arial;Helvetica;sans-serif"/>
                <w:color w:val="4C4C4C"/>
                <w:sz w:val="20"/>
              </w:rPr>
              <w:t xml:space="preserve">83.0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128" w:type="dxa"/>
            <w:tcBorders/>
            <w:shd w:fill="BAE2F8" w:val="clear"/>
            <w:vAlign w:val="center"/>
          </w:tcPr>
          <w:p>
            <w:pPr>
              <w:pStyle w:val="TableContents"/>
              <w:bidi w:val="0"/>
              <w:spacing w:before="0" w:after="283"/>
              <w:ind w:left="390" w:right="0" w:hanging="0"/>
              <w:jc w:val="left"/>
              <w:rPr>
                <w:rFonts w:ascii="Arial;Helvetica;sans-serif" w:hAnsi="Arial;Helvetica;sans-serif"/>
                <w:color w:val="4C4C4C"/>
                <w:sz w:val="20"/>
              </w:rPr>
            </w:pPr>
            <w:r>
              <w:rPr>
                <w:rFonts w:ascii="Arial;Helvetica;sans-serif" w:hAnsi="Arial;Helvetica;sans-serif"/>
                <w:color w:val="4C4C4C"/>
                <w:sz w:val="20"/>
              </w:rPr>
              <w:t xml:space="preserve">57.3 </w:t>
            </w:r>
          </w:p>
        </w:tc>
        <w:tc>
          <w:tcPr>
            <w:tcW w:w="216" w:type="dxa"/>
            <w:tcBorders/>
            <w:shd w:fill="BAE2F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95" w:type="dxa"/>
            <w:tcBorders/>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Haiping Dun(7)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 xml:space="preserve">1,341,840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3" w:type="dxa"/>
            <w:tcBorders/>
            <w:vAlign w:val="center"/>
          </w:tcPr>
          <w:p>
            <w:pPr>
              <w:pStyle w:val="TableContents"/>
              <w:bidi w:val="0"/>
              <w:spacing w:before="0" w:after="283"/>
              <w:ind w:left="182" w:right="0" w:hanging="0"/>
              <w:jc w:val="left"/>
              <w:rPr>
                <w:rFonts w:ascii="Arial;Helvetica;sans-serif" w:hAnsi="Arial;Helvetica;sans-serif"/>
                <w:color w:val="4C4C4C"/>
                <w:sz w:val="20"/>
              </w:rPr>
            </w:pPr>
            <w:r>
              <w:rPr>
                <w:rFonts w:ascii="Arial;Helvetica;sans-serif" w:hAnsi="Arial;Helvetica;sans-serif"/>
                <w:color w:val="4C4C4C"/>
                <w:sz w:val="20"/>
              </w:rPr>
              <w:t xml:space="preserve">2.3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300,000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3" w:type="dxa"/>
            <w:tcBorders/>
            <w:vAlign w:val="center"/>
          </w:tcPr>
          <w:p>
            <w:pPr>
              <w:pStyle w:val="TableContents"/>
              <w:bidi w:val="0"/>
              <w:spacing w:before="0" w:after="283"/>
              <w:ind w:left="181" w:right="0" w:hanging="0"/>
              <w:jc w:val="left"/>
              <w:rPr>
                <w:rFonts w:ascii="Arial;Helvetica;sans-serif" w:hAnsi="Arial;Helvetica;sans-serif"/>
                <w:color w:val="4C4C4C"/>
                <w:sz w:val="20"/>
              </w:rPr>
            </w:pPr>
            <w:r>
              <w:rPr>
                <w:rFonts w:ascii="Arial;Helvetica;sans-serif" w:hAnsi="Arial;Helvetica;sans-serif"/>
                <w:color w:val="4C4C4C"/>
                <w:sz w:val="20"/>
              </w:rPr>
              <w:t xml:space="preserve">6.0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8" w:type="dxa"/>
            <w:tcBorders/>
            <w:vAlign w:val="center"/>
          </w:tcPr>
          <w:p>
            <w:pPr>
              <w:pStyle w:val="TableContents"/>
              <w:bidi w:val="0"/>
              <w:spacing w:before="0" w:after="283"/>
              <w:ind w:left="390" w:right="0" w:hanging="0"/>
              <w:jc w:val="left"/>
              <w:rPr>
                <w:rFonts w:ascii="Arial;Helvetica;sans-serif" w:hAnsi="Arial;Helvetica;sans-serif"/>
                <w:color w:val="4C4C4C"/>
                <w:sz w:val="20"/>
              </w:rPr>
            </w:pPr>
            <w:r>
              <w:rPr>
                <w:rFonts w:ascii="Arial;Helvetica;sans-serif" w:hAnsi="Arial;Helvetica;sans-serif"/>
                <w:color w:val="4C4C4C"/>
                <w:sz w:val="20"/>
              </w:rPr>
              <w:t xml:space="preserve">4.6 </w:t>
            </w:r>
          </w:p>
        </w:tc>
        <w:tc>
          <w:tcPr>
            <w:tcW w:w="216" w:type="dxa"/>
            <w:tcBorders/>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3995" w:type="dxa"/>
            <w:tcBorders/>
            <w:shd w:fill="BAE2F8" w:val="clear"/>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Jian Wang(8)</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010"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 xml:space="preserve">508,161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533" w:type="dxa"/>
            <w:tcBorders/>
            <w:shd w:fill="BAE2F8" w:val="clear"/>
            <w:vAlign w:val="center"/>
          </w:tcPr>
          <w:p>
            <w:pPr>
              <w:pStyle w:val="TableContents"/>
              <w:bidi w:val="0"/>
              <w:spacing w:before="0" w:after="283"/>
              <w:ind w:left="182" w:right="0" w:hanging="0"/>
              <w:jc w:val="left"/>
              <w:rPr>
                <w:rFonts w:ascii="Arial;Helvetica;sans-serif" w:hAnsi="Arial;Helvetica;sans-serif"/>
                <w:color w:val="4C4C4C"/>
                <w:sz w:val="20"/>
              </w:rPr>
            </w:pPr>
            <w:r>
              <w:rPr>
                <w:rFonts w:ascii="Arial;Helvetica;sans-serif" w:hAnsi="Arial;Helvetica;sans-serif"/>
                <w:color w:val="4C4C4C"/>
                <w:sz w:val="20"/>
              </w:rPr>
              <w:t>*</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905"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150,003</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533" w:type="dxa"/>
            <w:tcBorders/>
            <w:shd w:fill="BAE2F8" w:val="clear"/>
            <w:vAlign w:val="center"/>
          </w:tcPr>
          <w:p>
            <w:pPr>
              <w:pStyle w:val="TableContents"/>
              <w:bidi w:val="0"/>
              <w:spacing w:before="0" w:after="283"/>
              <w:ind w:left="181" w:right="0" w:hanging="0"/>
              <w:jc w:val="left"/>
              <w:rPr>
                <w:rFonts w:ascii="Arial;Helvetica;sans-serif" w:hAnsi="Arial;Helvetica;sans-serif"/>
                <w:color w:val="4C4C4C"/>
                <w:sz w:val="20"/>
              </w:rPr>
            </w:pPr>
            <w:r>
              <w:rPr>
                <w:rFonts w:ascii="Arial;Helvetica;sans-serif" w:hAnsi="Arial;Helvetica;sans-serif"/>
                <w:color w:val="4C4C4C"/>
                <w:sz w:val="20"/>
              </w:rPr>
              <w:t xml:space="preserve">3.0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128" w:type="dxa"/>
            <w:tcBorders/>
            <w:shd w:fill="BAE2F8" w:val="clear"/>
            <w:vAlign w:val="center"/>
          </w:tcPr>
          <w:p>
            <w:pPr>
              <w:pStyle w:val="TableContents"/>
              <w:bidi w:val="0"/>
              <w:spacing w:before="0" w:after="283"/>
              <w:ind w:left="390" w:right="0" w:hanging="0"/>
              <w:jc w:val="left"/>
              <w:rPr>
                <w:rFonts w:ascii="Arial;Helvetica;sans-serif" w:hAnsi="Arial;Helvetica;sans-serif"/>
                <w:color w:val="4C4C4C"/>
                <w:sz w:val="20"/>
              </w:rPr>
            </w:pPr>
            <w:r>
              <w:rPr>
                <w:rFonts w:ascii="Arial;Helvetica;sans-serif" w:hAnsi="Arial;Helvetica;sans-serif"/>
                <w:color w:val="4C4C4C"/>
                <w:sz w:val="20"/>
              </w:rPr>
              <w:t xml:space="preserve">2.2 </w:t>
            </w:r>
          </w:p>
        </w:tc>
        <w:tc>
          <w:tcPr>
            <w:tcW w:w="216" w:type="dxa"/>
            <w:tcBorders/>
            <w:shd w:fill="BAE2F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95" w:type="dxa"/>
            <w:tcBorders/>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Chenming Hu(9)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 xml:space="preserve">346,310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3" w:type="dxa"/>
            <w:tcBorders/>
            <w:vAlign w:val="center"/>
          </w:tcPr>
          <w:p>
            <w:pPr>
              <w:pStyle w:val="TableContents"/>
              <w:bidi w:val="0"/>
              <w:spacing w:before="0" w:after="283"/>
              <w:ind w:left="182" w:right="0" w:hanging="0"/>
              <w:jc w:val="left"/>
              <w:rPr>
                <w:rFonts w:ascii="Arial;Helvetica;sans-serif" w:hAnsi="Arial;Helvetica;sans-serif"/>
                <w:color w:val="4C4C4C"/>
                <w:sz w:val="20"/>
              </w:rPr>
            </w:pPr>
            <w:r>
              <w:rPr>
                <w:rFonts w:ascii="Arial;Helvetica;sans-serif" w:hAnsi="Arial;Helvetica;sans-serif"/>
                <w:color w:val="4C4C4C"/>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color w:val="4C4C4C"/>
              </w:rPr>
            </w:pPr>
            <w:r>
              <w:rPr>
                <w:color w:val="4C4C4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3" w:type="dxa"/>
            <w:tcBorders/>
            <w:vAlign w:val="center"/>
          </w:tcPr>
          <w:p>
            <w:pPr>
              <w:pStyle w:val="TableContents"/>
              <w:bidi w:val="0"/>
              <w:spacing w:before="0" w:after="283"/>
              <w:ind w:left="181" w:right="0" w:hanging="0"/>
              <w:jc w:val="left"/>
              <w:rPr>
                <w:color w:val="4C4C4C"/>
              </w:rPr>
            </w:pPr>
            <w:r>
              <w:rPr>
                <w:color w:val="4C4C4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8" w:type="dxa"/>
            <w:tcBorders/>
            <w:vAlign w:val="center"/>
          </w:tcPr>
          <w:p>
            <w:pPr>
              <w:pStyle w:val="TableContents"/>
              <w:bidi w:val="0"/>
              <w:spacing w:before="0" w:after="283"/>
              <w:ind w:left="390" w:right="0" w:hanging="0"/>
              <w:jc w:val="left"/>
              <w:rPr>
                <w:rFonts w:ascii="Arial;Helvetica;sans-serif" w:hAnsi="Arial;Helvetica;sans-serif"/>
                <w:color w:val="4C4C4C"/>
                <w:sz w:val="20"/>
              </w:rPr>
            </w:pPr>
            <w:r>
              <w:rPr>
                <w:rFonts w:ascii="Arial;Helvetica;sans-serif" w:hAnsi="Arial;Helvetica;sans-serif"/>
                <w:color w:val="4C4C4C"/>
                <w:sz w:val="20"/>
              </w:rPr>
              <w:t>*</w:t>
            </w:r>
          </w:p>
        </w:tc>
        <w:tc>
          <w:tcPr>
            <w:tcW w:w="216" w:type="dxa"/>
            <w:tcBorders/>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3995" w:type="dxa"/>
            <w:tcBorders/>
            <w:shd w:fill="BAE2F8" w:val="clear"/>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Tracy Liu(10)</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010"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 xml:space="preserve">317,022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533" w:type="dxa"/>
            <w:tcBorders/>
            <w:shd w:fill="BAE2F8" w:val="clear"/>
            <w:vAlign w:val="center"/>
          </w:tcPr>
          <w:p>
            <w:pPr>
              <w:pStyle w:val="TableContents"/>
              <w:bidi w:val="0"/>
              <w:spacing w:before="0" w:after="283"/>
              <w:ind w:left="182" w:right="0" w:hanging="0"/>
              <w:jc w:val="left"/>
              <w:rPr>
                <w:rFonts w:ascii="Arial;Helvetica;sans-serif" w:hAnsi="Arial;Helvetica;sans-serif"/>
                <w:color w:val="4C4C4C"/>
                <w:sz w:val="20"/>
              </w:rPr>
            </w:pPr>
            <w:r>
              <w:rPr>
                <w:rFonts w:ascii="Arial;Helvetica;sans-serif" w:hAnsi="Arial;Helvetica;sans-serif"/>
                <w:color w:val="4C4C4C"/>
                <w:sz w:val="20"/>
              </w:rPr>
              <w:t>*</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905" w:type="dxa"/>
            <w:tcBorders/>
            <w:shd w:fill="BAE2F8" w:val="clear"/>
            <w:vAlign w:val="center"/>
          </w:tcPr>
          <w:p>
            <w:pPr>
              <w:pStyle w:val="TableContents"/>
              <w:bidi w:val="0"/>
              <w:spacing w:before="0" w:after="283"/>
              <w:ind w:left="0" w:right="0" w:hanging="0"/>
              <w:jc w:val="left"/>
              <w:rPr>
                <w:color w:val="4C4C4C"/>
              </w:rPr>
            </w:pPr>
            <w:r>
              <w:rPr>
                <w:color w:val="4C4C4C"/>
              </w:rPr>
              <w:t>—</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533" w:type="dxa"/>
            <w:tcBorders/>
            <w:shd w:fill="BAE2F8" w:val="clear"/>
            <w:vAlign w:val="center"/>
          </w:tcPr>
          <w:p>
            <w:pPr>
              <w:pStyle w:val="TableContents"/>
              <w:bidi w:val="0"/>
              <w:spacing w:before="0" w:after="283"/>
              <w:ind w:left="181" w:right="0" w:hanging="0"/>
              <w:jc w:val="left"/>
              <w:rPr>
                <w:color w:val="4C4C4C"/>
              </w:rPr>
            </w:pPr>
            <w:r>
              <w:rPr>
                <w:color w:val="4C4C4C"/>
              </w:rPr>
              <w:t>—</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128" w:type="dxa"/>
            <w:tcBorders/>
            <w:shd w:fill="BAE2F8" w:val="clear"/>
            <w:vAlign w:val="center"/>
          </w:tcPr>
          <w:p>
            <w:pPr>
              <w:pStyle w:val="TableContents"/>
              <w:bidi w:val="0"/>
              <w:spacing w:before="0" w:after="283"/>
              <w:ind w:left="390" w:right="0" w:hanging="0"/>
              <w:jc w:val="left"/>
              <w:rPr>
                <w:rFonts w:ascii="Arial;Helvetica;sans-serif" w:hAnsi="Arial;Helvetica;sans-serif"/>
                <w:color w:val="4C4C4C"/>
                <w:sz w:val="20"/>
              </w:rPr>
            </w:pPr>
            <w:r>
              <w:rPr>
                <w:rFonts w:ascii="Arial;Helvetica;sans-serif" w:hAnsi="Arial;Helvetica;sans-serif"/>
                <w:color w:val="4C4C4C"/>
                <w:sz w:val="20"/>
              </w:rPr>
              <w:t>*</w:t>
            </w:r>
          </w:p>
        </w:tc>
        <w:tc>
          <w:tcPr>
            <w:tcW w:w="216" w:type="dxa"/>
            <w:tcBorders/>
            <w:shd w:fill="BAE2F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95" w:type="dxa"/>
            <w:tcBorders/>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Fuping Chen(11)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 xml:space="preserve">234,165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3" w:type="dxa"/>
            <w:tcBorders/>
            <w:vAlign w:val="center"/>
          </w:tcPr>
          <w:p>
            <w:pPr>
              <w:pStyle w:val="TableContents"/>
              <w:bidi w:val="0"/>
              <w:spacing w:before="0" w:after="283"/>
              <w:ind w:left="182" w:right="0" w:hanging="0"/>
              <w:jc w:val="left"/>
              <w:rPr>
                <w:rFonts w:ascii="Arial;Helvetica;sans-serif" w:hAnsi="Arial;Helvetica;sans-serif"/>
                <w:color w:val="4C4C4C"/>
                <w:sz w:val="20"/>
              </w:rPr>
            </w:pPr>
            <w:r>
              <w:rPr>
                <w:rFonts w:ascii="Arial;Helvetica;sans-serif" w:hAnsi="Arial;Helvetica;sans-serif"/>
                <w:color w:val="4C4C4C"/>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color w:val="4C4C4C"/>
              </w:rPr>
            </w:pPr>
            <w:r>
              <w:rPr>
                <w:color w:val="4C4C4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3" w:type="dxa"/>
            <w:tcBorders/>
            <w:vAlign w:val="center"/>
          </w:tcPr>
          <w:p>
            <w:pPr>
              <w:pStyle w:val="TableContents"/>
              <w:bidi w:val="0"/>
              <w:spacing w:before="0" w:after="283"/>
              <w:ind w:left="181" w:right="0" w:hanging="0"/>
              <w:jc w:val="left"/>
              <w:rPr>
                <w:color w:val="4C4C4C"/>
              </w:rPr>
            </w:pPr>
            <w:r>
              <w:rPr>
                <w:color w:val="4C4C4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8" w:type="dxa"/>
            <w:tcBorders/>
            <w:vAlign w:val="center"/>
          </w:tcPr>
          <w:p>
            <w:pPr>
              <w:pStyle w:val="TableContents"/>
              <w:bidi w:val="0"/>
              <w:spacing w:before="0" w:after="283"/>
              <w:ind w:left="390" w:right="0" w:hanging="0"/>
              <w:jc w:val="left"/>
              <w:rPr>
                <w:rFonts w:ascii="Arial;Helvetica;sans-serif" w:hAnsi="Arial;Helvetica;sans-serif"/>
                <w:color w:val="4C4C4C"/>
                <w:sz w:val="20"/>
              </w:rPr>
            </w:pPr>
            <w:r>
              <w:rPr>
                <w:rFonts w:ascii="Arial;Helvetica;sans-serif" w:hAnsi="Arial;Helvetica;sans-serif"/>
                <w:color w:val="4C4C4C"/>
                <w:sz w:val="20"/>
              </w:rPr>
              <w:t>*</w:t>
            </w:r>
          </w:p>
        </w:tc>
        <w:tc>
          <w:tcPr>
            <w:tcW w:w="216" w:type="dxa"/>
            <w:tcBorders/>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3995" w:type="dxa"/>
            <w:tcBorders/>
            <w:shd w:fill="BAE2F8" w:val="clear"/>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Lisa Feng(12)</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010"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 xml:space="preserve">238,334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533" w:type="dxa"/>
            <w:tcBorders/>
            <w:shd w:fill="BAE2F8" w:val="clear"/>
            <w:vAlign w:val="center"/>
          </w:tcPr>
          <w:p>
            <w:pPr>
              <w:pStyle w:val="TableContents"/>
              <w:bidi w:val="0"/>
              <w:spacing w:before="0" w:after="283"/>
              <w:ind w:left="182" w:right="0" w:hanging="0"/>
              <w:jc w:val="left"/>
              <w:rPr>
                <w:rFonts w:ascii="Arial;Helvetica;sans-serif" w:hAnsi="Arial;Helvetica;sans-serif"/>
                <w:color w:val="4C4C4C"/>
                <w:sz w:val="20"/>
              </w:rPr>
            </w:pPr>
            <w:r>
              <w:rPr>
                <w:rFonts w:ascii="Arial;Helvetica;sans-serif" w:hAnsi="Arial;Helvetica;sans-serif"/>
                <w:color w:val="4C4C4C"/>
                <w:sz w:val="20"/>
              </w:rPr>
              <w:t>*</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905" w:type="dxa"/>
            <w:tcBorders/>
            <w:shd w:fill="BAE2F8" w:val="clear"/>
            <w:vAlign w:val="center"/>
          </w:tcPr>
          <w:p>
            <w:pPr>
              <w:pStyle w:val="TableContents"/>
              <w:bidi w:val="0"/>
              <w:spacing w:before="0" w:after="283"/>
              <w:ind w:left="0" w:right="0" w:hanging="0"/>
              <w:jc w:val="left"/>
              <w:rPr>
                <w:color w:val="4C4C4C"/>
              </w:rPr>
            </w:pPr>
            <w:r>
              <w:rPr>
                <w:color w:val="4C4C4C"/>
              </w:rPr>
              <w:t>—</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533" w:type="dxa"/>
            <w:tcBorders/>
            <w:shd w:fill="BAE2F8" w:val="clear"/>
            <w:vAlign w:val="center"/>
          </w:tcPr>
          <w:p>
            <w:pPr>
              <w:pStyle w:val="TableContents"/>
              <w:bidi w:val="0"/>
              <w:spacing w:before="0" w:after="283"/>
              <w:ind w:left="181" w:right="0" w:hanging="0"/>
              <w:jc w:val="left"/>
              <w:rPr>
                <w:color w:val="4C4C4C"/>
              </w:rPr>
            </w:pPr>
            <w:r>
              <w:rPr>
                <w:color w:val="4C4C4C"/>
              </w:rPr>
              <w:t>—</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128" w:type="dxa"/>
            <w:tcBorders/>
            <w:shd w:fill="BAE2F8" w:val="clear"/>
            <w:vAlign w:val="center"/>
          </w:tcPr>
          <w:p>
            <w:pPr>
              <w:pStyle w:val="TableContents"/>
              <w:bidi w:val="0"/>
              <w:spacing w:before="0" w:after="283"/>
              <w:ind w:left="390" w:right="0" w:hanging="0"/>
              <w:jc w:val="left"/>
              <w:rPr>
                <w:rFonts w:ascii="Arial;Helvetica;sans-serif" w:hAnsi="Arial;Helvetica;sans-serif"/>
                <w:color w:val="4C4C4C"/>
                <w:sz w:val="20"/>
              </w:rPr>
            </w:pPr>
            <w:r>
              <w:rPr>
                <w:rFonts w:ascii="Arial;Helvetica;sans-serif" w:hAnsi="Arial;Helvetica;sans-serif"/>
                <w:color w:val="4C4C4C"/>
                <w:sz w:val="20"/>
              </w:rPr>
              <w:t>*</w:t>
            </w:r>
          </w:p>
        </w:tc>
        <w:tc>
          <w:tcPr>
            <w:tcW w:w="216" w:type="dxa"/>
            <w:tcBorders/>
            <w:shd w:fill="BAE2F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95" w:type="dxa"/>
            <w:tcBorders/>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Mark McKechnie(13)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 xml:space="preserve">255,483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3" w:type="dxa"/>
            <w:tcBorders/>
            <w:vAlign w:val="center"/>
          </w:tcPr>
          <w:p>
            <w:pPr>
              <w:pStyle w:val="TableContents"/>
              <w:bidi w:val="0"/>
              <w:spacing w:before="0" w:after="283"/>
              <w:ind w:left="182" w:right="0" w:hanging="0"/>
              <w:jc w:val="left"/>
              <w:rPr>
                <w:rFonts w:ascii="Arial;Helvetica;sans-serif" w:hAnsi="Arial;Helvetica;sans-serif"/>
                <w:color w:val="4C4C4C"/>
                <w:sz w:val="20"/>
              </w:rPr>
            </w:pPr>
            <w:r>
              <w:rPr>
                <w:rFonts w:ascii="Arial;Helvetica;sans-serif" w:hAnsi="Arial;Helvetica;sans-serif"/>
                <w:color w:val="4C4C4C"/>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color w:val="4C4C4C"/>
              </w:rPr>
            </w:pPr>
            <w:r>
              <w:rPr>
                <w:color w:val="4C4C4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3" w:type="dxa"/>
            <w:tcBorders/>
            <w:vAlign w:val="center"/>
          </w:tcPr>
          <w:p>
            <w:pPr>
              <w:pStyle w:val="TableContents"/>
              <w:bidi w:val="0"/>
              <w:spacing w:before="0" w:after="283"/>
              <w:ind w:left="181" w:right="0" w:hanging="0"/>
              <w:jc w:val="left"/>
              <w:rPr>
                <w:color w:val="4C4C4C"/>
              </w:rPr>
            </w:pPr>
            <w:r>
              <w:rPr>
                <w:color w:val="4C4C4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8" w:type="dxa"/>
            <w:tcBorders/>
            <w:vAlign w:val="center"/>
          </w:tcPr>
          <w:p>
            <w:pPr>
              <w:pStyle w:val="TableContents"/>
              <w:bidi w:val="0"/>
              <w:spacing w:before="0" w:after="283"/>
              <w:ind w:left="390" w:right="0" w:hanging="0"/>
              <w:jc w:val="left"/>
              <w:rPr>
                <w:rFonts w:ascii="Arial;Helvetica;sans-serif" w:hAnsi="Arial;Helvetica;sans-serif"/>
                <w:color w:val="4C4C4C"/>
                <w:sz w:val="20"/>
              </w:rPr>
            </w:pPr>
            <w:r>
              <w:rPr>
                <w:rFonts w:ascii="Arial;Helvetica;sans-serif" w:hAnsi="Arial;Helvetica;sans-serif"/>
                <w:color w:val="4C4C4C"/>
                <w:sz w:val="20"/>
              </w:rPr>
              <w:t>*</w:t>
            </w:r>
          </w:p>
        </w:tc>
        <w:tc>
          <w:tcPr>
            <w:tcW w:w="216" w:type="dxa"/>
            <w:tcBorders/>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3995" w:type="dxa"/>
            <w:tcBorders/>
            <w:shd w:fill="BAE2F8" w:val="clear"/>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Charles Pappis(14)</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010"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 xml:space="preserve">10,000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533" w:type="dxa"/>
            <w:tcBorders/>
            <w:shd w:fill="BAE2F8" w:val="clear"/>
            <w:vAlign w:val="center"/>
          </w:tcPr>
          <w:p>
            <w:pPr>
              <w:pStyle w:val="TableContents"/>
              <w:bidi w:val="0"/>
              <w:spacing w:before="0" w:after="283"/>
              <w:ind w:left="182" w:right="0" w:hanging="0"/>
              <w:jc w:val="left"/>
              <w:rPr>
                <w:rFonts w:ascii="Arial;Helvetica;sans-serif" w:hAnsi="Arial;Helvetica;sans-serif"/>
                <w:color w:val="4C4C4C"/>
                <w:sz w:val="20"/>
              </w:rPr>
            </w:pPr>
            <w:r>
              <w:rPr>
                <w:rFonts w:ascii="Arial;Helvetica;sans-serif" w:hAnsi="Arial;Helvetica;sans-serif"/>
                <w:color w:val="4C4C4C"/>
                <w:sz w:val="20"/>
              </w:rPr>
              <w:t>*</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905" w:type="dxa"/>
            <w:tcBorders/>
            <w:shd w:fill="BAE2F8" w:val="clear"/>
            <w:vAlign w:val="center"/>
          </w:tcPr>
          <w:p>
            <w:pPr>
              <w:pStyle w:val="TableContents"/>
              <w:bidi w:val="0"/>
              <w:spacing w:before="0" w:after="283"/>
              <w:ind w:left="0" w:right="0" w:hanging="0"/>
              <w:jc w:val="left"/>
              <w:rPr>
                <w:color w:val="4C4C4C"/>
              </w:rPr>
            </w:pPr>
            <w:r>
              <w:rPr>
                <w:color w:val="4C4C4C"/>
              </w:rPr>
              <w:t>—</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533" w:type="dxa"/>
            <w:tcBorders/>
            <w:shd w:fill="BAE2F8" w:val="clear"/>
            <w:vAlign w:val="center"/>
          </w:tcPr>
          <w:p>
            <w:pPr>
              <w:pStyle w:val="TableContents"/>
              <w:bidi w:val="0"/>
              <w:spacing w:before="0" w:after="283"/>
              <w:ind w:left="181" w:right="0" w:hanging="0"/>
              <w:jc w:val="left"/>
              <w:rPr>
                <w:color w:val="4C4C4C"/>
              </w:rPr>
            </w:pPr>
            <w:r>
              <w:rPr>
                <w:color w:val="4C4C4C"/>
              </w:rPr>
              <w:t>—</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128" w:type="dxa"/>
            <w:tcBorders/>
            <w:shd w:fill="BAE2F8" w:val="clear"/>
            <w:vAlign w:val="center"/>
          </w:tcPr>
          <w:p>
            <w:pPr>
              <w:pStyle w:val="TableContents"/>
              <w:bidi w:val="0"/>
              <w:spacing w:before="0" w:after="283"/>
              <w:ind w:left="390" w:right="0" w:hanging="0"/>
              <w:jc w:val="left"/>
              <w:rPr>
                <w:rFonts w:ascii="Arial;Helvetica;sans-serif" w:hAnsi="Arial;Helvetica;sans-serif"/>
                <w:color w:val="4C4C4C"/>
                <w:sz w:val="20"/>
              </w:rPr>
            </w:pPr>
            <w:r>
              <w:rPr>
                <w:rFonts w:ascii="Arial;Helvetica;sans-serif" w:hAnsi="Arial;Helvetica;sans-serif"/>
                <w:color w:val="4C4C4C"/>
                <w:sz w:val="20"/>
              </w:rPr>
              <w:t>*</w:t>
            </w:r>
          </w:p>
        </w:tc>
        <w:tc>
          <w:tcPr>
            <w:tcW w:w="216" w:type="dxa"/>
            <w:tcBorders/>
            <w:shd w:fill="BAE2F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95" w:type="dxa"/>
            <w:tcBorders/>
            <w:vAlign w:val="center"/>
          </w:tcPr>
          <w:p>
            <w:pPr>
              <w:pStyle w:val="TableContents"/>
              <w:bidi w:val="0"/>
              <w:spacing w:before="0" w:after="283"/>
              <w:ind w:left="20" w:right="0" w:hanging="0"/>
              <w:jc w:val="left"/>
              <w:rPr>
                <w:rFonts w:ascii="Arial;Helvetica;sans-serif" w:hAnsi="Arial;Helvetica;sans-serif"/>
                <w:b/>
                <w:color w:val="4C4C4C"/>
                <w:sz w:val="20"/>
              </w:rPr>
            </w:pPr>
            <w:r>
              <w:rPr>
                <w:rFonts w:ascii="Arial;Helvetica;sans-serif" w:hAnsi="Arial;Helvetica;sans-serif"/>
                <w:b/>
                <w:color w:val="4C4C4C"/>
                <w:sz w:val="20"/>
              </w:rPr>
              <w:t>All executive officers and directors as a group (10 persons)(15)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Arial;Helvetica;sans-serif" w:hAnsi="Arial;Helvetica;sans-serif"/>
                <w:b/>
                <w:color w:val="4C4C4C"/>
                <w:sz w:val="20"/>
              </w:rPr>
            </w:pPr>
            <w:r>
              <w:rPr>
                <w:rFonts w:ascii="Arial;Helvetica;sans-serif" w:hAnsi="Arial;Helvetica;sans-serif"/>
                <w:b/>
                <w:color w:val="4C4C4C"/>
                <w:sz w:val="20"/>
              </w:rPr>
              <w:t>11,350,307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3" w:type="dxa"/>
            <w:tcBorders/>
            <w:vAlign w:val="center"/>
          </w:tcPr>
          <w:p>
            <w:pPr>
              <w:pStyle w:val="TableContents"/>
              <w:bidi w:val="0"/>
              <w:spacing w:before="0" w:after="283"/>
              <w:ind w:left="182" w:right="0" w:hanging="0"/>
              <w:jc w:val="left"/>
              <w:rPr>
                <w:rFonts w:ascii="Arial;Helvetica;sans-serif" w:hAnsi="Arial;Helvetica;sans-serif"/>
                <w:b/>
                <w:color w:val="4C4C4C"/>
                <w:sz w:val="20"/>
              </w:rPr>
            </w:pPr>
            <w:r>
              <w:rPr>
                <w:rFonts w:ascii="Arial;Helvetica;sans-serif" w:hAnsi="Arial;Helvetica;sans-serif"/>
                <w:b/>
                <w:color w:val="4C4C4C"/>
                <w:sz w:val="20"/>
              </w:rPr>
              <w:t>19.3%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Arial;Helvetica;sans-serif" w:hAnsi="Arial;Helvetica;sans-serif"/>
                <w:b/>
                <w:color w:val="4C4C4C"/>
                <w:sz w:val="20"/>
              </w:rPr>
            </w:pPr>
            <w:r>
              <w:rPr>
                <w:rFonts w:ascii="Arial;Helvetica;sans-serif" w:hAnsi="Arial;Helvetica;sans-serif"/>
                <w:b/>
                <w:color w:val="4C4C4C"/>
                <w:sz w:val="20"/>
              </w:rPr>
              <w:t>4,616,811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3" w:type="dxa"/>
            <w:tcBorders/>
            <w:vAlign w:val="center"/>
          </w:tcPr>
          <w:p>
            <w:pPr>
              <w:pStyle w:val="TableContents"/>
              <w:bidi w:val="0"/>
              <w:spacing w:before="0" w:after="283"/>
              <w:ind w:left="181" w:right="0" w:hanging="0"/>
              <w:jc w:val="left"/>
              <w:rPr>
                <w:rFonts w:ascii="Arial;Helvetica;sans-serif" w:hAnsi="Arial;Helvetica;sans-serif"/>
                <w:b/>
                <w:color w:val="4C4C4C"/>
                <w:sz w:val="20"/>
              </w:rPr>
            </w:pPr>
            <w:r>
              <w:rPr>
                <w:rFonts w:ascii="Arial;Helvetica;sans-serif" w:hAnsi="Arial;Helvetica;sans-serif"/>
                <w:b/>
                <w:color w:val="4C4C4C"/>
                <w:sz w:val="20"/>
              </w:rPr>
              <w:t>91.9%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8" w:type="dxa"/>
            <w:tcBorders/>
            <w:vAlign w:val="center"/>
          </w:tcPr>
          <w:p>
            <w:pPr>
              <w:pStyle w:val="TableContents"/>
              <w:bidi w:val="0"/>
              <w:spacing w:before="0" w:after="283"/>
              <w:ind w:left="390" w:right="0" w:hanging="0"/>
              <w:jc w:val="left"/>
              <w:rPr>
                <w:rFonts w:ascii="Arial;Helvetica;sans-serif" w:hAnsi="Arial;Helvetica;sans-serif"/>
                <w:b/>
                <w:color w:val="4C4C4C"/>
                <w:sz w:val="20"/>
              </w:rPr>
            </w:pPr>
            <w:r>
              <w:rPr>
                <w:rFonts w:ascii="Arial;Helvetica;sans-serif" w:hAnsi="Arial;Helvetica;sans-serif"/>
                <w:b/>
                <w:color w:val="4C4C4C"/>
                <w:sz w:val="20"/>
              </w:rPr>
              <w:t>65.1%</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8"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1240" w:type="dxa"/>
        <w:jc w:val="left"/>
        <w:tblInd w:w="0" w:type="dxa"/>
        <w:tblLayout w:type="fixed"/>
        <w:tblCellMar>
          <w:top w:w="0" w:type="dxa"/>
          <w:left w:w="0" w:type="dxa"/>
          <w:bottom w:w="0" w:type="dxa"/>
          <w:right w:w="0" w:type="dxa"/>
        </w:tblCellMar>
      </w:tblPr>
      <w:tblGrid>
        <w:gridCol w:w="110"/>
        <w:gridCol w:w="1130"/>
      </w:tblGrid>
      <w:tr>
        <w:trPr/>
        <w:tc>
          <w:tcPr>
            <w:tcW w:w="11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w:t>
            </w:r>
          </w:p>
        </w:tc>
        <w:tc>
          <w:tcPr>
            <w:tcW w:w="113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Less than 1%.</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9964"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Includes the number of shares of Class A common stock issuable upon conversion of shares of Class B common stock, which are convertible at any time into shares of Class A common stock.</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9977"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Percentage of total voting power represents voting power with respect to all shares of Class A and Class B common stock, voting as a single class. Holders are entitled to one vote per share of Class A common stock and twenty votes per share of Class B common stock.</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9988"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Based on a Schedule 13G/A filed with the SEC on February 13, 2024 by The Vanguard Group, the Vanguard Group has shared voting power over 46,416 shares of Class A common stock, shared dispositive power over 86,604 shares of Class A common stock and sole dispositive power over 3,970,793 shares of Class A common stock. The address of The Vanguard Group is 100 Vanguard Blvd., Malvern, Pennsylvania 19355.</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(4)</w:t>
            </w:r>
          </w:p>
        </w:tc>
        <w:tc>
          <w:tcPr>
            <w:tcW w:w="9982"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Based on a Schedule 13G/A filed with the SEC on April 17, 2025 by BlackRock, Inc., BlackRock, Inc. has sole voting power over 3,755,781 shares of Class A common stock and sole dispositive power over 3,828,440 shares of Class A common stock. The address of BlackRock, Inc. is 50 Hudson Yards, New York, New York 10001.</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(5)</w:t>
            </w:r>
          </w:p>
        </w:tc>
        <w:tc>
          <w:tcPr>
            <w:tcW w:w="9984"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Based on a Schedule 13D/A filed with the SEC on October 29, 2024, Shanghai Pudong Innotek Capital Co., Ltd. has shared voting and dispositive power over 3,358,728 shares of Class A common stock. The address of Shanghai Pudong Innotek Capital Co., Ltd. is No. 118 Rongke Road, 17th Floor, Pudong New Area, Shanghai, People’s Republic of China 200120.</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23</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4" w:name="ny20042784x1_def14a_112-prop1_pg5"/>
        <w:bookmarkEnd w:id="5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(6)</w:t>
            </w:r>
          </w:p>
        </w:tc>
        <w:tc>
          <w:tcPr>
            <w:tcW w:w="9996"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Includes (a) 800,000 shares of Class A common stock held by Dr. Wang and Jing Chen, as Trustees for the Wang-Chen Family Living Trust; (b) 100,002 shares held by Dr. Wang’s wife, Jing Chen; (c) 45,837 shares of Class A common stock held by Dr. Wang’s daughter, Sophia Wang; (d) 4,166,808 shares of Class A common stock issuable upon conversion of Class B common stock, of which shares of Class B common stock a total of 352,002 are held by Dr. Wang’s son, Brian Wang, 352,002 are held by Dr. Wang’s daughter, Sophia Wang, and 22,002 are held by Dr. Wang and Jing Chen, as Trustees for The David Hui Wang and Jing Chen Family Irrevocable Trust for Wang Children; and (e) 2,190,399 shares of Class A common stock issuable upon the exercise of options exercisable by June 14, 2025.</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(7)</w:t>
            </w:r>
          </w:p>
        </w:tc>
        <w:tc>
          <w:tcPr>
            <w:tcW w:w="9968"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Includes (a) 186,750 shares of Class A common stock issuable under options exercisable by June 14, 2025 and (b)300,000 shares of Class A common stock issuable upon conversion of Class B common stock.</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(8)</w:t>
            </w:r>
          </w:p>
        </w:tc>
        <w:tc>
          <w:tcPr>
            <w:tcW w:w="9968"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Includes (a) 105,000 shares of Class A common stock issuable under options exercisable by June 14, 2025 and (b) 150,003 shares of Class A common stock issuable upon conversion of Class B common stock.</w:t>
            </w:r>
          </w:p>
        </w:tc>
      </w:tr>
    </w:tbl>
    <w:tbl>
      <w:tblPr>
        <w:tblW w:w="7885" w:type="dxa"/>
        <w:jc w:val="left"/>
        <w:tblInd w:w="0" w:type="dxa"/>
        <w:tblLayout w:type="fixed"/>
        <w:tblCellMar>
          <w:top w:w="0" w:type="dxa"/>
          <w:left w:w="0" w:type="dxa"/>
          <w:bottom w:w="0" w:type="dxa"/>
          <w:right w:w="0" w:type="dxa"/>
        </w:tblCellMar>
      </w:tblPr>
      <w:tblGrid>
        <w:gridCol w:w="260"/>
        <w:gridCol w:w="7625"/>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(9)</w:t>
            </w:r>
          </w:p>
        </w:tc>
        <w:tc>
          <w:tcPr>
            <w:tcW w:w="762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Includes 83,000 shares of Class A common stock issuable under options exercisable by June 14, 2025.</w:t>
            </w:r>
          </w:p>
        </w:tc>
      </w:tr>
    </w:tbl>
    <w:tbl>
      <w:tblPr>
        <w:tblW w:w="8065" w:type="dxa"/>
        <w:jc w:val="left"/>
        <w:tblInd w:w="0" w:type="dxa"/>
        <w:tblLayout w:type="fixed"/>
        <w:tblCellMar>
          <w:top w:w="0" w:type="dxa"/>
          <w:left w:w="0" w:type="dxa"/>
          <w:bottom w:w="0" w:type="dxa"/>
          <w:right w:w="0" w:type="dxa"/>
        </w:tblCellMar>
      </w:tblPr>
      <w:tblGrid>
        <w:gridCol w:w="350"/>
        <w:gridCol w:w="7715"/>
      </w:tblGrid>
      <w:tr>
        <w:trPr/>
        <w:tc>
          <w:tcPr>
            <w:tcW w:w="35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(10)</w:t>
            </w:r>
          </w:p>
        </w:tc>
        <w:tc>
          <w:tcPr>
            <w:tcW w:w="771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Includes 206,250 shares of Class A common stock issuable under options exercisable by June 14, 2025.</w:t>
            </w:r>
          </w:p>
        </w:tc>
      </w:tr>
    </w:tbl>
    <w:tbl>
      <w:tblPr>
        <w:tblW w:w="8065" w:type="dxa"/>
        <w:jc w:val="left"/>
        <w:tblInd w:w="0" w:type="dxa"/>
        <w:tblLayout w:type="fixed"/>
        <w:tblCellMar>
          <w:top w:w="0" w:type="dxa"/>
          <w:left w:w="0" w:type="dxa"/>
          <w:bottom w:w="0" w:type="dxa"/>
          <w:right w:w="0" w:type="dxa"/>
        </w:tblCellMar>
      </w:tblPr>
      <w:tblGrid>
        <w:gridCol w:w="350"/>
        <w:gridCol w:w="7715"/>
      </w:tblGrid>
      <w:tr>
        <w:trPr/>
        <w:tc>
          <w:tcPr>
            <w:tcW w:w="35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(11)</w:t>
            </w:r>
          </w:p>
        </w:tc>
        <w:tc>
          <w:tcPr>
            <w:tcW w:w="771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Includes 234,165 shares of Class A common stock issuable under options exercisable by June 14, 2025.</w:t>
            </w:r>
          </w:p>
        </w:tc>
      </w:tr>
    </w:tbl>
    <w:tbl>
      <w:tblPr>
        <w:tblW w:w="7420" w:type="dxa"/>
        <w:jc w:val="left"/>
        <w:tblInd w:w="0" w:type="dxa"/>
        <w:tblLayout w:type="fixed"/>
        <w:tblCellMar>
          <w:top w:w="0" w:type="dxa"/>
          <w:left w:w="0" w:type="dxa"/>
          <w:bottom w:w="0" w:type="dxa"/>
          <w:right w:w="0" w:type="dxa"/>
        </w:tblCellMar>
      </w:tblPr>
      <w:tblGrid>
        <w:gridCol w:w="350"/>
        <w:gridCol w:w="7070"/>
      </w:tblGrid>
      <w:tr>
        <w:trPr/>
        <w:tc>
          <w:tcPr>
            <w:tcW w:w="35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(12)</w:t>
            </w:r>
          </w:p>
        </w:tc>
        <w:tc>
          <w:tcPr>
            <w:tcW w:w="707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Includes 188,333 shares of Class A common stock exercisable under options by June 14, 2025.</w:t>
            </w:r>
          </w:p>
        </w:tc>
      </w:tr>
    </w:tbl>
    <w:tbl>
      <w:tblPr>
        <w:tblW w:w="7420" w:type="dxa"/>
        <w:jc w:val="left"/>
        <w:tblInd w:w="0" w:type="dxa"/>
        <w:tblLayout w:type="fixed"/>
        <w:tblCellMar>
          <w:top w:w="0" w:type="dxa"/>
          <w:left w:w="0" w:type="dxa"/>
          <w:bottom w:w="0" w:type="dxa"/>
          <w:right w:w="0" w:type="dxa"/>
        </w:tblCellMar>
      </w:tblPr>
      <w:tblGrid>
        <w:gridCol w:w="350"/>
        <w:gridCol w:w="7070"/>
      </w:tblGrid>
      <w:tr>
        <w:trPr/>
        <w:tc>
          <w:tcPr>
            <w:tcW w:w="35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(13)</w:t>
            </w:r>
          </w:p>
        </w:tc>
        <w:tc>
          <w:tcPr>
            <w:tcW w:w="707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Includes 254,583 shares of Class A common stock exercisable under options by June 14, 2025.</w:t>
            </w:r>
          </w:p>
        </w:tc>
      </w:tr>
    </w:tbl>
    <w:tbl>
      <w:tblPr>
        <w:tblW w:w="7330" w:type="dxa"/>
        <w:jc w:val="left"/>
        <w:tblInd w:w="0" w:type="dxa"/>
        <w:tblLayout w:type="fixed"/>
        <w:tblCellMar>
          <w:top w:w="0" w:type="dxa"/>
          <w:left w:w="0" w:type="dxa"/>
          <w:bottom w:w="0" w:type="dxa"/>
          <w:right w:w="0" w:type="dxa"/>
        </w:tblCellMar>
      </w:tblPr>
      <w:tblGrid>
        <w:gridCol w:w="350"/>
        <w:gridCol w:w="6980"/>
      </w:tblGrid>
      <w:tr>
        <w:trPr/>
        <w:tc>
          <w:tcPr>
            <w:tcW w:w="35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(14)</w:t>
            </w:r>
          </w:p>
        </w:tc>
        <w:tc>
          <w:tcPr>
            <w:tcW w:w="698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Includes 10,000 shares of Class A common stock exercisable under options by June 14, 2025.</w:t>
            </w:r>
          </w:p>
        </w:tc>
      </w:tr>
    </w:tbl>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(15)</w:t>
            </w:r>
          </w:p>
        </w:tc>
        <w:tc>
          <w:tcPr>
            <w:tcW w:w="9886"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Includes (a) 3,481,715 shares of Class A common stock issuable under options exercisable by June 14, 2025, (b) 4,616,811 shares of Class A common stock issuable upon conversion of Class B common stock and (c) shares held jointly, indirectly and/or in trust.</w:t>
            </w:r>
          </w:p>
        </w:tc>
      </w:tr>
    </w:tbl>
    <w:p>
      <w:pPr>
        <w:pStyle w:val="TextBody"/>
        <w:bidi w:val="0"/>
        <w:spacing w:before="260" w:after="283"/>
        <w:jc w:val="center"/>
        <w:rPr>
          <w:rFonts w:ascii="Arial;Helvetica;sans-serif" w:hAnsi="Arial;Helvetica;sans-serif"/>
          <w:b/>
          <w:color w:val="0D3F64"/>
          <w:sz w:val="28"/>
        </w:rPr>
      </w:pPr>
      <w:bookmarkStart w:id="55" w:name="tDS"/>
      <w:bookmarkEnd w:id="55"/>
      <w:r>
        <w:rPr>
          <w:rFonts w:ascii="Arial;Helvetica;sans-serif" w:hAnsi="Arial;Helvetica;sans-serif"/>
          <w:b/>
          <w:color w:val="0D3F64"/>
          <w:sz w:val="28"/>
        </w:rPr>
        <w:t>Delinquent Section 16(a) Reports</w:t>
      </w:r>
    </w:p>
    <w:p>
      <w:pPr>
        <w:pStyle w:val="TextBody"/>
        <w:bidi w:val="0"/>
        <w:spacing w:before="360" w:after="283"/>
        <w:ind w:left="0" w:right="0" w:hanging="0"/>
        <w:jc w:val="both"/>
        <w:rPr>
          <w:rFonts w:ascii="Arial;Helvetica;sans-serif" w:hAnsi="Arial;Helvetica;sans-serif"/>
          <w:color w:val="4C4C4C"/>
          <w:sz w:val="20"/>
        </w:rPr>
      </w:pPr>
      <w:r>
        <w:rPr>
          <w:rFonts w:ascii="Arial;Helvetica;sans-serif" w:hAnsi="Arial;Helvetica;sans-serif"/>
          <w:color w:val="4C4C4C"/>
          <w:sz w:val="20"/>
        </w:rPr>
        <w:t>Section 16(a) of the Securities Exchange Act requires our executive officers and directors and any persons owning ten percent or more of our Class A common stock to file reports with the SEC to report their beneficial ownership of and transactions in our securities and to furnish us with copies of the reports.</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Based solely upon a review of the Section 16(a) reports furnished to us, along with written representations from our executive officers and directors, we believe that all Section 16(a) filings applicable to our directors, officers, and 10% stockholders were filed on a timely basis during the year ended December 31, 2024, except those listed below:</w:t>
      </w:r>
    </w:p>
    <w:tbl>
      <w:tblPr>
        <w:tblW w:w="8500" w:type="dxa"/>
        <w:jc w:val="left"/>
        <w:tblInd w:w="0" w:type="dxa"/>
        <w:tblLayout w:type="fixed"/>
        <w:tblCellMar>
          <w:top w:w="0" w:type="dxa"/>
          <w:left w:w="0" w:type="dxa"/>
          <w:bottom w:w="0" w:type="dxa"/>
          <w:right w:w="0" w:type="dxa"/>
        </w:tblCellMar>
      </w:tblPr>
      <w:tblGrid>
        <w:gridCol w:w="140"/>
        <w:gridCol w:w="8360"/>
      </w:tblGrid>
      <w:tr>
        <w:trPr/>
        <w:tc>
          <w:tcPr>
            <w:tcW w:w="140" w:type="dxa"/>
            <w:tcBorders/>
            <w:vAlign w:val="center"/>
          </w:tcPr>
          <w:p>
            <w:pPr>
              <w:pStyle w:val="TableContents"/>
              <w:bidi w:val="0"/>
              <w:spacing w:before="0" w:after="0"/>
              <w:jc w:val="left"/>
              <w:rPr>
                <w:color w:val="4C4C4C"/>
              </w:rPr>
            </w:pPr>
            <w:r>
              <w:rPr>
                <w:color w:val="4C4C4C"/>
              </w:rPr>
              <w:t>•</w:t>
            </w:r>
          </w:p>
        </w:tc>
        <w:tc>
          <w:tcPr>
            <w:tcW w:w="8360"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One Form 4 and one transaction for Haping Dunn reporting options granted on August 12, 2024.</w:t>
            </w:r>
          </w:p>
        </w:tc>
      </w:tr>
    </w:tbl>
    <w:tbl>
      <w:tblPr>
        <w:tblW w:w="8200" w:type="dxa"/>
        <w:jc w:val="left"/>
        <w:tblInd w:w="0" w:type="dxa"/>
        <w:tblLayout w:type="fixed"/>
        <w:tblCellMar>
          <w:top w:w="0" w:type="dxa"/>
          <w:left w:w="0" w:type="dxa"/>
          <w:bottom w:w="0" w:type="dxa"/>
          <w:right w:w="0" w:type="dxa"/>
        </w:tblCellMar>
      </w:tblPr>
      <w:tblGrid>
        <w:gridCol w:w="140"/>
        <w:gridCol w:w="8060"/>
      </w:tblGrid>
      <w:tr>
        <w:trPr/>
        <w:tc>
          <w:tcPr>
            <w:tcW w:w="140" w:type="dxa"/>
            <w:tcBorders/>
            <w:vAlign w:val="center"/>
          </w:tcPr>
          <w:p>
            <w:pPr>
              <w:pStyle w:val="TableContents"/>
              <w:bidi w:val="0"/>
              <w:spacing w:before="0" w:after="0"/>
              <w:jc w:val="left"/>
              <w:rPr>
                <w:color w:val="4C4C4C"/>
              </w:rPr>
            </w:pPr>
            <w:r>
              <w:rPr>
                <w:color w:val="4C4C4C"/>
              </w:rPr>
              <w:t>•</w:t>
            </w:r>
          </w:p>
        </w:tc>
        <w:tc>
          <w:tcPr>
            <w:tcW w:w="8060"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One Form 4 and one transaction for Tracy Liu reporting options granted on August 12, 2024.</w:t>
            </w:r>
          </w:p>
        </w:tc>
      </w:tr>
    </w:tbl>
    <w:tbl>
      <w:tblPr>
        <w:tblW w:w="8560" w:type="dxa"/>
        <w:jc w:val="left"/>
        <w:tblInd w:w="0" w:type="dxa"/>
        <w:tblLayout w:type="fixed"/>
        <w:tblCellMar>
          <w:top w:w="0" w:type="dxa"/>
          <w:left w:w="0" w:type="dxa"/>
          <w:bottom w:w="0" w:type="dxa"/>
          <w:right w:w="0" w:type="dxa"/>
        </w:tblCellMar>
      </w:tblPr>
      <w:tblGrid>
        <w:gridCol w:w="140"/>
        <w:gridCol w:w="8420"/>
      </w:tblGrid>
      <w:tr>
        <w:trPr/>
        <w:tc>
          <w:tcPr>
            <w:tcW w:w="140" w:type="dxa"/>
            <w:tcBorders/>
            <w:vAlign w:val="center"/>
          </w:tcPr>
          <w:p>
            <w:pPr>
              <w:pStyle w:val="TableContents"/>
              <w:bidi w:val="0"/>
              <w:spacing w:before="0" w:after="0"/>
              <w:jc w:val="left"/>
              <w:rPr>
                <w:color w:val="4C4C4C"/>
              </w:rPr>
            </w:pPr>
            <w:r>
              <w:rPr>
                <w:color w:val="4C4C4C"/>
              </w:rPr>
              <w:t>•</w:t>
            </w:r>
          </w:p>
        </w:tc>
        <w:tc>
          <w:tcPr>
            <w:tcW w:w="8420"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One Form 4 and one transaction for Chenming Hu reporting options granted on August 12, 2024.</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24</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6" w:name="ny20042784x1_def14a_113-executive_pg1"/>
        <w:bookmarkEnd w:id="56"/>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Arial;Helvetica;sans-serif" w:hAnsi="Arial;Helvetica;sans-serif"/>
          <w:b/>
          <w:color w:val="0D3F64"/>
          <w:sz w:val="28"/>
        </w:rPr>
      </w:pPr>
      <w:bookmarkStart w:id="57" w:name="tEO"/>
      <w:bookmarkEnd w:id="57"/>
      <w:r>
        <w:rPr>
          <w:rFonts w:ascii="Arial;Helvetica;sans-serif" w:hAnsi="Arial;Helvetica;sans-serif"/>
          <w:b/>
          <w:color w:val="0D3F64"/>
          <w:sz w:val="28"/>
        </w:rPr>
        <w:t>Executive Officers</w:t>
      </w:r>
    </w:p>
    <w:p>
      <w:pPr>
        <w:pStyle w:val="TextBody"/>
        <w:bidi w:val="0"/>
        <w:spacing w:before="36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following table sets forth, as of April 15, 2025, the names of our executive officers, their ages, their positions and business experience, and the year of their first election as officers. Each executive officer serves at the discretion of the board of directors and holds office until his successor is duly elected and qualified or until his earlier resignation or removal.</w:t>
      </w:r>
    </w:p>
    <w:tbl>
      <w:tblPr>
        <w:tblW w:w="10205" w:type="dxa"/>
        <w:jc w:val="left"/>
        <w:tblInd w:w="0" w:type="dxa"/>
        <w:tblLayout w:type="fixed"/>
        <w:tblCellMar>
          <w:top w:w="0" w:type="dxa"/>
          <w:left w:w="0" w:type="dxa"/>
          <w:bottom w:w="0" w:type="dxa"/>
          <w:right w:w="0" w:type="dxa"/>
        </w:tblCellMar>
      </w:tblPr>
      <w:tblGrid>
        <w:gridCol w:w="185"/>
        <w:gridCol w:w="1054"/>
        <w:gridCol w:w="170"/>
        <w:gridCol w:w="170"/>
        <w:gridCol w:w="395"/>
        <w:gridCol w:w="170"/>
        <w:gridCol w:w="170"/>
        <w:gridCol w:w="6626"/>
        <w:gridCol w:w="170"/>
        <w:gridCol w:w="170"/>
        <w:gridCol w:w="709"/>
        <w:gridCol w:w="216"/>
      </w:tblGrid>
      <w:tr>
        <w:trPr/>
        <w:tc>
          <w:tcPr>
            <w:tcW w:w="185" w:type="dxa"/>
            <w:tcBorders/>
            <w:shd w:fill="0D3F64" w:val="clear"/>
            <w:vAlign w:val="center"/>
          </w:tcPr>
          <w:p>
            <w:pPr>
              <w:pStyle w:val="TableContents"/>
              <w:bidi w:val="0"/>
              <w:spacing w:before="0" w:after="0"/>
              <w:jc w:val="left"/>
              <w:rPr/>
            </w:pPr>
            <w:r>
              <w:rPr/>
              <w:t> </w:t>
            </w:r>
          </w:p>
        </w:tc>
        <w:tc>
          <w:tcPr>
            <w:tcW w:w="1054"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395"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6626"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709" w:type="dxa"/>
            <w:tcBorders/>
            <w:shd w:fill="0D3F64" w:val="clear"/>
            <w:vAlign w:val="center"/>
          </w:tcPr>
          <w:p>
            <w:pPr>
              <w:pStyle w:val="TableContents"/>
              <w:bidi w:val="0"/>
              <w:spacing w:before="0" w:after="0"/>
              <w:jc w:val="left"/>
              <w:rPr/>
            </w:pPr>
            <w:r>
              <w:rPr/>
              <w:t> </w:t>
            </w:r>
          </w:p>
        </w:tc>
        <w:tc>
          <w:tcPr>
            <w:tcW w:w="216" w:type="dxa"/>
            <w:tcBorders/>
            <w:shd w:fill="0D3F64" w:val="clear"/>
            <w:vAlign w:val="center"/>
          </w:tcPr>
          <w:p>
            <w:pPr>
              <w:pStyle w:val="TableContents"/>
              <w:bidi w:val="0"/>
              <w:spacing w:before="0" w:after="0"/>
              <w:jc w:val="left"/>
              <w:rPr/>
            </w:pPr>
            <w:r>
              <w:rPr/>
              <w:t> </w:t>
            </w:r>
          </w:p>
        </w:tc>
      </w:tr>
      <w:tr>
        <w:trPr/>
        <w:tc>
          <w:tcPr>
            <w:tcW w:w="185" w:type="dxa"/>
            <w:tcBorders/>
            <w:shd w:fill="0D3F64" w:val="clear"/>
            <w:vAlign w:val="center"/>
          </w:tcPr>
          <w:p>
            <w:pPr>
              <w:pStyle w:val="TableContents"/>
              <w:bidi w:val="0"/>
              <w:spacing w:before="0" w:after="0"/>
              <w:jc w:val="left"/>
              <w:rPr/>
            </w:pPr>
            <w:r>
              <w:rPr/>
              <w:t> </w:t>
            </w:r>
          </w:p>
        </w:tc>
        <w:tc>
          <w:tcPr>
            <w:tcW w:w="1054" w:type="dxa"/>
            <w:tcBorders/>
            <w:shd w:fill="0D3F64" w:val="clear"/>
            <w:vAlign w:val="center"/>
          </w:tcPr>
          <w:p>
            <w:pPr>
              <w:pStyle w:val="TableContents"/>
              <w:bidi w:val="0"/>
              <w:spacing w:before="0" w:after="283"/>
              <w:ind w:left="20" w:right="0" w:hanging="0"/>
              <w:jc w:val="left"/>
              <w:rPr>
                <w:rFonts w:ascii="Arial;Helvetica;sans-serif" w:hAnsi="Arial;Helvetica;sans-serif"/>
                <w:b/>
                <w:color w:val="FFFFFF"/>
                <w:sz w:val="18"/>
              </w:rPr>
            </w:pPr>
            <w:r>
              <w:rPr>
                <w:rFonts w:ascii="Arial;Helvetica;sans-serif" w:hAnsi="Arial;Helvetica;sans-serif"/>
                <w:b/>
                <w:color w:val="FFFFFF"/>
                <w:sz w:val="18"/>
              </w:rPr>
              <w:t>Name</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395" w:type="dxa"/>
            <w:tcBorders/>
            <w:shd w:fill="0D3F64" w:val="clear"/>
            <w:vAlign w:val="center"/>
          </w:tcPr>
          <w:p>
            <w:pPr>
              <w:pStyle w:val="TableContents"/>
              <w:bidi w:val="0"/>
              <w:spacing w:before="0" w:after="283"/>
              <w:ind w:left="0" w:right="0" w:hanging="0"/>
              <w:jc w:val="both"/>
              <w:rPr>
                <w:rFonts w:ascii="Arial;Helvetica;sans-serif" w:hAnsi="Arial;Helvetica;sans-serif"/>
                <w:b/>
                <w:color w:val="FFFFFF"/>
                <w:sz w:val="18"/>
              </w:rPr>
            </w:pPr>
            <w:r>
              <w:rPr>
                <w:rFonts w:ascii="Arial;Helvetica;sans-serif" w:hAnsi="Arial;Helvetica;sans-serif"/>
                <w:b/>
                <w:color w:val="FFFFFF"/>
                <w:sz w:val="18"/>
              </w:rPr>
              <w:t>Age</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6626" w:type="dxa"/>
            <w:tcBorders/>
            <w:shd w:fill="0D3F64"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Positions and Business Experience</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709" w:type="dxa"/>
            <w:tcBorders/>
            <w:shd w:fill="0D3F64"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Year First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Elected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Officer</w:t>
            </w:r>
          </w:p>
        </w:tc>
        <w:tc>
          <w:tcPr>
            <w:tcW w:w="216" w:type="dxa"/>
            <w:tcBorders/>
            <w:shd w:fill="0D3F6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David H. Wang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jc w:val="center"/>
              <w:rPr>
                <w:rFonts w:ascii="Arial;Helvetica;sans-serif" w:hAnsi="Arial;Helvetica;sans-serif"/>
                <w:color w:val="4C4C4C"/>
                <w:sz w:val="20"/>
              </w:rPr>
            </w:pPr>
            <w:r>
              <w:rPr>
                <w:rFonts w:ascii="Arial;Helvetica;sans-serif" w:hAnsi="Arial;Helvetica;sans-serif"/>
                <w:color w:val="4C4C4C"/>
                <w:sz w:val="20"/>
              </w:rPr>
              <w:t>63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26" w:type="dxa"/>
            <w:tcBorders/>
            <w:vAlign w:val="center"/>
          </w:tcPr>
          <w:p>
            <w:pPr>
              <w:pStyle w:val="TableContents"/>
              <w:bidi w:val="0"/>
              <w:spacing w:before="0" w:after="283"/>
              <w:ind w:left="0" w:right="0" w:hanging="0"/>
              <w:jc w:val="both"/>
              <w:rPr>
                <w:rFonts w:ascii="Arial;Helvetica;sans-serif" w:hAnsi="Arial;Helvetica;sans-serif"/>
                <w:color w:val="4C4C4C"/>
                <w:sz w:val="20"/>
              </w:rPr>
            </w:pPr>
            <w:r>
              <w:rPr>
                <w:rFonts w:ascii="Arial;Helvetica;sans-serif" w:hAnsi="Arial;Helvetica;sans-serif"/>
                <w:color w:val="4C4C4C"/>
                <w:sz w:val="20"/>
              </w:rPr>
              <w:t>Please see “Proposal 1. Election of Directors—Information Concerning Nominees for Election as 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9" w:type="dxa"/>
            <w:tcBorders/>
            <w:vAlign w:val="center"/>
          </w:tcPr>
          <w:p>
            <w:pPr>
              <w:pStyle w:val="TableContents"/>
              <w:bidi w:val="0"/>
              <w:spacing w:before="0" w:after="283"/>
              <w:jc w:val="center"/>
              <w:rPr>
                <w:rFonts w:ascii="Arial;Helvetica;sans-serif" w:hAnsi="Arial;Helvetica;sans-serif"/>
                <w:color w:val="4C4C4C"/>
                <w:sz w:val="20"/>
              </w:rPr>
            </w:pPr>
            <w:r>
              <w:rPr>
                <w:rFonts w:ascii="Arial;Helvetica;sans-serif" w:hAnsi="Arial;Helvetica;sans-serif"/>
                <w:color w:val="4C4C4C"/>
                <w:sz w:val="20"/>
              </w:rPr>
              <w:t>1998</w:t>
            </w:r>
          </w:p>
        </w:tc>
        <w:tc>
          <w:tcPr>
            <w:tcW w:w="216" w:type="dxa"/>
            <w:tcBorders/>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1054" w:type="dxa"/>
            <w:tcBorders/>
            <w:shd w:fill="BAE2F8" w:val="clear"/>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Mark McKechnie</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395" w:type="dxa"/>
            <w:tcBorders/>
            <w:shd w:fill="BAE2F8" w:val="clear"/>
            <w:vAlign w:val="center"/>
          </w:tcPr>
          <w:p>
            <w:pPr>
              <w:pStyle w:val="TableContents"/>
              <w:bidi w:val="0"/>
              <w:spacing w:before="0" w:after="283"/>
              <w:jc w:val="center"/>
              <w:rPr>
                <w:rFonts w:ascii="Arial;Helvetica;sans-serif" w:hAnsi="Arial;Helvetica;sans-serif"/>
                <w:color w:val="4C4C4C"/>
                <w:sz w:val="20"/>
              </w:rPr>
            </w:pPr>
            <w:r>
              <w:rPr>
                <w:rFonts w:ascii="Arial;Helvetica;sans-serif" w:hAnsi="Arial;Helvetica;sans-serif"/>
                <w:color w:val="4C4C4C"/>
                <w:sz w:val="20"/>
              </w:rPr>
              <w:t>58</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6626" w:type="dxa"/>
            <w:tcBorders/>
            <w:shd w:fill="BAE2F8" w:val="clear"/>
            <w:vAlign w:val="center"/>
          </w:tcPr>
          <w:p>
            <w:pPr>
              <w:pStyle w:val="TableContents"/>
              <w:bidi w:val="0"/>
              <w:spacing w:before="0" w:after="283"/>
              <w:ind w:left="0" w:right="0" w:hanging="0"/>
              <w:jc w:val="both"/>
              <w:rPr>
                <w:rFonts w:ascii="Arial;Helvetica;sans-serif" w:hAnsi="Arial;Helvetica;sans-serif"/>
                <w:color w:val="4C4C4C"/>
                <w:sz w:val="20"/>
              </w:rPr>
            </w:pPr>
            <w:r>
              <w:rPr>
                <w:rFonts w:ascii="Arial;Helvetica;sans-serif" w:hAnsi="Arial;Helvetica;sans-serif"/>
                <w:color w:val="4C4C4C"/>
                <w:sz w:val="20"/>
              </w:rPr>
              <w:t>Chief Financial Officer, Treasurer and Secretary of ACM Research, Inc. (November 2019-present); Vice President of Finance of ACM Research, Inc. (July 2018-November 2019); Vice President of Investor Relations and Strategic Initiatives of Silver Spring Networks, a provider of smart grid products (November 2014-January 2018); Managing Director of Technology Equity Research of Evercore Partners, a global investment banking firm (2012-2014); received a Bachelor of Science in Electrical Engineering degree from Purdue University and a Master of Business Administration degree from The Kellogg School of Management at Northwestern University.</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709" w:type="dxa"/>
            <w:tcBorders/>
            <w:shd w:fill="BAE2F8" w:val="clear"/>
            <w:vAlign w:val="center"/>
          </w:tcPr>
          <w:p>
            <w:pPr>
              <w:pStyle w:val="TableContents"/>
              <w:bidi w:val="0"/>
              <w:spacing w:before="0" w:after="283"/>
              <w:jc w:val="center"/>
              <w:rPr>
                <w:rFonts w:ascii="Arial;Helvetica;sans-serif" w:hAnsi="Arial;Helvetica;sans-serif"/>
                <w:color w:val="4C4C4C"/>
                <w:sz w:val="20"/>
              </w:rPr>
            </w:pPr>
            <w:r>
              <w:rPr>
                <w:rFonts w:ascii="Arial;Helvetica;sans-serif" w:hAnsi="Arial;Helvetica;sans-serif"/>
                <w:color w:val="4C4C4C"/>
                <w:sz w:val="20"/>
              </w:rPr>
              <w:t>2019</w:t>
            </w:r>
          </w:p>
        </w:tc>
        <w:tc>
          <w:tcPr>
            <w:tcW w:w="216" w:type="dxa"/>
            <w:tcBorders/>
            <w:shd w:fill="BAE2F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Jian Wang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jc w:val="center"/>
              <w:rPr>
                <w:rFonts w:ascii="Arial;Helvetica;sans-serif" w:hAnsi="Arial;Helvetica;sans-serif"/>
                <w:color w:val="4C4C4C"/>
                <w:sz w:val="20"/>
              </w:rPr>
            </w:pPr>
            <w:r>
              <w:rPr>
                <w:rFonts w:ascii="Arial;Helvetica;sans-serif" w:hAnsi="Arial;Helvetica;sans-serif"/>
                <w:color w:val="4C4C4C"/>
                <w:sz w:val="20"/>
              </w:rPr>
              <w:t>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26" w:type="dxa"/>
            <w:tcBorders/>
            <w:vAlign w:val="center"/>
          </w:tcPr>
          <w:p>
            <w:pPr>
              <w:pStyle w:val="TableContents"/>
              <w:bidi w:val="0"/>
              <w:spacing w:before="0" w:after="283"/>
              <w:ind w:left="0" w:right="0" w:hanging="0"/>
              <w:jc w:val="both"/>
              <w:rPr>
                <w:rFonts w:ascii="Arial;Helvetica;sans-serif" w:hAnsi="Arial;Helvetica;sans-serif"/>
                <w:color w:val="4C4C4C"/>
                <w:sz w:val="20"/>
              </w:rPr>
            </w:pPr>
            <w:r>
              <w:rPr>
                <w:rFonts w:ascii="Arial;Helvetica;sans-serif" w:hAnsi="Arial;Helvetica;sans-serif"/>
                <w:color w:val="4C4C4C"/>
                <w:sz w:val="20"/>
              </w:rPr>
              <w:t>Chief Executive Officer and President of ACM Research (Shanghai), Inc. (November 2019-present); Vice President, Research and Development of ACM Research (Shanghai), Inc. (January 2015-November 2019); Director of Research and Development of ACM Research (Shanghai), Inc. (2011-January 2015), focusing on the research and development of stress-free polishing and electro-chemical-copper-planarization technologies; received a Master of Science degree in computer science from Northwestern Polytechnic University, a Master of Science degree in marine engineering from Kobe University and a Bachelor of Science degree in mechanical engineering from Southeast University.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9" w:type="dxa"/>
            <w:tcBorders/>
            <w:vAlign w:val="center"/>
          </w:tcPr>
          <w:p>
            <w:pPr>
              <w:pStyle w:val="TableContents"/>
              <w:bidi w:val="0"/>
              <w:spacing w:before="0" w:after="283"/>
              <w:jc w:val="center"/>
              <w:rPr>
                <w:rFonts w:ascii="Arial;Helvetica;sans-serif" w:hAnsi="Arial;Helvetica;sans-serif"/>
                <w:color w:val="4C4C4C"/>
                <w:sz w:val="20"/>
              </w:rPr>
            </w:pPr>
            <w:r>
              <w:rPr>
                <w:rFonts w:ascii="Arial;Helvetica;sans-serif" w:hAnsi="Arial;Helvetica;sans-serif"/>
                <w:color w:val="4C4C4C"/>
                <w:sz w:val="20"/>
              </w:rPr>
              <w:t>2015</w:t>
            </w:r>
          </w:p>
        </w:tc>
        <w:tc>
          <w:tcPr>
            <w:tcW w:w="216" w:type="dxa"/>
            <w:tcBorders/>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1054" w:type="dxa"/>
            <w:tcBorders/>
            <w:shd w:fill="BAE2F8" w:val="clear"/>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Lisa Feng</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395" w:type="dxa"/>
            <w:tcBorders/>
            <w:shd w:fill="BAE2F8" w:val="clear"/>
            <w:vAlign w:val="center"/>
          </w:tcPr>
          <w:p>
            <w:pPr>
              <w:pStyle w:val="TableContents"/>
              <w:bidi w:val="0"/>
              <w:spacing w:before="0" w:after="283"/>
              <w:jc w:val="center"/>
              <w:rPr>
                <w:rFonts w:ascii="Arial;Helvetica;sans-serif" w:hAnsi="Arial;Helvetica;sans-serif"/>
                <w:color w:val="4C4C4C"/>
                <w:sz w:val="20"/>
              </w:rPr>
            </w:pPr>
            <w:r>
              <w:rPr>
                <w:rFonts w:ascii="Arial;Helvetica;sans-serif" w:hAnsi="Arial;Helvetica;sans-serif"/>
                <w:color w:val="4C4C4C"/>
                <w:sz w:val="20"/>
              </w:rPr>
              <w:t>66</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6626" w:type="dxa"/>
            <w:tcBorders/>
            <w:shd w:fill="BAE2F8" w:val="clear"/>
            <w:vAlign w:val="center"/>
          </w:tcPr>
          <w:p>
            <w:pPr>
              <w:pStyle w:val="TableContents"/>
              <w:bidi w:val="0"/>
              <w:spacing w:before="0" w:after="283"/>
              <w:ind w:left="0" w:right="0" w:hanging="0"/>
              <w:jc w:val="both"/>
              <w:rPr>
                <w:rFonts w:ascii="Arial;Helvetica;sans-serif" w:hAnsi="Arial;Helvetica;sans-serif"/>
                <w:color w:val="4C4C4C"/>
                <w:sz w:val="20"/>
              </w:rPr>
            </w:pPr>
            <w:r>
              <w:rPr>
                <w:rFonts w:ascii="Arial;Helvetica;sans-serif" w:hAnsi="Arial;Helvetica;sans-serif"/>
                <w:color w:val="4C4C4C"/>
                <w:sz w:val="20"/>
              </w:rPr>
              <w:t>Chief Financial Officer of ACM Research (Shanghai), Inc. (November 2019-present); Chief Accounting Officer, Interim Chief Financial Officer and Treasurer of ACM Research, Inc. (January 2018-November 2019); Financial Controller of Amlogic, a fabless semiconductor company (October 2017-January 2018); Corporate Controller of Amlogic, Inc. (August 2008-September 2017); received a Bachelor of Science degree in Business/Economics from Southern Connecticut State University and a Master of Science degree in Accounting from Golden Gate University.</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709" w:type="dxa"/>
            <w:tcBorders/>
            <w:shd w:fill="BAE2F8" w:val="clear"/>
            <w:vAlign w:val="center"/>
          </w:tcPr>
          <w:p>
            <w:pPr>
              <w:pStyle w:val="TableContents"/>
              <w:bidi w:val="0"/>
              <w:spacing w:before="0" w:after="283"/>
              <w:jc w:val="center"/>
              <w:rPr>
                <w:rFonts w:ascii="Arial;Helvetica;sans-serif" w:hAnsi="Arial;Helvetica;sans-serif"/>
                <w:color w:val="4C4C4C"/>
                <w:sz w:val="20"/>
              </w:rPr>
            </w:pPr>
            <w:r>
              <w:rPr>
                <w:rFonts w:ascii="Arial;Helvetica;sans-serif" w:hAnsi="Arial;Helvetica;sans-serif"/>
                <w:color w:val="4C4C4C"/>
                <w:sz w:val="20"/>
              </w:rPr>
              <w:t>2019</w:t>
            </w:r>
          </w:p>
        </w:tc>
        <w:tc>
          <w:tcPr>
            <w:tcW w:w="216" w:type="dxa"/>
            <w:tcBorders/>
            <w:shd w:fill="BAE2F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Sotheara Cheav</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jc w:val="center"/>
              <w:rPr>
                <w:rFonts w:ascii="Arial;Helvetica;sans-serif" w:hAnsi="Arial;Helvetica;sans-serif"/>
                <w:color w:val="4C4C4C"/>
                <w:sz w:val="20"/>
              </w:rPr>
            </w:pPr>
            <w:r>
              <w:rPr>
                <w:rFonts w:ascii="Arial;Helvetica;sans-serif" w:hAnsi="Arial;Helvetica;sans-serif"/>
                <w:color w:val="4C4C4C"/>
                <w:sz w:val="20"/>
              </w:rPr>
              <w:t>73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26" w:type="dxa"/>
            <w:tcBorders/>
            <w:vAlign w:val="center"/>
          </w:tcPr>
          <w:p>
            <w:pPr>
              <w:pStyle w:val="TableContents"/>
              <w:bidi w:val="0"/>
              <w:spacing w:before="0" w:after="283"/>
              <w:ind w:left="0" w:right="0" w:hanging="0"/>
              <w:jc w:val="both"/>
              <w:rPr>
                <w:rFonts w:ascii="Arial;Helvetica;sans-serif" w:hAnsi="Arial;Helvetica;sans-serif"/>
                <w:color w:val="4C4C4C"/>
                <w:sz w:val="20"/>
              </w:rPr>
            </w:pPr>
            <w:r>
              <w:rPr>
                <w:rFonts w:ascii="Arial;Helvetica;sans-serif" w:hAnsi="Arial;Helvetica;sans-serif"/>
                <w:color w:val="4C4C4C"/>
                <w:sz w:val="20"/>
              </w:rPr>
              <w:t>Senior Vice President, Manufacturing of ACM Research, Inc. (April 2025-Present); Senior Vice President, Manufacturing of ACM Research (Shanghai), Inc. (May 2019-March 2025); Vice President, Manufacturing of ACM Research (Shanghai), Inc. (January 2015-May 2019); Director of Manufacturing of ACM Research (Shanghai), Inc. (2011-December 2014); received a Bachelor of Science degree in Science and Technology from the University of Cambodia and an Associate of Science degree in Electronics from Bay Valley Technical Institute.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9" w:type="dxa"/>
            <w:tcBorders/>
            <w:vAlign w:val="center"/>
          </w:tcPr>
          <w:p>
            <w:pPr>
              <w:pStyle w:val="TableContents"/>
              <w:bidi w:val="0"/>
              <w:spacing w:before="0" w:after="283"/>
              <w:jc w:val="center"/>
              <w:rPr>
                <w:rFonts w:ascii="Arial;Helvetica;sans-serif" w:hAnsi="Arial;Helvetica;sans-serif"/>
                <w:color w:val="4C4C4C"/>
                <w:sz w:val="20"/>
              </w:rPr>
            </w:pPr>
            <w:r>
              <w:rPr>
                <w:rFonts w:ascii="Arial;Helvetica;sans-serif" w:hAnsi="Arial;Helvetica;sans-serif"/>
                <w:color w:val="4C4C4C"/>
                <w:sz w:val="20"/>
              </w:rPr>
              <w:t>2015</w:t>
            </w:r>
          </w:p>
        </w:tc>
        <w:tc>
          <w:tcPr>
            <w:tcW w:w="216" w:type="dxa"/>
            <w:tcBorders/>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1054" w:type="dxa"/>
            <w:tcBorders/>
            <w:shd w:fill="BAE2F8" w:val="clear"/>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Fuping Chen</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395" w:type="dxa"/>
            <w:tcBorders/>
            <w:shd w:fill="BAE2F8" w:val="clear"/>
            <w:vAlign w:val="center"/>
          </w:tcPr>
          <w:p>
            <w:pPr>
              <w:pStyle w:val="TableContents"/>
              <w:bidi w:val="0"/>
              <w:spacing w:before="0" w:after="283"/>
              <w:jc w:val="center"/>
              <w:rPr>
                <w:rFonts w:ascii="Arial;Helvetica;sans-serif" w:hAnsi="Arial;Helvetica;sans-serif"/>
                <w:color w:val="4C4C4C"/>
                <w:sz w:val="20"/>
              </w:rPr>
            </w:pPr>
            <w:r>
              <w:rPr>
                <w:rFonts w:ascii="Arial;Helvetica;sans-serif" w:hAnsi="Arial;Helvetica;sans-serif"/>
                <w:color w:val="4C4C4C"/>
                <w:sz w:val="20"/>
              </w:rPr>
              <w:t>43</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6626" w:type="dxa"/>
            <w:tcBorders/>
            <w:shd w:fill="BAE2F8" w:val="clear"/>
            <w:vAlign w:val="center"/>
          </w:tcPr>
          <w:p>
            <w:pPr>
              <w:pStyle w:val="TableContents"/>
              <w:bidi w:val="0"/>
              <w:spacing w:before="0" w:after="283"/>
              <w:ind w:left="0" w:right="0" w:hanging="0"/>
              <w:jc w:val="both"/>
              <w:rPr>
                <w:rFonts w:ascii="Arial;Helvetica;sans-serif" w:hAnsi="Arial;Helvetica;sans-serif"/>
                <w:color w:val="4C4C4C"/>
                <w:sz w:val="20"/>
              </w:rPr>
            </w:pPr>
            <w:r>
              <w:rPr>
                <w:rFonts w:ascii="Arial;Helvetica;sans-serif" w:hAnsi="Arial;Helvetica;sans-serif"/>
                <w:color w:val="4C4C4C"/>
                <w:sz w:val="20"/>
              </w:rPr>
              <w:t>Vice President, Sales—China of ACM Research (Shanghai), Inc. (January 2018-present); Senior Technical Director of ACM Research, Inc. (2010-2017); Assistant Wet Process Manager of SK Hynix Inc., a semiconductor company (2006-2010); received a Bachelor of Science degree from Nanjing University of Technology of Material Science and Engineering and a Master of Science degree from Zhejiang University of Material Science and Engineering.</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709" w:type="dxa"/>
            <w:tcBorders/>
            <w:shd w:fill="BAE2F8" w:val="clear"/>
            <w:vAlign w:val="center"/>
          </w:tcPr>
          <w:p>
            <w:pPr>
              <w:pStyle w:val="TableContents"/>
              <w:bidi w:val="0"/>
              <w:spacing w:before="0" w:after="283"/>
              <w:jc w:val="center"/>
              <w:rPr>
                <w:rFonts w:ascii="Arial;Helvetica;sans-serif" w:hAnsi="Arial;Helvetica;sans-serif"/>
                <w:color w:val="4C4C4C"/>
                <w:sz w:val="20"/>
              </w:rPr>
            </w:pPr>
            <w:r>
              <w:rPr>
                <w:rFonts w:ascii="Arial;Helvetica;sans-serif" w:hAnsi="Arial;Helvetica;sans-serif"/>
                <w:color w:val="4C4C4C"/>
                <w:sz w:val="20"/>
              </w:rPr>
              <w:t>2018</w:t>
            </w:r>
          </w:p>
        </w:tc>
        <w:tc>
          <w:tcPr>
            <w:tcW w:w="216" w:type="dxa"/>
            <w:tcBorders/>
            <w:shd w:fill="BAE2F8" w:val="clear"/>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1054"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395"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6626"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709" w:type="dxa"/>
            <w:tcBorders/>
            <w:shd w:fill="BAE2F8" w:val="clear"/>
            <w:vAlign w:val="center"/>
          </w:tcPr>
          <w:p>
            <w:pPr>
              <w:pStyle w:val="TableContents"/>
              <w:bidi w:val="0"/>
              <w:spacing w:before="0" w:after="0"/>
              <w:jc w:val="left"/>
              <w:rPr/>
            </w:pPr>
            <w:r>
              <w:rPr/>
              <w:t> </w:t>
            </w:r>
          </w:p>
        </w:tc>
        <w:tc>
          <w:tcPr>
            <w:tcW w:w="216" w:type="dxa"/>
            <w:tcBorders/>
            <w:shd w:fill="BAE2F8" w:val="clear"/>
            <w:vAlign w:val="center"/>
          </w:tcPr>
          <w:p>
            <w:pPr>
              <w:pStyle w:val="TableContents"/>
              <w:bidi w:val="0"/>
              <w:spacing w:before="0" w:after="0"/>
              <w:jc w:val="left"/>
              <w:rPr/>
            </w:pPr>
            <w:r>
              <w:rPr/>
              <w:t> </w:t>
            </w:r>
          </w:p>
        </w:tc>
      </w:tr>
    </w:tbl>
    <w:p>
      <w:pPr>
        <w:pStyle w:val="TextBody"/>
        <w:bidi w:val="0"/>
        <w:spacing w:before="200" w:after="283"/>
        <w:ind w:left="0" w:right="0" w:hanging="0"/>
        <w:jc w:val="left"/>
        <w:rPr>
          <w:rFonts w:ascii="Arial;Helvetica;sans-serif" w:hAnsi="Arial;Helvetica;sans-serif"/>
          <w:color w:val="4C4C4C"/>
          <w:sz w:val="20"/>
        </w:rPr>
      </w:pPr>
      <w:r>
        <w:rPr>
          <w:rFonts w:ascii="Arial;Helvetica;sans-serif" w:hAnsi="Arial;Helvetica;sans-serif"/>
          <w:color w:val="4C4C4C"/>
          <w:sz w:val="20"/>
        </w:rPr>
        <w:t>David Wang and Jian Wang are brothers.</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25</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8" w:name="ny20042784x1_def14a_113-executive_pg2"/>
        <w:bookmarkEnd w:id="58"/>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Arial;Helvetica;sans-serif" w:hAnsi="Arial;Helvetica;sans-serif"/>
          <w:b/>
          <w:color w:val="0D3F64"/>
          <w:sz w:val="28"/>
        </w:rPr>
      </w:pPr>
      <w:bookmarkStart w:id="59" w:name="tCDA"/>
      <w:bookmarkEnd w:id="59"/>
      <w:r>
        <w:rPr>
          <w:rFonts w:ascii="Arial;Helvetica;sans-serif" w:hAnsi="Arial;Helvetica;sans-serif"/>
          <w:b/>
          <w:color w:val="0D3F64"/>
          <w:sz w:val="28"/>
        </w:rPr>
        <w:t>Compensation Discussion and Analysis</w:t>
      </w:r>
    </w:p>
    <w:p>
      <w:pPr>
        <w:pStyle w:val="TextBody"/>
        <w:bidi w:val="0"/>
        <w:spacing w:before="36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This Compensation Discussion and Analysis explains our executive compensation program as it relates to our NEOs, who have been determined, and whose compensation information is presented in the following tables and discussion, in accordance with SEC rules:</w:t>
      </w:r>
    </w:p>
    <w:p>
      <w:pPr>
        <w:pStyle w:val="TextBody"/>
        <w:bidi w:val="0"/>
        <w:spacing w:before="280" w:after="283"/>
        <w:ind w:left="0" w:right="0" w:hanging="0"/>
        <w:jc w:val="left"/>
        <w:rPr>
          <w:rFonts w:ascii="Arial;Helvetica;sans-serif" w:hAnsi="Arial;Helvetica;sans-serif"/>
          <w:b/>
          <w:color w:val="0079C1"/>
          <w:sz w:val="24"/>
        </w:rPr>
      </w:pPr>
      <w:r>
        <w:rPr>
          <w:rFonts w:ascii="Arial;Helvetica;sans-serif" w:hAnsi="Arial;Helvetica;sans-serif"/>
          <w:b/>
          <w:color w:val="0079C1"/>
          <w:sz w:val="24"/>
        </w:rPr>
        <w:t>Fiscal Year 2024 NEOs</w:t>
      </w:r>
    </w:p>
    <w:tbl>
      <w:tblPr>
        <w:tblW w:w="8985" w:type="dxa"/>
        <w:jc w:val="left"/>
        <w:tblInd w:w="0" w:type="dxa"/>
        <w:tblLayout w:type="fixed"/>
        <w:tblCellMar>
          <w:top w:w="0" w:type="dxa"/>
          <w:left w:w="0" w:type="dxa"/>
          <w:bottom w:w="0" w:type="dxa"/>
          <w:right w:w="0" w:type="dxa"/>
        </w:tblCellMar>
      </w:tblPr>
      <w:tblGrid>
        <w:gridCol w:w="185"/>
        <w:gridCol w:w="2000"/>
        <w:gridCol w:w="170"/>
        <w:gridCol w:w="170"/>
        <w:gridCol w:w="6245"/>
        <w:gridCol w:w="215"/>
      </w:tblGrid>
      <w:tr>
        <w:trPr/>
        <w:tc>
          <w:tcPr>
            <w:tcW w:w="185" w:type="dxa"/>
            <w:tcBorders/>
            <w:shd w:fill="0D3F64" w:val="clear"/>
            <w:vAlign w:val="center"/>
          </w:tcPr>
          <w:p>
            <w:pPr>
              <w:pStyle w:val="TableContents"/>
              <w:bidi w:val="0"/>
              <w:spacing w:before="0" w:after="0"/>
              <w:jc w:val="left"/>
              <w:rPr/>
            </w:pPr>
            <w:r>
              <w:rPr/>
              <w:t> </w:t>
            </w:r>
          </w:p>
        </w:tc>
        <w:tc>
          <w:tcPr>
            <w:tcW w:w="200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6245" w:type="dxa"/>
            <w:tcBorders/>
            <w:shd w:fill="0D3F64" w:val="clear"/>
            <w:vAlign w:val="center"/>
          </w:tcPr>
          <w:p>
            <w:pPr>
              <w:pStyle w:val="TableContents"/>
              <w:bidi w:val="0"/>
              <w:spacing w:before="0" w:after="0"/>
              <w:jc w:val="left"/>
              <w:rPr/>
            </w:pPr>
            <w:r>
              <w:rPr/>
              <w:t> </w:t>
            </w:r>
          </w:p>
        </w:tc>
        <w:tc>
          <w:tcPr>
            <w:tcW w:w="215" w:type="dxa"/>
            <w:tcBorders/>
            <w:shd w:fill="0D3F64" w:val="clear"/>
            <w:vAlign w:val="center"/>
          </w:tcPr>
          <w:p>
            <w:pPr>
              <w:pStyle w:val="TableContents"/>
              <w:bidi w:val="0"/>
              <w:spacing w:before="0" w:after="0"/>
              <w:jc w:val="left"/>
              <w:rPr/>
            </w:pPr>
            <w:r>
              <w:rPr/>
              <w:t> </w:t>
            </w:r>
          </w:p>
        </w:tc>
      </w:tr>
      <w:tr>
        <w:trPr/>
        <w:tc>
          <w:tcPr>
            <w:tcW w:w="185" w:type="dxa"/>
            <w:tcBorders/>
            <w:shd w:fill="0D3F64" w:val="clear"/>
            <w:vAlign w:val="center"/>
          </w:tcPr>
          <w:p>
            <w:pPr>
              <w:pStyle w:val="TableContents"/>
              <w:bidi w:val="0"/>
              <w:spacing w:before="0" w:after="0"/>
              <w:jc w:val="left"/>
              <w:rPr/>
            </w:pPr>
            <w:r>
              <w:rPr/>
              <w:t> </w:t>
            </w:r>
          </w:p>
        </w:tc>
        <w:tc>
          <w:tcPr>
            <w:tcW w:w="2000" w:type="dxa"/>
            <w:tcBorders/>
            <w:shd w:fill="0D3F64" w:val="clear"/>
            <w:vAlign w:val="center"/>
          </w:tcPr>
          <w:p>
            <w:pPr>
              <w:pStyle w:val="TableContents"/>
              <w:bidi w:val="0"/>
              <w:spacing w:before="20" w:after="283"/>
              <w:ind w:left="20" w:right="0" w:hanging="0"/>
              <w:jc w:val="left"/>
              <w:rPr>
                <w:rFonts w:ascii="Arial;Helvetica;sans-serif" w:hAnsi="Arial;Helvetica;sans-serif"/>
                <w:b/>
                <w:color w:val="FFFFFF"/>
                <w:sz w:val="16"/>
              </w:rPr>
            </w:pPr>
            <w:r>
              <w:rPr>
                <w:rFonts w:ascii="Arial;Helvetica;sans-serif" w:hAnsi="Arial;Helvetica;sans-serif"/>
                <w:b/>
                <w:color w:val="FFFFFF"/>
                <w:sz w:val="16"/>
              </w:rPr>
              <w:t>Named Executive Officer</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6245" w:type="dxa"/>
            <w:tcBorders/>
            <w:shd w:fill="0D3F64" w:val="clear"/>
            <w:vAlign w:val="center"/>
          </w:tcPr>
          <w:p>
            <w:pPr>
              <w:pStyle w:val="TableContents"/>
              <w:bidi w:val="0"/>
              <w:spacing w:before="2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Position(s)</w:t>
            </w:r>
          </w:p>
        </w:tc>
        <w:tc>
          <w:tcPr>
            <w:tcW w:w="215" w:type="dxa"/>
            <w:tcBorders/>
            <w:shd w:fill="0D3F6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David H. Wang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45"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Chief Executive Officer and President</w:t>
            </w:r>
          </w:p>
        </w:tc>
        <w:tc>
          <w:tcPr>
            <w:tcW w:w="215" w:type="dxa"/>
            <w:tcBorders/>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2000" w:type="dxa"/>
            <w:tcBorders/>
            <w:shd w:fill="BAE2F8" w:val="clear"/>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Mark McKechnie</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6245"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Chief Financial Officer, Treasurer and Secretary</w:t>
            </w:r>
          </w:p>
        </w:tc>
        <w:tc>
          <w:tcPr>
            <w:tcW w:w="215" w:type="dxa"/>
            <w:tcBorders/>
            <w:shd w:fill="BAE2F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Jian Wang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45"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Chief Executive Oﬃcer and President, ACM Research (Shanghai), Inc.</w:t>
            </w:r>
          </w:p>
        </w:tc>
        <w:tc>
          <w:tcPr>
            <w:tcW w:w="215" w:type="dxa"/>
            <w:tcBorders/>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2000" w:type="dxa"/>
            <w:tcBorders/>
            <w:shd w:fill="BAE2F8" w:val="clear"/>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Lisa Feng</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6245"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Chief Financial Officer, ACM Research (Shanghai), Inc.</w:t>
            </w:r>
          </w:p>
        </w:tc>
        <w:tc>
          <w:tcPr>
            <w:tcW w:w="215" w:type="dxa"/>
            <w:tcBorders/>
            <w:shd w:fill="BAE2F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Fuping Chen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45"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Vice President, Sales—China, ACM Research (Shanghai), Inc.</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4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Our NEO compensation policies and practices are designed to reinforce our pay for performance philosophy and align with sound governance principles. Listed below are highlights of our fiscal 2024 NEO compensation policies and practices:</w:t>
      </w:r>
    </w:p>
    <w:p>
      <w:pPr>
        <w:pStyle w:val="TextBody"/>
        <w:bidi w:val="0"/>
        <w:spacing w:before="240" w:after="283"/>
        <w:ind w:left="0" w:right="0" w:hanging="0"/>
        <w:jc w:val="left"/>
        <w:rPr>
          <w:rFonts w:ascii="Arial;Helvetica;sans-serif" w:hAnsi="Arial;Helvetica;sans-serif"/>
          <w:b/>
          <w:i/>
          <w:color w:val="0079C1"/>
          <w:sz w:val="20"/>
        </w:rPr>
      </w:pPr>
      <w:r>
        <w:rPr>
          <w:rFonts w:ascii="Arial;Helvetica;sans-serif" w:hAnsi="Arial;Helvetica;sans-serif"/>
          <w:b/>
          <w:i/>
          <w:color w:val="0079C1"/>
          <w:sz w:val="20"/>
        </w:rPr>
        <w:t>What We Do</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C4C4C"/>
              </w:rPr>
            </w:pPr>
            <w:r>
              <w:rPr>
                <w:color w:val="4C4C4C"/>
              </w:rPr>
              <w:t>•</w:t>
            </w:r>
          </w:p>
        </w:tc>
        <w:tc>
          <w:tcPr>
            <w:tcW w:w="10065" w:type="dxa"/>
            <w:tcBorders/>
            <w:vAlign w:val="center"/>
          </w:tcPr>
          <w:p>
            <w:pPr>
              <w:pStyle w:val="TableContents"/>
              <w:bidi w:val="0"/>
              <w:spacing w:before="0" w:after="0"/>
              <w:jc w:val="both"/>
              <w:rPr>
                <w:rFonts w:ascii="Arial;Helvetica;sans-serif" w:hAnsi="Arial;Helvetica;sans-serif"/>
                <w:color w:val="4C4C4C"/>
                <w:sz w:val="20"/>
              </w:rPr>
            </w:pPr>
            <w:r>
              <w:rPr>
                <w:rFonts w:ascii="Arial;Helvetica;sans-serif" w:hAnsi="Arial;Helvetica;sans-serif"/>
                <w:color w:val="4C4C4C"/>
                <w:sz w:val="20"/>
              </w:rPr>
              <w:t>reinforce our Pay for Performance philosophy by having a portion of NEO compensation “at risk” with the use of multi-year equity award vesting periods tied to performance</w:t>
            </w:r>
          </w:p>
        </w:tc>
      </w:tr>
    </w:tbl>
    <w:tbl>
      <w:tblPr>
        <w:tblW w:w="9340" w:type="dxa"/>
        <w:jc w:val="left"/>
        <w:tblInd w:w="0" w:type="dxa"/>
        <w:tblLayout w:type="fixed"/>
        <w:tblCellMar>
          <w:top w:w="0" w:type="dxa"/>
          <w:left w:w="0" w:type="dxa"/>
          <w:bottom w:w="0" w:type="dxa"/>
          <w:right w:w="0" w:type="dxa"/>
        </w:tblCellMar>
      </w:tblPr>
      <w:tblGrid>
        <w:gridCol w:w="140"/>
        <w:gridCol w:w="9200"/>
      </w:tblGrid>
      <w:tr>
        <w:trPr/>
        <w:tc>
          <w:tcPr>
            <w:tcW w:w="140" w:type="dxa"/>
            <w:tcBorders/>
            <w:vAlign w:val="center"/>
          </w:tcPr>
          <w:p>
            <w:pPr>
              <w:pStyle w:val="TableContents"/>
              <w:bidi w:val="0"/>
              <w:spacing w:before="0" w:after="0"/>
              <w:jc w:val="left"/>
              <w:rPr>
                <w:color w:val="4C4C4C"/>
              </w:rPr>
            </w:pPr>
            <w:r>
              <w:rPr>
                <w:color w:val="4C4C4C"/>
              </w:rPr>
              <w:t>•</w:t>
            </w:r>
          </w:p>
        </w:tc>
        <w:tc>
          <w:tcPr>
            <w:tcW w:w="9200"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ongoing engagement with our institutional stockholders regarding our compensation policies and practice;</w:t>
            </w:r>
          </w:p>
        </w:tc>
      </w:tr>
    </w:tbl>
    <w:tbl>
      <w:tblPr>
        <w:tblW w:w="1660" w:type="dxa"/>
        <w:jc w:val="left"/>
        <w:tblInd w:w="0" w:type="dxa"/>
        <w:tblLayout w:type="fixed"/>
        <w:tblCellMar>
          <w:top w:w="0" w:type="dxa"/>
          <w:left w:w="0" w:type="dxa"/>
          <w:bottom w:w="0" w:type="dxa"/>
          <w:right w:w="0" w:type="dxa"/>
        </w:tblCellMar>
      </w:tblPr>
      <w:tblGrid>
        <w:gridCol w:w="140"/>
        <w:gridCol w:w="1520"/>
      </w:tblGrid>
      <w:tr>
        <w:trPr/>
        <w:tc>
          <w:tcPr>
            <w:tcW w:w="140" w:type="dxa"/>
            <w:tcBorders/>
            <w:vAlign w:val="center"/>
          </w:tcPr>
          <w:p>
            <w:pPr>
              <w:pStyle w:val="TableContents"/>
              <w:bidi w:val="0"/>
              <w:spacing w:before="0" w:after="0"/>
              <w:jc w:val="left"/>
              <w:rPr>
                <w:color w:val="4C4C4C"/>
              </w:rPr>
            </w:pPr>
            <w:r>
              <w:rPr>
                <w:color w:val="4C4C4C"/>
              </w:rPr>
              <w:t>•</w:t>
            </w:r>
          </w:p>
        </w:tc>
        <w:tc>
          <w:tcPr>
            <w:tcW w:w="1520"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clawback policy;</w:t>
            </w:r>
          </w:p>
        </w:tc>
      </w:tr>
    </w:tbl>
    <w:tbl>
      <w:tblPr>
        <w:tblW w:w="3625" w:type="dxa"/>
        <w:jc w:val="left"/>
        <w:tblInd w:w="0" w:type="dxa"/>
        <w:tblLayout w:type="fixed"/>
        <w:tblCellMar>
          <w:top w:w="0" w:type="dxa"/>
          <w:left w:w="0" w:type="dxa"/>
          <w:bottom w:w="0" w:type="dxa"/>
          <w:right w:w="0" w:type="dxa"/>
        </w:tblCellMar>
      </w:tblPr>
      <w:tblGrid>
        <w:gridCol w:w="140"/>
        <w:gridCol w:w="3485"/>
      </w:tblGrid>
      <w:tr>
        <w:trPr/>
        <w:tc>
          <w:tcPr>
            <w:tcW w:w="140" w:type="dxa"/>
            <w:tcBorders/>
            <w:vAlign w:val="center"/>
          </w:tcPr>
          <w:p>
            <w:pPr>
              <w:pStyle w:val="TableContents"/>
              <w:bidi w:val="0"/>
              <w:spacing w:before="0" w:after="0"/>
              <w:jc w:val="left"/>
              <w:rPr>
                <w:color w:val="4C4C4C"/>
              </w:rPr>
            </w:pPr>
            <w:r>
              <w:rPr>
                <w:color w:val="4C4C4C"/>
              </w:rPr>
              <w:t>•</w:t>
            </w:r>
          </w:p>
        </w:tc>
        <w:tc>
          <w:tcPr>
            <w:tcW w:w="3485"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annual compensation risk assessment;</w:t>
            </w:r>
          </w:p>
        </w:tc>
      </w:tr>
    </w:tbl>
    <w:tbl>
      <w:tblPr>
        <w:tblW w:w="7210" w:type="dxa"/>
        <w:jc w:val="left"/>
        <w:tblInd w:w="0" w:type="dxa"/>
        <w:tblLayout w:type="fixed"/>
        <w:tblCellMar>
          <w:top w:w="0" w:type="dxa"/>
          <w:left w:w="0" w:type="dxa"/>
          <w:bottom w:w="0" w:type="dxa"/>
          <w:right w:w="0" w:type="dxa"/>
        </w:tblCellMar>
      </w:tblPr>
      <w:tblGrid>
        <w:gridCol w:w="140"/>
        <w:gridCol w:w="7070"/>
      </w:tblGrid>
      <w:tr>
        <w:trPr/>
        <w:tc>
          <w:tcPr>
            <w:tcW w:w="140" w:type="dxa"/>
            <w:tcBorders/>
            <w:vAlign w:val="center"/>
          </w:tcPr>
          <w:p>
            <w:pPr>
              <w:pStyle w:val="TableContents"/>
              <w:bidi w:val="0"/>
              <w:spacing w:before="0" w:after="0"/>
              <w:jc w:val="left"/>
              <w:rPr>
                <w:color w:val="4C4C4C"/>
              </w:rPr>
            </w:pPr>
            <w:r>
              <w:rPr>
                <w:color w:val="4C4C4C"/>
              </w:rPr>
              <w:t>•</w:t>
            </w:r>
          </w:p>
        </w:tc>
        <w:tc>
          <w:tcPr>
            <w:tcW w:w="7070"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independent compensation consultant engaged by the compensation committee;</w:t>
            </w:r>
          </w:p>
        </w:tc>
      </w:tr>
    </w:tbl>
    <w:tbl>
      <w:tblPr>
        <w:tblW w:w="5950" w:type="dxa"/>
        <w:jc w:val="left"/>
        <w:tblInd w:w="0" w:type="dxa"/>
        <w:tblLayout w:type="fixed"/>
        <w:tblCellMar>
          <w:top w:w="0" w:type="dxa"/>
          <w:left w:w="0" w:type="dxa"/>
          <w:bottom w:w="0" w:type="dxa"/>
          <w:right w:w="0" w:type="dxa"/>
        </w:tblCellMar>
      </w:tblPr>
      <w:tblGrid>
        <w:gridCol w:w="140"/>
        <w:gridCol w:w="5810"/>
      </w:tblGrid>
      <w:tr>
        <w:trPr/>
        <w:tc>
          <w:tcPr>
            <w:tcW w:w="140" w:type="dxa"/>
            <w:tcBorders/>
            <w:vAlign w:val="center"/>
          </w:tcPr>
          <w:p>
            <w:pPr>
              <w:pStyle w:val="TableContents"/>
              <w:bidi w:val="0"/>
              <w:spacing w:before="0" w:after="0"/>
              <w:jc w:val="left"/>
              <w:rPr>
                <w:color w:val="4C4C4C"/>
              </w:rPr>
            </w:pPr>
            <w:r>
              <w:rPr>
                <w:color w:val="4C4C4C"/>
              </w:rPr>
              <w:t>•</w:t>
            </w:r>
          </w:p>
        </w:tc>
        <w:tc>
          <w:tcPr>
            <w:tcW w:w="5810"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all directors on the compensation committee are independent; and</w:t>
            </w:r>
          </w:p>
        </w:tc>
      </w:tr>
    </w:tbl>
    <w:tbl>
      <w:tblPr>
        <w:tblW w:w="7405" w:type="dxa"/>
        <w:jc w:val="left"/>
        <w:tblInd w:w="0" w:type="dxa"/>
        <w:tblLayout w:type="fixed"/>
        <w:tblCellMar>
          <w:top w:w="0" w:type="dxa"/>
          <w:left w:w="0" w:type="dxa"/>
          <w:bottom w:w="0" w:type="dxa"/>
          <w:right w:w="0" w:type="dxa"/>
        </w:tblCellMar>
      </w:tblPr>
      <w:tblGrid>
        <w:gridCol w:w="140"/>
        <w:gridCol w:w="7265"/>
      </w:tblGrid>
      <w:tr>
        <w:trPr/>
        <w:tc>
          <w:tcPr>
            <w:tcW w:w="140" w:type="dxa"/>
            <w:tcBorders/>
            <w:vAlign w:val="center"/>
          </w:tcPr>
          <w:p>
            <w:pPr>
              <w:pStyle w:val="TableContents"/>
              <w:bidi w:val="0"/>
              <w:spacing w:before="0" w:after="0"/>
              <w:jc w:val="left"/>
              <w:rPr>
                <w:color w:val="4C4C4C"/>
              </w:rPr>
            </w:pPr>
            <w:r>
              <w:rPr>
                <w:color w:val="4C4C4C"/>
              </w:rPr>
              <w:t>•</w:t>
            </w:r>
          </w:p>
        </w:tc>
        <w:tc>
          <w:tcPr>
            <w:tcW w:w="7265"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hedging, pledging, and short sale transactions related to ACM stock are prohibited.</w:t>
            </w:r>
          </w:p>
        </w:tc>
      </w:tr>
    </w:tbl>
    <w:p>
      <w:pPr>
        <w:pStyle w:val="TextBody"/>
        <w:bidi w:val="0"/>
        <w:spacing w:before="240" w:after="283"/>
        <w:ind w:left="0" w:right="0" w:hanging="0"/>
        <w:jc w:val="left"/>
        <w:rPr>
          <w:rFonts w:ascii="Arial;Helvetica;sans-serif" w:hAnsi="Arial;Helvetica;sans-serif"/>
          <w:b/>
          <w:i/>
          <w:color w:val="0079C1"/>
          <w:sz w:val="20"/>
        </w:rPr>
      </w:pPr>
      <w:r>
        <w:rPr>
          <w:rFonts w:ascii="Arial;Helvetica;sans-serif" w:hAnsi="Arial;Helvetica;sans-serif"/>
          <w:b/>
          <w:i/>
          <w:color w:val="0079C1"/>
          <w:sz w:val="20"/>
        </w:rPr>
        <w:t>What We Don’t Do</w:t>
      </w:r>
    </w:p>
    <w:tbl>
      <w:tblPr>
        <w:tblW w:w="6265" w:type="dxa"/>
        <w:jc w:val="left"/>
        <w:tblInd w:w="0" w:type="dxa"/>
        <w:tblLayout w:type="fixed"/>
        <w:tblCellMar>
          <w:top w:w="0" w:type="dxa"/>
          <w:left w:w="0" w:type="dxa"/>
          <w:bottom w:w="0" w:type="dxa"/>
          <w:right w:w="0" w:type="dxa"/>
        </w:tblCellMar>
      </w:tblPr>
      <w:tblGrid>
        <w:gridCol w:w="140"/>
        <w:gridCol w:w="6125"/>
      </w:tblGrid>
      <w:tr>
        <w:trPr/>
        <w:tc>
          <w:tcPr>
            <w:tcW w:w="140" w:type="dxa"/>
            <w:tcBorders/>
            <w:vAlign w:val="center"/>
          </w:tcPr>
          <w:p>
            <w:pPr>
              <w:pStyle w:val="TableContents"/>
              <w:bidi w:val="0"/>
              <w:spacing w:before="0" w:after="0"/>
              <w:jc w:val="left"/>
              <w:rPr>
                <w:color w:val="4C4C4C"/>
              </w:rPr>
            </w:pPr>
            <w:r>
              <w:rPr>
                <w:color w:val="4C4C4C"/>
              </w:rPr>
              <w:t>•</w:t>
            </w:r>
          </w:p>
        </w:tc>
        <w:tc>
          <w:tcPr>
            <w:tcW w:w="6125"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no accelerated or continued vesting of equity awards upon retirement;</w:t>
            </w:r>
          </w:p>
        </w:tc>
      </w:tr>
    </w:tbl>
    <w:tbl>
      <w:tblPr>
        <w:tblW w:w="6505" w:type="dxa"/>
        <w:jc w:val="left"/>
        <w:tblInd w:w="0" w:type="dxa"/>
        <w:tblLayout w:type="fixed"/>
        <w:tblCellMar>
          <w:top w:w="0" w:type="dxa"/>
          <w:left w:w="0" w:type="dxa"/>
          <w:bottom w:w="0" w:type="dxa"/>
          <w:right w:w="0" w:type="dxa"/>
        </w:tblCellMar>
      </w:tblPr>
      <w:tblGrid>
        <w:gridCol w:w="140"/>
        <w:gridCol w:w="6365"/>
      </w:tblGrid>
      <w:tr>
        <w:trPr/>
        <w:tc>
          <w:tcPr>
            <w:tcW w:w="140" w:type="dxa"/>
            <w:tcBorders/>
            <w:vAlign w:val="center"/>
          </w:tcPr>
          <w:p>
            <w:pPr>
              <w:pStyle w:val="TableContents"/>
              <w:bidi w:val="0"/>
              <w:spacing w:before="0" w:after="0"/>
              <w:jc w:val="left"/>
              <w:rPr>
                <w:color w:val="4C4C4C"/>
              </w:rPr>
            </w:pPr>
            <w:r>
              <w:rPr>
                <w:color w:val="4C4C4C"/>
              </w:rPr>
              <w:t>•</w:t>
            </w:r>
          </w:p>
        </w:tc>
        <w:tc>
          <w:tcPr>
            <w:tcW w:w="6365"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no agreements stipulating or guaranteeing bonuses for any of our NEOs;</w:t>
            </w:r>
          </w:p>
        </w:tc>
      </w:tr>
    </w:tbl>
    <w:tbl>
      <w:tblPr>
        <w:tblW w:w="8980" w:type="dxa"/>
        <w:jc w:val="left"/>
        <w:tblInd w:w="0" w:type="dxa"/>
        <w:tblLayout w:type="fixed"/>
        <w:tblCellMar>
          <w:top w:w="0" w:type="dxa"/>
          <w:left w:w="0" w:type="dxa"/>
          <w:bottom w:w="0" w:type="dxa"/>
          <w:right w:w="0" w:type="dxa"/>
        </w:tblCellMar>
      </w:tblPr>
      <w:tblGrid>
        <w:gridCol w:w="140"/>
        <w:gridCol w:w="8840"/>
      </w:tblGrid>
      <w:tr>
        <w:trPr/>
        <w:tc>
          <w:tcPr>
            <w:tcW w:w="140" w:type="dxa"/>
            <w:tcBorders/>
            <w:vAlign w:val="center"/>
          </w:tcPr>
          <w:p>
            <w:pPr>
              <w:pStyle w:val="TableContents"/>
              <w:bidi w:val="0"/>
              <w:spacing w:before="0" w:after="0"/>
              <w:jc w:val="left"/>
              <w:rPr>
                <w:color w:val="4C4C4C"/>
              </w:rPr>
            </w:pPr>
            <w:r>
              <w:rPr>
                <w:color w:val="4C4C4C"/>
              </w:rPr>
              <w:t>•</w:t>
            </w:r>
          </w:p>
        </w:tc>
        <w:tc>
          <w:tcPr>
            <w:tcW w:w="8840"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no pension or related benefits, except as required by law in jurisdictions outside of the United States;</w:t>
            </w:r>
          </w:p>
        </w:tc>
      </w:tr>
    </w:tbl>
    <w:tbl>
      <w:tblPr>
        <w:tblW w:w="5425" w:type="dxa"/>
        <w:jc w:val="left"/>
        <w:tblInd w:w="0" w:type="dxa"/>
        <w:tblLayout w:type="fixed"/>
        <w:tblCellMar>
          <w:top w:w="0" w:type="dxa"/>
          <w:left w:w="0" w:type="dxa"/>
          <w:bottom w:w="0" w:type="dxa"/>
          <w:right w:w="0" w:type="dxa"/>
        </w:tblCellMar>
      </w:tblPr>
      <w:tblGrid>
        <w:gridCol w:w="140"/>
        <w:gridCol w:w="5285"/>
      </w:tblGrid>
      <w:tr>
        <w:trPr/>
        <w:tc>
          <w:tcPr>
            <w:tcW w:w="140" w:type="dxa"/>
            <w:tcBorders/>
            <w:vAlign w:val="center"/>
          </w:tcPr>
          <w:p>
            <w:pPr>
              <w:pStyle w:val="TableContents"/>
              <w:bidi w:val="0"/>
              <w:spacing w:before="0" w:after="0"/>
              <w:jc w:val="left"/>
              <w:rPr>
                <w:color w:val="4C4C4C"/>
              </w:rPr>
            </w:pPr>
            <w:r>
              <w:rPr>
                <w:color w:val="4C4C4C"/>
              </w:rPr>
              <w:t>•</w:t>
            </w:r>
          </w:p>
        </w:tc>
        <w:tc>
          <w:tcPr>
            <w:tcW w:w="5285"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no significant perquisites to NEOs relative to all employees;</w:t>
            </w:r>
          </w:p>
        </w:tc>
      </w:tr>
    </w:tbl>
    <w:tbl>
      <w:tblPr>
        <w:tblW w:w="1795" w:type="dxa"/>
        <w:jc w:val="left"/>
        <w:tblInd w:w="0" w:type="dxa"/>
        <w:tblLayout w:type="fixed"/>
        <w:tblCellMar>
          <w:top w:w="0" w:type="dxa"/>
          <w:left w:w="0" w:type="dxa"/>
          <w:bottom w:w="0" w:type="dxa"/>
          <w:right w:w="0" w:type="dxa"/>
        </w:tblCellMar>
      </w:tblPr>
      <w:tblGrid>
        <w:gridCol w:w="140"/>
        <w:gridCol w:w="1655"/>
      </w:tblGrid>
      <w:tr>
        <w:trPr/>
        <w:tc>
          <w:tcPr>
            <w:tcW w:w="140" w:type="dxa"/>
            <w:tcBorders/>
            <w:vAlign w:val="center"/>
          </w:tcPr>
          <w:p>
            <w:pPr>
              <w:pStyle w:val="TableContents"/>
              <w:bidi w:val="0"/>
              <w:spacing w:before="0" w:after="0"/>
              <w:jc w:val="left"/>
              <w:rPr>
                <w:color w:val="4C4C4C"/>
              </w:rPr>
            </w:pPr>
            <w:r>
              <w:rPr>
                <w:color w:val="4C4C4C"/>
              </w:rPr>
              <w:t>•</w:t>
            </w:r>
          </w:p>
        </w:tc>
        <w:tc>
          <w:tcPr>
            <w:tcW w:w="1655"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 xml:space="preserve">no tax gross ups; </w:t>
            </w:r>
          </w:p>
        </w:tc>
      </w:tr>
    </w:tbl>
    <w:tbl>
      <w:tblPr>
        <w:tblW w:w="8590" w:type="dxa"/>
        <w:jc w:val="left"/>
        <w:tblInd w:w="0" w:type="dxa"/>
        <w:tblLayout w:type="fixed"/>
        <w:tblCellMar>
          <w:top w:w="0" w:type="dxa"/>
          <w:left w:w="0" w:type="dxa"/>
          <w:bottom w:w="0" w:type="dxa"/>
          <w:right w:w="0" w:type="dxa"/>
        </w:tblCellMar>
      </w:tblPr>
      <w:tblGrid>
        <w:gridCol w:w="140"/>
        <w:gridCol w:w="8450"/>
      </w:tblGrid>
      <w:tr>
        <w:trPr/>
        <w:tc>
          <w:tcPr>
            <w:tcW w:w="140" w:type="dxa"/>
            <w:tcBorders/>
            <w:vAlign w:val="center"/>
          </w:tcPr>
          <w:p>
            <w:pPr>
              <w:pStyle w:val="TableContents"/>
              <w:bidi w:val="0"/>
              <w:spacing w:before="0" w:after="0"/>
              <w:jc w:val="left"/>
              <w:rPr>
                <w:color w:val="4C4C4C"/>
              </w:rPr>
            </w:pPr>
            <w:r>
              <w:rPr>
                <w:color w:val="4C4C4C"/>
              </w:rPr>
              <w:t>•</w:t>
            </w:r>
          </w:p>
        </w:tc>
        <w:tc>
          <w:tcPr>
            <w:tcW w:w="8450"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no strict benchmarking of compensation to a specific percentile of our compensation peer group;</w:t>
            </w:r>
          </w:p>
        </w:tc>
      </w:tr>
    </w:tbl>
    <w:tbl>
      <w:tblPr>
        <w:tblW w:w="5305" w:type="dxa"/>
        <w:jc w:val="left"/>
        <w:tblInd w:w="0" w:type="dxa"/>
        <w:tblLayout w:type="fixed"/>
        <w:tblCellMar>
          <w:top w:w="0" w:type="dxa"/>
          <w:left w:w="0" w:type="dxa"/>
          <w:bottom w:w="0" w:type="dxa"/>
          <w:right w:w="0" w:type="dxa"/>
        </w:tblCellMar>
      </w:tblPr>
      <w:tblGrid>
        <w:gridCol w:w="140"/>
        <w:gridCol w:w="5165"/>
      </w:tblGrid>
      <w:tr>
        <w:trPr/>
        <w:tc>
          <w:tcPr>
            <w:tcW w:w="140" w:type="dxa"/>
            <w:tcBorders/>
            <w:vAlign w:val="center"/>
          </w:tcPr>
          <w:p>
            <w:pPr>
              <w:pStyle w:val="TableContents"/>
              <w:bidi w:val="0"/>
              <w:spacing w:before="0" w:after="0"/>
              <w:jc w:val="left"/>
              <w:rPr>
                <w:color w:val="4C4C4C"/>
              </w:rPr>
            </w:pPr>
            <w:r>
              <w:rPr>
                <w:color w:val="4C4C4C"/>
              </w:rPr>
              <w:t>•</w:t>
            </w:r>
          </w:p>
        </w:tc>
        <w:tc>
          <w:tcPr>
            <w:tcW w:w="5165"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no incentivizing unnecessary or excessive risk taking; and</w:t>
            </w:r>
          </w:p>
        </w:tc>
      </w:tr>
    </w:tbl>
    <w:tbl>
      <w:tblPr>
        <w:tblW w:w="3985" w:type="dxa"/>
        <w:jc w:val="left"/>
        <w:tblInd w:w="0" w:type="dxa"/>
        <w:tblLayout w:type="fixed"/>
        <w:tblCellMar>
          <w:top w:w="0" w:type="dxa"/>
          <w:left w:w="0" w:type="dxa"/>
          <w:bottom w:w="0" w:type="dxa"/>
          <w:right w:w="0" w:type="dxa"/>
        </w:tblCellMar>
      </w:tblPr>
      <w:tblGrid>
        <w:gridCol w:w="140"/>
        <w:gridCol w:w="3845"/>
      </w:tblGrid>
      <w:tr>
        <w:trPr/>
        <w:tc>
          <w:tcPr>
            <w:tcW w:w="140" w:type="dxa"/>
            <w:tcBorders/>
            <w:vAlign w:val="center"/>
          </w:tcPr>
          <w:p>
            <w:pPr>
              <w:pStyle w:val="TableContents"/>
              <w:bidi w:val="0"/>
              <w:spacing w:before="0" w:after="0"/>
              <w:jc w:val="left"/>
              <w:rPr>
                <w:color w:val="4C4C4C"/>
              </w:rPr>
            </w:pPr>
            <w:r>
              <w:rPr>
                <w:color w:val="4C4C4C"/>
              </w:rPr>
              <w:t>•</w:t>
            </w:r>
          </w:p>
        </w:tc>
        <w:tc>
          <w:tcPr>
            <w:tcW w:w="3845"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no dividend payments on unvested awards.</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26</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0" w:name="ny20042784x1_def14a_113-executive_pg3"/>
        <w:bookmarkEnd w:id="60"/>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079C1"/>
          <w:sz w:val="24"/>
        </w:rPr>
      </w:pPr>
      <w:r>
        <w:rPr>
          <w:rFonts w:ascii="Arial;Helvetica;sans-serif" w:hAnsi="Arial;Helvetica;sans-serif"/>
          <w:b/>
          <w:color w:val="0079C1"/>
          <w:sz w:val="24"/>
        </w:rPr>
        <w:t>Executive Summary</w:t>
      </w:r>
    </w:p>
    <w:p>
      <w:pPr>
        <w:pStyle w:val="TextBody"/>
        <w:bidi w:val="0"/>
        <w:spacing w:before="140" w:after="283"/>
        <w:ind w:left="0" w:right="0" w:hanging="0"/>
        <w:jc w:val="left"/>
        <w:rPr>
          <w:rFonts w:ascii="Arial;Helvetica;sans-serif" w:hAnsi="Arial;Helvetica;sans-serif"/>
          <w:b/>
          <w:i/>
          <w:color w:val="0079C1"/>
          <w:sz w:val="20"/>
        </w:rPr>
      </w:pPr>
      <w:r>
        <w:rPr>
          <w:rFonts w:ascii="Arial;Helvetica;sans-serif" w:hAnsi="Arial;Helvetica;sans-serif"/>
          <w:b/>
          <w:i/>
          <w:color w:val="0079C1"/>
          <w:sz w:val="20"/>
        </w:rPr>
        <w:t>Company Description</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We supply advanced, innovative capital equipment developed for the global semiconductor industry. Our corporate office is located in Fremont, California, and we conduct our business operations principally through our subsidiary ACM Research (Shanghai), Inc., or ACM Shanghai. As of December 31, 2024, we had 2,023 full-time equivalent employees globally, most of whom — including most of our NEOs — were based in the PRC. As a result of our significant PRC operations, many of our compensation practices reflect market practices in the PRC, although we expect those practices to evolve as we continue to broaden our operations into additional countries.</w:t>
      </w:r>
    </w:p>
    <w:p>
      <w:pPr>
        <w:pStyle w:val="TextBody"/>
        <w:bidi w:val="0"/>
        <w:spacing w:before="280" w:after="283"/>
        <w:ind w:left="0" w:right="0" w:hanging="0"/>
        <w:jc w:val="left"/>
        <w:rPr>
          <w:rFonts w:ascii="Arial;Helvetica;sans-serif" w:hAnsi="Arial;Helvetica;sans-serif"/>
          <w:b/>
          <w:color w:val="0079C1"/>
          <w:sz w:val="24"/>
        </w:rPr>
      </w:pPr>
      <w:r>
        <w:rPr>
          <w:rFonts w:ascii="Arial;Helvetica;sans-serif" w:hAnsi="Arial;Helvetica;sans-serif"/>
          <w:b/>
          <w:color w:val="0079C1"/>
          <w:sz w:val="24"/>
        </w:rPr>
        <w:t>Executive Compensation Philosophy and Design</w:t>
      </w:r>
    </w:p>
    <w:p>
      <w:pPr>
        <w:pStyle w:val="TextBody"/>
        <w:bidi w:val="0"/>
        <w:spacing w:before="140" w:after="283"/>
        <w:ind w:left="0" w:right="0" w:hanging="0"/>
        <w:jc w:val="left"/>
        <w:rPr>
          <w:rFonts w:ascii="Arial;Helvetica;sans-serif" w:hAnsi="Arial;Helvetica;sans-serif"/>
          <w:b/>
          <w:i/>
          <w:color w:val="0079C1"/>
          <w:sz w:val="20"/>
        </w:rPr>
      </w:pPr>
      <w:r>
        <w:rPr>
          <w:rFonts w:ascii="Arial;Helvetica;sans-serif" w:hAnsi="Arial;Helvetica;sans-serif"/>
          <w:b/>
          <w:i/>
          <w:color w:val="0079C1"/>
          <w:sz w:val="20"/>
        </w:rPr>
        <w:t>Compensation Philosophy</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We operate in a highly competitive business environment within a rapidly evolving and extremely competitive talent market. To successfully compete and grow our business in this dynamic environment, we need to recruit, incentivize and retain talented and seasoned technology leaders. Our success is critically dependent on the skills, acumen and motivation of our executives and employees to rapidly execute at the highest level. </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We have designed, and intend to modify as necessary, our NEO compensation program and philosophy to attract, incentivize and retain talented, qualified and committed NEOs by offering compensation, as described below, that reflects competitive market practices in the jurisdictions in which we operate and as adjusted for individual NEO factors and circumstances. As our needs evolve and as we continue to broaden our operations outside the PRC, we will continue to evaluate our NEO compensation program and philosophy, as appropriate.</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Except as specifically described herein, the compensation committee does not affirmatively set out in any given year, or with respect to any given NEO, to apportion cash and equity compensation in any specific ratio among the various categories of compensation (that is, between short- and long-term compensation or between non-performance-based and performance-based compensation). Rather, the compensation committee uses the philosophy described above, and the factors described for each category in the discussion that follows, as a guide in assessing the proper allocation among those categories. To further align the interests of our executives more closely with those our stockholders, our NEO compensation program has historically emphasized equity, generally granted in the form of stock options, over cash compensation paid in the form of base salary and target bonus.</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compensation committee does not strictly benchmark compensation to a specific level or percentile within a peer group. Rather, the compensation committee makes adjustments based on the philosophy described above and considers competitive market practices in the jurisdictions in which we operate as one factor in its deliberations. The compensation committee believes that retaining discretion to assess the overall performance of NEOs gives the compensation committee the ability to more accurately reflect individual contributions that cannot be absolutely quantified. The compensation committee believes that over-reliance on benchmarking can result in compensation that is unrelated to the value delivered by our executive officers because compensation benchmarking does not take into account the specific performance of the executive officers, the relative opportunity, growth and performance of the Company, or any unique circumstances or strategic considerations of the Company. As noted above, as our needs evolve and as we continue to broaden our operations outside the PRC, we will continue to evaluate our NEO compensation program and philosophy as appropriate.</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27</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1" w:name="ny20042784x1_def14a_113-executive_pg4"/>
        <w:bookmarkEnd w:id="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b/>
          <w:i/>
          <w:color w:val="0079C1"/>
          <w:sz w:val="20"/>
        </w:rPr>
      </w:pPr>
      <w:r>
        <w:rPr>
          <w:rFonts w:ascii="Arial;Helvetica;sans-serif" w:hAnsi="Arial;Helvetica;sans-serif"/>
          <w:b/>
          <w:i/>
          <w:color w:val="0079C1"/>
          <w:sz w:val="20"/>
        </w:rPr>
        <w:t>Role of Compensation Committee</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compensation committee periodically reviews, reassesses, and if the compensation committee deems necessary, updates our compensation philosophy and NEO compensation. The compensation committee’s responsibilities include:</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C4C4C"/>
              </w:rPr>
            </w:pPr>
            <w:r>
              <w:rPr>
                <w:color w:val="4C4C4C"/>
              </w:rPr>
              <w:t>•</w:t>
            </w:r>
          </w:p>
        </w:tc>
        <w:tc>
          <w:tcPr>
            <w:tcW w:w="10065" w:type="dxa"/>
            <w:tcBorders/>
            <w:vAlign w:val="center"/>
          </w:tcPr>
          <w:p>
            <w:pPr>
              <w:pStyle w:val="TableContents"/>
              <w:bidi w:val="0"/>
              <w:spacing w:before="0" w:after="0"/>
              <w:jc w:val="both"/>
              <w:rPr>
                <w:rFonts w:ascii="Arial;Helvetica;sans-serif" w:hAnsi="Arial;Helvetica;sans-serif"/>
                <w:color w:val="4C4C4C"/>
                <w:sz w:val="20"/>
              </w:rPr>
            </w:pPr>
            <w:r>
              <w:rPr>
                <w:rFonts w:ascii="Arial;Helvetica;sans-serif" w:hAnsi="Arial;Helvetica;sans-serif"/>
                <w:color w:val="4C4C4C"/>
                <w:sz w:val="20"/>
              </w:rPr>
              <w:t>periodically reviewing NEO compensation to assess its efficacy and to determine whether the value and terms of such compensation supports the achievement of ACM’s strategic plans and objectives;</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C4C4C"/>
              </w:rPr>
            </w:pPr>
            <w:r>
              <w:rPr>
                <w:color w:val="4C4C4C"/>
              </w:rPr>
              <w:t>•</w:t>
            </w:r>
          </w:p>
        </w:tc>
        <w:tc>
          <w:tcPr>
            <w:tcW w:w="10065" w:type="dxa"/>
            <w:tcBorders/>
            <w:vAlign w:val="center"/>
          </w:tcPr>
          <w:p>
            <w:pPr>
              <w:pStyle w:val="TableContents"/>
              <w:bidi w:val="0"/>
              <w:spacing w:before="0" w:after="0"/>
              <w:jc w:val="both"/>
              <w:rPr>
                <w:rFonts w:ascii="Arial;Helvetica;sans-serif" w:hAnsi="Arial;Helvetica;sans-serif"/>
                <w:color w:val="4C4C4C"/>
                <w:sz w:val="20"/>
              </w:rPr>
            </w:pPr>
            <w:r>
              <w:rPr>
                <w:rFonts w:ascii="Arial;Helvetica;sans-serif" w:hAnsi="Arial;Helvetica;sans-serif"/>
                <w:color w:val="4C4C4C"/>
                <w:sz w:val="20"/>
              </w:rPr>
              <w:t>administering our NEO cash incentive compensation plans and equity-based plans, including the designation of NEOs to whom awards are to be granted, the type and amount of award to be granted, and the terms and conditions applicable to each award;</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C4C4C"/>
              </w:rPr>
            </w:pPr>
            <w:r>
              <w:rPr>
                <w:color w:val="4C4C4C"/>
              </w:rPr>
              <w:t>•</w:t>
            </w:r>
          </w:p>
        </w:tc>
        <w:tc>
          <w:tcPr>
            <w:tcW w:w="10065" w:type="dxa"/>
            <w:tcBorders/>
            <w:vAlign w:val="center"/>
          </w:tcPr>
          <w:p>
            <w:pPr>
              <w:pStyle w:val="TableContents"/>
              <w:bidi w:val="0"/>
              <w:spacing w:before="0" w:after="0"/>
              <w:jc w:val="both"/>
              <w:rPr>
                <w:rFonts w:ascii="Arial;Helvetica;sans-serif" w:hAnsi="Arial;Helvetica;sans-serif"/>
                <w:color w:val="4C4C4C"/>
                <w:sz w:val="20"/>
              </w:rPr>
            </w:pPr>
            <w:r>
              <w:rPr>
                <w:rFonts w:ascii="Arial;Helvetica;sans-serif" w:hAnsi="Arial;Helvetica;sans-serif"/>
                <w:color w:val="4C4C4C"/>
                <w:sz w:val="20"/>
              </w:rPr>
              <w:t>reviewing and approving the policies and procedures for the grant of NEO equity-based awards by our company and ACM Shanghai, including grant-timing practices;</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C4C4C"/>
              </w:rPr>
            </w:pPr>
            <w:r>
              <w:rPr>
                <w:color w:val="4C4C4C"/>
              </w:rPr>
              <w:t>•</w:t>
            </w:r>
          </w:p>
        </w:tc>
        <w:tc>
          <w:tcPr>
            <w:tcW w:w="10065" w:type="dxa"/>
            <w:tcBorders/>
            <w:vAlign w:val="center"/>
          </w:tcPr>
          <w:p>
            <w:pPr>
              <w:pStyle w:val="TableContents"/>
              <w:bidi w:val="0"/>
              <w:spacing w:before="0" w:after="0"/>
              <w:jc w:val="both"/>
              <w:rPr>
                <w:rFonts w:ascii="Arial;Helvetica;sans-serif" w:hAnsi="Arial;Helvetica;sans-serif"/>
                <w:color w:val="4C4C4C"/>
                <w:sz w:val="20"/>
              </w:rPr>
            </w:pPr>
            <w:r>
              <w:rPr>
                <w:rFonts w:ascii="Arial;Helvetica;sans-serif" w:hAnsi="Arial;Helvetica;sans-serif"/>
                <w:color w:val="4C4C4C"/>
                <w:sz w:val="20"/>
              </w:rPr>
              <w:t>with the Lead Director, annually reviewing the corporate and individual goals relevant to the chief executive officer’s performance, the performance of the chief executive officer for the prior year, and approving the chief executive officer’s compensation based on the results of the evaluation performed by the compensation committee;</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C4C4C"/>
              </w:rPr>
            </w:pPr>
            <w:r>
              <w:rPr>
                <w:color w:val="4C4C4C"/>
              </w:rPr>
              <w:t>•</w:t>
            </w:r>
          </w:p>
        </w:tc>
        <w:tc>
          <w:tcPr>
            <w:tcW w:w="10065" w:type="dxa"/>
            <w:tcBorders/>
            <w:vAlign w:val="center"/>
          </w:tcPr>
          <w:p>
            <w:pPr>
              <w:pStyle w:val="TableContents"/>
              <w:bidi w:val="0"/>
              <w:spacing w:before="0" w:after="0"/>
              <w:jc w:val="both"/>
              <w:rPr>
                <w:rFonts w:ascii="Arial;Helvetica;sans-serif" w:hAnsi="Arial;Helvetica;sans-serif"/>
                <w:color w:val="4C4C4C"/>
                <w:sz w:val="20"/>
              </w:rPr>
            </w:pPr>
            <w:r>
              <w:rPr>
                <w:rFonts w:ascii="Arial;Helvetica;sans-serif" w:hAnsi="Arial;Helvetica;sans-serif"/>
                <w:color w:val="4C4C4C"/>
                <w:sz w:val="20"/>
              </w:rPr>
              <w:t>with the Lead Director, annually reviewing the performance of our other NEOs in light of our NEO compensation goals and objectives, and approving the compensation packages and compensation payouts for such individuals considering the recommendations of our chief executive officer; and</w:t>
            </w:r>
          </w:p>
        </w:tc>
      </w:tr>
    </w:tbl>
    <w:tbl>
      <w:tblPr>
        <w:tblW w:w="5800" w:type="dxa"/>
        <w:jc w:val="left"/>
        <w:tblInd w:w="0" w:type="dxa"/>
        <w:tblLayout w:type="fixed"/>
        <w:tblCellMar>
          <w:top w:w="0" w:type="dxa"/>
          <w:left w:w="0" w:type="dxa"/>
          <w:bottom w:w="0" w:type="dxa"/>
          <w:right w:w="0" w:type="dxa"/>
        </w:tblCellMar>
      </w:tblPr>
      <w:tblGrid>
        <w:gridCol w:w="140"/>
        <w:gridCol w:w="5660"/>
      </w:tblGrid>
      <w:tr>
        <w:trPr/>
        <w:tc>
          <w:tcPr>
            <w:tcW w:w="140" w:type="dxa"/>
            <w:tcBorders/>
            <w:vAlign w:val="center"/>
          </w:tcPr>
          <w:p>
            <w:pPr>
              <w:pStyle w:val="TableContents"/>
              <w:bidi w:val="0"/>
              <w:spacing w:before="0" w:after="0"/>
              <w:jc w:val="left"/>
              <w:rPr>
                <w:color w:val="4C4C4C"/>
              </w:rPr>
            </w:pPr>
            <w:r>
              <w:rPr>
                <w:color w:val="4C4C4C"/>
              </w:rPr>
              <w:t>•</w:t>
            </w:r>
          </w:p>
        </w:tc>
        <w:tc>
          <w:tcPr>
            <w:tcW w:w="5660"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assisting in the risk assessment of our compensation programs.</w:t>
            </w:r>
          </w:p>
        </w:tc>
      </w:tr>
    </w:tbl>
    <w:p>
      <w:pPr>
        <w:pStyle w:val="TextBody"/>
        <w:bidi w:val="0"/>
        <w:spacing w:before="250" w:after="283"/>
        <w:ind w:left="0" w:right="0" w:hanging="0"/>
        <w:jc w:val="left"/>
        <w:rPr>
          <w:rFonts w:ascii="Arial;Helvetica;sans-serif" w:hAnsi="Arial;Helvetica;sans-serif"/>
          <w:color w:val="4C4C4C"/>
          <w:sz w:val="20"/>
        </w:rPr>
      </w:pPr>
      <w:r>
        <w:rPr>
          <w:rFonts w:ascii="Arial;Helvetica;sans-serif" w:hAnsi="Arial;Helvetica;sans-serif"/>
          <w:color w:val="4C4C4C"/>
          <w:sz w:val="20"/>
        </w:rPr>
        <w:t>The compensation committee makes compensation decisions after consideration of several factors, including:</w:t>
      </w:r>
    </w:p>
    <w:tbl>
      <w:tblPr>
        <w:tblW w:w="3025" w:type="dxa"/>
        <w:jc w:val="left"/>
        <w:tblInd w:w="0" w:type="dxa"/>
        <w:tblLayout w:type="fixed"/>
        <w:tblCellMar>
          <w:top w:w="0" w:type="dxa"/>
          <w:left w:w="0" w:type="dxa"/>
          <w:bottom w:w="0" w:type="dxa"/>
          <w:right w:w="0" w:type="dxa"/>
        </w:tblCellMar>
      </w:tblPr>
      <w:tblGrid>
        <w:gridCol w:w="140"/>
        <w:gridCol w:w="2885"/>
      </w:tblGrid>
      <w:tr>
        <w:trPr/>
        <w:tc>
          <w:tcPr>
            <w:tcW w:w="140" w:type="dxa"/>
            <w:tcBorders/>
            <w:vAlign w:val="center"/>
          </w:tcPr>
          <w:p>
            <w:pPr>
              <w:pStyle w:val="TableContents"/>
              <w:bidi w:val="0"/>
              <w:spacing w:before="0" w:after="0"/>
              <w:jc w:val="left"/>
              <w:rPr>
                <w:color w:val="4C4C4C"/>
              </w:rPr>
            </w:pPr>
            <w:r>
              <w:rPr>
                <w:color w:val="4C4C4C"/>
              </w:rPr>
              <w:t>•</w:t>
            </w:r>
          </w:p>
        </w:tc>
        <w:tc>
          <w:tcPr>
            <w:tcW w:w="2885"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feedback from our stockholders;</w:t>
            </w:r>
          </w:p>
        </w:tc>
      </w:tr>
    </w:tbl>
    <w:tbl>
      <w:tblPr>
        <w:tblW w:w="5275" w:type="dxa"/>
        <w:jc w:val="left"/>
        <w:tblInd w:w="0" w:type="dxa"/>
        <w:tblLayout w:type="fixed"/>
        <w:tblCellMar>
          <w:top w:w="0" w:type="dxa"/>
          <w:left w:w="0" w:type="dxa"/>
          <w:bottom w:w="0" w:type="dxa"/>
          <w:right w:w="0" w:type="dxa"/>
        </w:tblCellMar>
      </w:tblPr>
      <w:tblGrid>
        <w:gridCol w:w="140"/>
        <w:gridCol w:w="5135"/>
      </w:tblGrid>
      <w:tr>
        <w:trPr/>
        <w:tc>
          <w:tcPr>
            <w:tcW w:w="140" w:type="dxa"/>
            <w:tcBorders/>
            <w:vAlign w:val="center"/>
          </w:tcPr>
          <w:p>
            <w:pPr>
              <w:pStyle w:val="TableContents"/>
              <w:bidi w:val="0"/>
              <w:spacing w:before="0" w:after="0"/>
              <w:jc w:val="left"/>
              <w:rPr>
                <w:color w:val="4C4C4C"/>
              </w:rPr>
            </w:pPr>
            <w:r>
              <w:rPr>
                <w:color w:val="4C4C4C"/>
              </w:rPr>
              <w:t>•</w:t>
            </w:r>
          </w:p>
        </w:tc>
        <w:tc>
          <w:tcPr>
            <w:tcW w:w="5135"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the performance and experience of each executive officer;</w:t>
            </w:r>
          </w:p>
        </w:tc>
      </w:tr>
    </w:tbl>
    <w:tbl>
      <w:tblPr>
        <w:tblW w:w="6520" w:type="dxa"/>
        <w:jc w:val="left"/>
        <w:tblInd w:w="0" w:type="dxa"/>
        <w:tblLayout w:type="fixed"/>
        <w:tblCellMar>
          <w:top w:w="0" w:type="dxa"/>
          <w:left w:w="0" w:type="dxa"/>
          <w:bottom w:w="0" w:type="dxa"/>
          <w:right w:w="0" w:type="dxa"/>
        </w:tblCellMar>
      </w:tblPr>
      <w:tblGrid>
        <w:gridCol w:w="140"/>
        <w:gridCol w:w="6380"/>
      </w:tblGrid>
      <w:tr>
        <w:trPr/>
        <w:tc>
          <w:tcPr>
            <w:tcW w:w="140" w:type="dxa"/>
            <w:tcBorders/>
            <w:vAlign w:val="center"/>
          </w:tcPr>
          <w:p>
            <w:pPr>
              <w:pStyle w:val="TableContents"/>
              <w:bidi w:val="0"/>
              <w:spacing w:before="0" w:after="0"/>
              <w:jc w:val="left"/>
              <w:rPr>
                <w:color w:val="4C4C4C"/>
              </w:rPr>
            </w:pPr>
            <w:r>
              <w:rPr>
                <w:color w:val="4C4C4C"/>
              </w:rPr>
              <w:t>•</w:t>
            </w:r>
          </w:p>
        </w:tc>
        <w:tc>
          <w:tcPr>
            <w:tcW w:w="6380"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the scope and strategic impact of the executive officer’s responsibilities;</w:t>
            </w:r>
          </w:p>
        </w:tc>
      </w:tr>
    </w:tbl>
    <w:tbl>
      <w:tblPr>
        <w:tblW w:w="5065" w:type="dxa"/>
        <w:jc w:val="left"/>
        <w:tblInd w:w="0" w:type="dxa"/>
        <w:tblLayout w:type="fixed"/>
        <w:tblCellMar>
          <w:top w:w="0" w:type="dxa"/>
          <w:left w:w="0" w:type="dxa"/>
          <w:bottom w:w="0" w:type="dxa"/>
          <w:right w:w="0" w:type="dxa"/>
        </w:tblCellMar>
      </w:tblPr>
      <w:tblGrid>
        <w:gridCol w:w="140"/>
        <w:gridCol w:w="4925"/>
      </w:tblGrid>
      <w:tr>
        <w:trPr/>
        <w:tc>
          <w:tcPr>
            <w:tcW w:w="140" w:type="dxa"/>
            <w:tcBorders/>
            <w:vAlign w:val="center"/>
          </w:tcPr>
          <w:p>
            <w:pPr>
              <w:pStyle w:val="TableContents"/>
              <w:bidi w:val="0"/>
              <w:spacing w:before="0" w:after="0"/>
              <w:jc w:val="left"/>
              <w:rPr>
                <w:color w:val="4C4C4C"/>
              </w:rPr>
            </w:pPr>
            <w:r>
              <w:rPr>
                <w:color w:val="4C4C4C"/>
              </w:rPr>
              <w:t>•</w:t>
            </w:r>
          </w:p>
        </w:tc>
        <w:tc>
          <w:tcPr>
            <w:tcW w:w="4925"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our past business performance and future expectations;</w:t>
            </w:r>
          </w:p>
        </w:tc>
      </w:tr>
    </w:tbl>
    <w:tbl>
      <w:tblPr>
        <w:tblW w:w="3235" w:type="dxa"/>
        <w:jc w:val="left"/>
        <w:tblInd w:w="0" w:type="dxa"/>
        <w:tblLayout w:type="fixed"/>
        <w:tblCellMar>
          <w:top w:w="0" w:type="dxa"/>
          <w:left w:w="0" w:type="dxa"/>
          <w:bottom w:w="0" w:type="dxa"/>
          <w:right w:w="0" w:type="dxa"/>
        </w:tblCellMar>
      </w:tblPr>
      <w:tblGrid>
        <w:gridCol w:w="140"/>
        <w:gridCol w:w="3095"/>
      </w:tblGrid>
      <w:tr>
        <w:trPr/>
        <w:tc>
          <w:tcPr>
            <w:tcW w:w="140" w:type="dxa"/>
            <w:tcBorders/>
            <w:vAlign w:val="center"/>
          </w:tcPr>
          <w:p>
            <w:pPr>
              <w:pStyle w:val="TableContents"/>
              <w:bidi w:val="0"/>
              <w:spacing w:before="0" w:after="0"/>
              <w:jc w:val="left"/>
              <w:rPr>
                <w:color w:val="4C4C4C"/>
              </w:rPr>
            </w:pPr>
            <w:r>
              <w:rPr>
                <w:color w:val="4C4C4C"/>
              </w:rPr>
              <w:t>•</w:t>
            </w:r>
          </w:p>
        </w:tc>
        <w:tc>
          <w:tcPr>
            <w:tcW w:w="3095"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our long-term goals and strategies;</w:t>
            </w:r>
          </w:p>
        </w:tc>
      </w:tr>
    </w:tbl>
    <w:tbl>
      <w:tblPr>
        <w:tblW w:w="4630" w:type="dxa"/>
        <w:jc w:val="left"/>
        <w:tblInd w:w="0" w:type="dxa"/>
        <w:tblLayout w:type="fixed"/>
        <w:tblCellMar>
          <w:top w:w="0" w:type="dxa"/>
          <w:left w:w="0" w:type="dxa"/>
          <w:bottom w:w="0" w:type="dxa"/>
          <w:right w:w="0" w:type="dxa"/>
        </w:tblCellMar>
      </w:tblPr>
      <w:tblGrid>
        <w:gridCol w:w="140"/>
        <w:gridCol w:w="4490"/>
      </w:tblGrid>
      <w:tr>
        <w:trPr/>
        <w:tc>
          <w:tcPr>
            <w:tcW w:w="140" w:type="dxa"/>
            <w:tcBorders/>
            <w:vAlign w:val="center"/>
          </w:tcPr>
          <w:p>
            <w:pPr>
              <w:pStyle w:val="TableContents"/>
              <w:bidi w:val="0"/>
              <w:spacing w:before="0" w:after="0"/>
              <w:jc w:val="left"/>
              <w:rPr>
                <w:color w:val="4C4C4C"/>
              </w:rPr>
            </w:pPr>
            <w:r>
              <w:rPr>
                <w:color w:val="4C4C4C"/>
              </w:rPr>
              <w:t>•</w:t>
            </w:r>
          </w:p>
        </w:tc>
        <w:tc>
          <w:tcPr>
            <w:tcW w:w="4490"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b/>
                <w:color w:val="4C4C4C"/>
                <w:sz w:val="20"/>
              </w:rPr>
              <w:t>t</w:t>
            </w:r>
            <w:r>
              <w:rPr>
                <w:rFonts w:ascii="Arial;Helvetica;sans-serif" w:hAnsi="Arial;Helvetica;sans-serif"/>
                <w:color w:val="4C4C4C"/>
                <w:sz w:val="20"/>
              </w:rPr>
              <w:t>he performance of our executive team as a whole;</w:t>
            </w:r>
          </w:p>
        </w:tc>
      </w:tr>
    </w:tbl>
    <w:tbl>
      <w:tblPr>
        <w:tblW w:w="7180" w:type="dxa"/>
        <w:jc w:val="left"/>
        <w:tblInd w:w="0" w:type="dxa"/>
        <w:tblLayout w:type="fixed"/>
        <w:tblCellMar>
          <w:top w:w="0" w:type="dxa"/>
          <w:left w:w="0" w:type="dxa"/>
          <w:bottom w:w="0" w:type="dxa"/>
          <w:right w:w="0" w:type="dxa"/>
        </w:tblCellMar>
      </w:tblPr>
      <w:tblGrid>
        <w:gridCol w:w="140"/>
        <w:gridCol w:w="7040"/>
      </w:tblGrid>
      <w:tr>
        <w:trPr/>
        <w:tc>
          <w:tcPr>
            <w:tcW w:w="140" w:type="dxa"/>
            <w:tcBorders/>
            <w:vAlign w:val="center"/>
          </w:tcPr>
          <w:p>
            <w:pPr>
              <w:pStyle w:val="TableContents"/>
              <w:bidi w:val="0"/>
              <w:spacing w:before="0" w:after="0"/>
              <w:jc w:val="left"/>
              <w:rPr>
                <w:color w:val="4C4C4C"/>
              </w:rPr>
            </w:pPr>
            <w:r>
              <w:rPr>
                <w:color w:val="4C4C4C"/>
              </w:rPr>
              <w:t>•</w:t>
            </w:r>
          </w:p>
        </w:tc>
        <w:tc>
          <w:tcPr>
            <w:tcW w:w="7040"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the difficulty and cost of replacing high-performing leaders with in-demand skills;</w:t>
            </w:r>
          </w:p>
        </w:tc>
      </w:tr>
    </w:tbl>
    <w:tbl>
      <w:tblPr>
        <w:tblW w:w="4405" w:type="dxa"/>
        <w:jc w:val="left"/>
        <w:tblInd w:w="0" w:type="dxa"/>
        <w:tblLayout w:type="fixed"/>
        <w:tblCellMar>
          <w:top w:w="0" w:type="dxa"/>
          <w:left w:w="0" w:type="dxa"/>
          <w:bottom w:w="0" w:type="dxa"/>
          <w:right w:w="0" w:type="dxa"/>
        </w:tblCellMar>
      </w:tblPr>
      <w:tblGrid>
        <w:gridCol w:w="140"/>
        <w:gridCol w:w="4265"/>
      </w:tblGrid>
      <w:tr>
        <w:trPr/>
        <w:tc>
          <w:tcPr>
            <w:tcW w:w="140" w:type="dxa"/>
            <w:tcBorders/>
            <w:vAlign w:val="center"/>
          </w:tcPr>
          <w:p>
            <w:pPr>
              <w:pStyle w:val="TableContents"/>
              <w:bidi w:val="0"/>
              <w:spacing w:before="0" w:after="0"/>
              <w:jc w:val="left"/>
              <w:rPr>
                <w:color w:val="4C4C4C"/>
              </w:rPr>
            </w:pPr>
            <w:r>
              <w:rPr>
                <w:color w:val="4C4C4C"/>
              </w:rPr>
              <w:t>•</w:t>
            </w:r>
          </w:p>
        </w:tc>
        <w:tc>
          <w:tcPr>
            <w:tcW w:w="4265"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the past compensation levels of each individual;</w:t>
            </w:r>
          </w:p>
        </w:tc>
      </w:tr>
    </w:tbl>
    <w:tbl>
      <w:tblPr>
        <w:tblW w:w="5095" w:type="dxa"/>
        <w:jc w:val="left"/>
        <w:tblInd w:w="0" w:type="dxa"/>
        <w:tblLayout w:type="fixed"/>
        <w:tblCellMar>
          <w:top w:w="0" w:type="dxa"/>
          <w:left w:w="0" w:type="dxa"/>
          <w:bottom w:w="0" w:type="dxa"/>
          <w:right w:w="0" w:type="dxa"/>
        </w:tblCellMar>
      </w:tblPr>
      <w:tblGrid>
        <w:gridCol w:w="140"/>
        <w:gridCol w:w="4955"/>
      </w:tblGrid>
      <w:tr>
        <w:trPr/>
        <w:tc>
          <w:tcPr>
            <w:tcW w:w="140" w:type="dxa"/>
            <w:tcBorders/>
            <w:vAlign w:val="center"/>
          </w:tcPr>
          <w:p>
            <w:pPr>
              <w:pStyle w:val="TableContents"/>
              <w:bidi w:val="0"/>
              <w:spacing w:before="0" w:after="0"/>
              <w:jc w:val="left"/>
              <w:rPr>
                <w:color w:val="4C4C4C"/>
              </w:rPr>
            </w:pPr>
            <w:r>
              <w:rPr>
                <w:color w:val="4C4C4C"/>
              </w:rPr>
              <w:t>•</w:t>
            </w:r>
          </w:p>
        </w:tc>
        <w:tc>
          <w:tcPr>
            <w:tcW w:w="4955"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the relative compensation among our executive officers;</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C4C4C"/>
              </w:rPr>
            </w:pPr>
            <w:r>
              <w:rPr>
                <w:color w:val="4C4C4C"/>
              </w:rPr>
              <w:t>•</w:t>
            </w:r>
          </w:p>
        </w:tc>
        <w:tc>
          <w:tcPr>
            <w:tcW w:w="10065" w:type="dxa"/>
            <w:tcBorders/>
            <w:vAlign w:val="center"/>
          </w:tcPr>
          <w:p>
            <w:pPr>
              <w:pStyle w:val="TableContents"/>
              <w:bidi w:val="0"/>
              <w:spacing w:before="0" w:after="0"/>
              <w:jc w:val="both"/>
              <w:rPr>
                <w:rFonts w:ascii="Arial;Helvetica;sans-serif" w:hAnsi="Arial;Helvetica;sans-serif"/>
                <w:color w:val="4C4C4C"/>
                <w:sz w:val="20"/>
              </w:rPr>
            </w:pPr>
            <w:r>
              <w:rPr>
                <w:rFonts w:ascii="Arial;Helvetica;sans-serif" w:hAnsi="Arial;Helvetica;sans-serif"/>
                <w:color w:val="4C4C4C"/>
                <w:sz w:val="20"/>
              </w:rPr>
              <w:t>an analysis of the competitiveness of our compensation relative to companies in the jurisdictions in which we operate.</w:t>
            </w:r>
          </w:p>
        </w:tc>
      </w:tr>
    </w:tbl>
    <w:tbl>
      <w:tblPr>
        <w:tblW w:w="9010" w:type="dxa"/>
        <w:jc w:val="left"/>
        <w:tblInd w:w="0" w:type="dxa"/>
        <w:tblLayout w:type="fixed"/>
        <w:tblCellMar>
          <w:top w:w="0" w:type="dxa"/>
          <w:left w:w="0" w:type="dxa"/>
          <w:bottom w:w="0" w:type="dxa"/>
          <w:right w:w="0" w:type="dxa"/>
        </w:tblCellMar>
      </w:tblPr>
      <w:tblGrid>
        <w:gridCol w:w="140"/>
        <w:gridCol w:w="8870"/>
      </w:tblGrid>
      <w:tr>
        <w:trPr/>
        <w:tc>
          <w:tcPr>
            <w:tcW w:w="140" w:type="dxa"/>
            <w:tcBorders/>
            <w:vAlign w:val="center"/>
          </w:tcPr>
          <w:p>
            <w:pPr>
              <w:pStyle w:val="TableContents"/>
              <w:bidi w:val="0"/>
              <w:spacing w:before="0" w:after="0"/>
              <w:jc w:val="left"/>
              <w:rPr>
                <w:color w:val="4C4C4C"/>
              </w:rPr>
            </w:pPr>
            <w:r>
              <w:rPr>
                <w:color w:val="4C4C4C"/>
              </w:rPr>
              <w:t>•</w:t>
            </w:r>
          </w:p>
        </w:tc>
        <w:tc>
          <w:tcPr>
            <w:tcW w:w="8870"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an analysis of the competitiveness of our compensation relative to our compensation peer group; and</w:t>
            </w:r>
          </w:p>
        </w:tc>
      </w:tr>
    </w:tbl>
    <w:tbl>
      <w:tblPr>
        <w:tblW w:w="2860" w:type="dxa"/>
        <w:jc w:val="left"/>
        <w:tblInd w:w="0" w:type="dxa"/>
        <w:tblLayout w:type="fixed"/>
        <w:tblCellMar>
          <w:top w:w="0" w:type="dxa"/>
          <w:left w:w="0" w:type="dxa"/>
          <w:bottom w:w="0" w:type="dxa"/>
          <w:right w:w="0" w:type="dxa"/>
        </w:tblCellMar>
      </w:tblPr>
      <w:tblGrid>
        <w:gridCol w:w="140"/>
        <w:gridCol w:w="2720"/>
      </w:tblGrid>
      <w:tr>
        <w:trPr/>
        <w:tc>
          <w:tcPr>
            <w:tcW w:w="140" w:type="dxa"/>
            <w:tcBorders/>
            <w:vAlign w:val="center"/>
          </w:tcPr>
          <w:p>
            <w:pPr>
              <w:pStyle w:val="TableContents"/>
              <w:bidi w:val="0"/>
              <w:spacing w:before="0" w:after="0"/>
              <w:jc w:val="left"/>
              <w:rPr>
                <w:color w:val="4C4C4C"/>
              </w:rPr>
            </w:pPr>
            <w:r>
              <w:rPr>
                <w:color w:val="4C4C4C"/>
              </w:rPr>
              <w:t>•</w:t>
            </w:r>
          </w:p>
        </w:tc>
        <w:tc>
          <w:tcPr>
            <w:tcW w:w="2720"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recommendations of our CEO.</w:t>
            </w:r>
          </w:p>
        </w:tc>
      </w:tr>
    </w:tbl>
    <w:p>
      <w:pPr>
        <w:pStyle w:val="TextBody"/>
        <w:bidi w:val="0"/>
        <w:spacing w:before="250" w:after="283"/>
        <w:ind w:left="0" w:right="0" w:hanging="0"/>
        <w:jc w:val="left"/>
        <w:rPr>
          <w:rFonts w:ascii="Arial;Helvetica;sans-serif" w:hAnsi="Arial;Helvetica;sans-serif"/>
          <w:b/>
          <w:i/>
          <w:color w:val="0079C1"/>
          <w:sz w:val="20"/>
        </w:rPr>
      </w:pPr>
      <w:r>
        <w:rPr>
          <w:rFonts w:ascii="Arial;Helvetica;sans-serif" w:hAnsi="Arial;Helvetica;sans-serif"/>
          <w:b/>
          <w:i/>
          <w:color w:val="0079C1"/>
          <w:sz w:val="20"/>
        </w:rPr>
        <w:t>Role of Management</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From time to time, our chief executive officer may develop recommendations for the compensation of our NEOs (other than himself) related to base salaries, annual cash incentive opportunities, equity award opportunities, and the criteria upon which these award opportunities may be earned. The compensation committee uses these recommendations as one of several factors in making compensation decisions, and those decisions do not necessarily follow the CEO’s recommendations.</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28</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2" w:name="ny20042784x1_def14a_113-executive_pg5"/>
        <w:bookmarkEnd w:id="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From time to time, our chief executive officer may attend compensation committee meetings at the request of the compensation committee but leaves the meetings for any deliberations related to and decisions regarding his own compensation. </w:t>
      </w:r>
    </w:p>
    <w:p>
      <w:pPr>
        <w:pStyle w:val="TextBody"/>
        <w:bidi w:val="0"/>
        <w:spacing w:before="240" w:after="283"/>
        <w:ind w:left="0" w:right="0" w:hanging="0"/>
        <w:jc w:val="left"/>
        <w:rPr>
          <w:rFonts w:ascii="Arial;Helvetica;sans-serif" w:hAnsi="Arial;Helvetica;sans-serif"/>
          <w:b/>
          <w:i/>
          <w:color w:val="0079C1"/>
          <w:sz w:val="20"/>
        </w:rPr>
      </w:pPr>
      <w:r>
        <w:rPr>
          <w:rFonts w:ascii="Arial;Helvetica;sans-serif" w:hAnsi="Arial;Helvetica;sans-serif"/>
          <w:b/>
          <w:i/>
          <w:color w:val="0079C1"/>
          <w:sz w:val="20"/>
        </w:rPr>
        <w:t>Role of Independent Compensation Consultant</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The compensation committee has the authority to retain the services and obtain the advice of external advisors, including compensation consultants, legal counsel or other advisors, to assist in the evaluation of executive officer compensation. </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In 2023, the compensation committee engaged Aon plc to review our executive compensation program, policies and practices, review our peer group, and to conduct an executive compensation market analysis and to review our long-term incentive compensation program to help ensure alignment with competitive market practices. </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As part of this engagement, Aon reviewed and advised on all principal aspects of our executive compensation program, including meeting regularly with the compensation committee to review all elements of executive compensation and the relative competitiveness of such compensation elements. The compensation committee believes that working with an independent compensation consultant furthers our objectives to recruit and retain qualified executives, align executive interests with those of stockholders, and ensure that executive compensation packages will appropriately motivate and reward ongoing achievement of business goals. Based on the consideration of the factors specified in the rules of the SEC and the listing standards of The Nasdaq Stock Market, the compensation committee does not believe that its relationship with Aon’s and the work of Aon on behalf of the compensation committee has raised any conflict of interest. The compensation committee reviews these factors on an annual or bi-annual basis. As part of the compensation committee’s determination of Aon independence, it received written confirmation from Aon addressing these factors and supporting the independence determination.</w:t>
      </w:r>
    </w:p>
    <w:p>
      <w:pPr>
        <w:pStyle w:val="TextBody"/>
        <w:bidi w:val="0"/>
        <w:spacing w:before="240" w:after="283"/>
        <w:ind w:left="0" w:right="0" w:hanging="0"/>
        <w:jc w:val="left"/>
        <w:rPr>
          <w:rFonts w:ascii="Arial;Helvetica;sans-serif" w:hAnsi="Arial;Helvetica;sans-serif"/>
          <w:b/>
          <w:i/>
          <w:color w:val="0079C1"/>
          <w:sz w:val="20"/>
        </w:rPr>
      </w:pPr>
      <w:r>
        <w:rPr>
          <w:rFonts w:ascii="Arial;Helvetica;sans-serif" w:hAnsi="Arial;Helvetica;sans-serif"/>
          <w:b/>
          <w:i/>
          <w:color w:val="0079C1"/>
          <w:sz w:val="20"/>
        </w:rPr>
        <w:t xml:space="preserve">Compensation Peer Group </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Although there are unique aspects to our compensation program, market data provides a reference point for the compensation committee to make its compensation decisions. The compensation committee takes into consideration the structure and components of, and the amounts paid under, the executive compensation programs of other, comparable peer companies, as derived from public filings and other sources when making decisions about the structure and component mix of our executive compensation program. </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compensation committee, with the assistance of Aon, developed an updated peer group in June 2023, that was used to assess the pay levels and pay mix of the aggregate executive compensation program. The peer group selection was based on the following criteria: sector (semiconductor materials and equipment), revenue, market capitalization, and headcount. The compensation committee referenced this peer group for 2024 NEO compensation decision.</w:t>
      </w:r>
    </w:p>
    <w:p>
      <w:pPr>
        <w:pStyle w:val="TextBody"/>
        <w:bidi w:val="0"/>
        <w:spacing w:before="280" w:after="283"/>
        <w:ind w:left="0" w:right="0" w:hanging="0"/>
        <w:jc w:val="left"/>
        <w:rPr>
          <w:rFonts w:ascii="Arial;Helvetica;sans-serif" w:hAnsi="Arial;Helvetica;sans-serif"/>
          <w:b/>
          <w:color w:val="0079C1"/>
          <w:sz w:val="24"/>
        </w:rPr>
      </w:pPr>
      <w:r>
        <w:rPr>
          <w:rFonts w:ascii="Arial;Helvetica;sans-serif" w:hAnsi="Arial;Helvetica;sans-serif"/>
          <w:b/>
          <w:color w:val="0079C1"/>
          <w:sz w:val="24"/>
        </w:rPr>
        <w:t>The peer group consisted of the following 14 companies:</w:t>
      </w:r>
    </w:p>
    <w:tbl>
      <w:tblPr>
        <w:tblW w:w="9105" w:type="dxa"/>
        <w:jc w:val="left"/>
        <w:tblInd w:w="0" w:type="dxa"/>
        <w:tblLayout w:type="fixed"/>
        <w:tblCellMar>
          <w:top w:w="0" w:type="dxa"/>
          <w:left w:w="0" w:type="dxa"/>
          <w:bottom w:w="0" w:type="dxa"/>
          <w:right w:w="0" w:type="dxa"/>
        </w:tblCellMar>
      </w:tblPr>
      <w:tblGrid>
        <w:gridCol w:w="185"/>
        <w:gridCol w:w="4370"/>
        <w:gridCol w:w="170"/>
        <w:gridCol w:w="170"/>
        <w:gridCol w:w="3995"/>
        <w:gridCol w:w="215"/>
      </w:tblGrid>
      <w:tr>
        <w:trPr/>
        <w:tc>
          <w:tcPr>
            <w:tcW w:w="185" w:type="dxa"/>
            <w:tcBorders/>
            <w:vAlign w:val="center"/>
          </w:tcPr>
          <w:p>
            <w:pPr>
              <w:pStyle w:val="TableContents"/>
              <w:bidi w:val="0"/>
              <w:spacing w:before="0" w:after="0"/>
              <w:jc w:val="left"/>
              <w:rPr/>
            </w:pPr>
            <w:r>
              <w:rPr/>
              <w:t> </w:t>
            </w:r>
          </w:p>
        </w:tc>
        <w:tc>
          <w:tcPr>
            <w:tcW w:w="43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9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370" w:type="dxa"/>
            <w:tcBorders/>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Alpha and Omega Semiconductor Limited (AOSL)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95"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Mangnachip Semiconductor Corporation (MX)</w:t>
            </w:r>
          </w:p>
        </w:tc>
        <w:tc>
          <w:tcPr>
            <w:tcW w:w="215" w:type="dxa"/>
            <w:tcBorders/>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4370" w:type="dxa"/>
            <w:tcBorders/>
            <w:shd w:fill="BAE2F8" w:val="clear"/>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AXT, Inc. (AXTI)</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3995"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PDF Solutions, Inc. (PDSF)</w:t>
            </w:r>
          </w:p>
        </w:tc>
        <w:tc>
          <w:tcPr>
            <w:tcW w:w="215" w:type="dxa"/>
            <w:tcBorders/>
            <w:shd w:fill="BAE2F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370" w:type="dxa"/>
            <w:tcBorders/>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Cohu, Inc. (COHU)</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95"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Photronics, Inc. (PLAB)</w:t>
            </w:r>
          </w:p>
        </w:tc>
        <w:tc>
          <w:tcPr>
            <w:tcW w:w="215" w:type="dxa"/>
            <w:tcBorders/>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4370" w:type="dxa"/>
            <w:tcBorders/>
            <w:shd w:fill="BAE2F8" w:val="clear"/>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FormFactor, Inc. (FORM)</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3995"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Semtech Corporation (SMTC)</w:t>
            </w:r>
          </w:p>
        </w:tc>
        <w:tc>
          <w:tcPr>
            <w:tcW w:w="215" w:type="dxa"/>
            <w:tcBorders/>
            <w:shd w:fill="BAE2F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370" w:type="dxa"/>
            <w:tcBorders/>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Ichor Holdings, Ltd. (ICHR)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95"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SkyWater Technology, Inc. (SKYT)</w:t>
            </w:r>
          </w:p>
        </w:tc>
        <w:tc>
          <w:tcPr>
            <w:tcW w:w="215" w:type="dxa"/>
            <w:tcBorders/>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4370" w:type="dxa"/>
            <w:tcBorders/>
            <w:shd w:fill="BAE2F8" w:val="clear"/>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Indie Semiconductor, Inc. (INDI)</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3995"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Ultra Clean Holdings, Inc. (UCTT)</w:t>
            </w:r>
          </w:p>
        </w:tc>
        <w:tc>
          <w:tcPr>
            <w:tcW w:w="215" w:type="dxa"/>
            <w:tcBorders/>
            <w:shd w:fill="BAE2F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370" w:type="dxa"/>
            <w:tcBorders/>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Kulicke and Soffa Industries, Inc. (KLIC)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95"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Veeco Instruments Inc. (VECO)</w:t>
            </w:r>
          </w:p>
        </w:tc>
        <w:tc>
          <w:tcPr>
            <w:tcW w:w="215" w:type="dxa"/>
            <w:tcBorders/>
            <w:vAlign w:val="center"/>
          </w:tcPr>
          <w:p>
            <w:pPr>
              <w:pStyle w:val="TableContents"/>
              <w:bidi w:val="0"/>
              <w:spacing w:before="0" w:after="0"/>
              <w:jc w:val="left"/>
              <w:rPr/>
            </w:pPr>
            <w:r>
              <w:rPr/>
              <w:t>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29</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3" w:name="ny20042784x1_def14a_113-executive_pg6"/>
        <w:bookmarkEnd w:id="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b/>
          <w:i/>
          <w:color w:val="0079C1"/>
          <w:sz w:val="20"/>
        </w:rPr>
      </w:pPr>
      <w:r>
        <w:rPr>
          <w:rFonts w:ascii="Arial;Helvetica;sans-serif" w:hAnsi="Arial;Helvetica;sans-serif"/>
          <w:b/>
          <w:i/>
          <w:color w:val="0079C1"/>
          <w:sz w:val="20"/>
        </w:rPr>
        <w:t>Advisory Vote on Executive Compensation</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Our stockholders previously elected to hold triennial advisory votes on executive compensation. This decision reflects our stockholders’ ongoing confidence in the appropriateness and effectiveness of our executive compensation program. The compensation committee believes this timeframe allows stockholders sufficient time to assess the effectiveness of our executive compensation strategies. While the committee will continue to assess the frequency of these votes, it considers a three-year interval to be appropriate for thoughtful consideration and implementation of any changes to our compensation programs. Our stockholders will have an opportunity to cast an advisory vote on the frequency of say-on-pay votes at least every six years.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C4C4C"/>
              </w:rPr>
            </w:pPr>
            <w:r>
              <w:rPr>
                <w:color w:val="4C4C4C"/>
              </w:rPr>
              <w:t>•</w:t>
            </w:r>
          </w:p>
        </w:tc>
        <w:tc>
          <w:tcPr>
            <w:tcW w:w="10065" w:type="dxa"/>
            <w:tcBorders/>
            <w:vAlign w:val="center"/>
          </w:tcPr>
          <w:p>
            <w:pPr>
              <w:pStyle w:val="TableContents"/>
              <w:bidi w:val="0"/>
              <w:spacing w:before="0" w:after="0"/>
              <w:jc w:val="both"/>
              <w:rPr>
                <w:rFonts w:ascii="Arial;Helvetica;sans-serif" w:hAnsi="Arial;Helvetica;sans-serif"/>
                <w:color w:val="4C4C4C"/>
                <w:sz w:val="20"/>
              </w:rPr>
            </w:pPr>
            <w:r>
              <w:rPr>
                <w:rFonts w:ascii="Arial;Helvetica;sans-serif" w:hAnsi="Arial;Helvetica;sans-serif"/>
                <w:color w:val="4C4C4C"/>
                <w:sz w:val="20"/>
              </w:rPr>
              <w:t xml:space="preserve">At our 2024 Annual Meeting of Stockholders, we conducted a non-binding stockholder advisory vote on the compensation of our named executive officers known as a “say-on-pay” vote. At that meeting, approximately 85% of the votes cast were voted in favor of our executive compensation policies and practices, indicating shareholders are supportive of our current practices.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C4C4C"/>
              </w:rPr>
            </w:pPr>
            <w:r>
              <w:rPr>
                <w:color w:val="4C4C4C"/>
              </w:rPr>
              <w:t>•</w:t>
            </w:r>
          </w:p>
        </w:tc>
        <w:tc>
          <w:tcPr>
            <w:tcW w:w="10065" w:type="dxa"/>
            <w:tcBorders/>
            <w:vAlign w:val="center"/>
          </w:tcPr>
          <w:p>
            <w:pPr>
              <w:pStyle w:val="TableContents"/>
              <w:bidi w:val="0"/>
              <w:spacing w:before="0" w:after="0"/>
              <w:jc w:val="both"/>
              <w:rPr>
                <w:rFonts w:ascii="Arial;Helvetica;sans-serif" w:hAnsi="Arial;Helvetica;sans-serif"/>
                <w:color w:val="4C4C4C"/>
                <w:sz w:val="20"/>
              </w:rPr>
            </w:pPr>
            <w:r>
              <w:rPr>
                <w:rFonts w:ascii="Arial;Helvetica;sans-serif" w:hAnsi="Arial;Helvetica;sans-serif"/>
                <w:color w:val="4C4C4C"/>
                <w:sz w:val="20"/>
              </w:rPr>
              <w:t xml:space="preserve">At our 2024 Annual Meeting of Stockholders, we conducted a non-binding stockholder advisory vote on the frequency of “say-on-pay” vote. At that meeting, approximately 83% of the votes cast were for a three-year interval for the frequency of the “say-on-pay” vote, indicating shareholders are supportive of our current practices. </w:t>
            </w:r>
          </w:p>
        </w:tc>
      </w:tr>
    </w:tbl>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As a result of these votes, together with other factors, the compensation committee concluded that our programs effectively align the interest of our shareholders and no significant changes have been made to fundamental elements of our compensation program.</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Our Board and our compensation committee value the opinions of our stockholders, and will continue to consider stockholder feedback and the results of say-on-pay votes when making future compensation decisions.</w:t>
      </w:r>
    </w:p>
    <w:p>
      <w:pPr>
        <w:pStyle w:val="TextBody"/>
        <w:bidi w:val="0"/>
        <w:spacing w:before="250" w:after="283"/>
        <w:ind w:left="0" w:right="0" w:hanging="0"/>
        <w:jc w:val="left"/>
        <w:rPr>
          <w:rFonts w:ascii="Arial;Helvetica;sans-serif" w:hAnsi="Arial;Helvetica;sans-serif"/>
          <w:b/>
          <w:i/>
          <w:color w:val="0079C1"/>
          <w:sz w:val="20"/>
        </w:rPr>
      </w:pPr>
      <w:r>
        <w:rPr>
          <w:rFonts w:ascii="Arial;Helvetica;sans-serif" w:hAnsi="Arial;Helvetica;sans-serif"/>
          <w:b/>
          <w:i/>
          <w:color w:val="0079C1"/>
          <w:sz w:val="20"/>
        </w:rPr>
        <w:t>Stockholder Outreach</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We are committed to year-round, meaningful engagement with our stockholders. We prioritize the different perspectives and issues raised by our stockholders by incorporating them into the business and strategy decisions of the board of directors. We believe that ongoing engagement builds mutual trust and understanding with our stockholders. Stockholder engagement and feedback are critical components of our corporate governance practices and inform our decisions and programs. Our engagement initiatives will continue in 2025 with outreach to our stockholders. </w:t>
      </w:r>
    </w:p>
    <w:p>
      <w:pPr>
        <w:pStyle w:val="TextBody"/>
        <w:bidi w:val="0"/>
        <w:spacing w:before="250" w:after="283"/>
        <w:ind w:left="0" w:right="0" w:hanging="0"/>
        <w:jc w:val="left"/>
        <w:rPr>
          <w:rFonts w:ascii="Arial;Helvetica;sans-serif" w:hAnsi="Arial;Helvetica;sans-serif"/>
          <w:b/>
          <w:i/>
          <w:color w:val="0079C1"/>
          <w:sz w:val="20"/>
        </w:rPr>
      </w:pPr>
      <w:r>
        <w:rPr>
          <w:rFonts w:ascii="Arial;Helvetica;sans-serif" w:hAnsi="Arial;Helvetica;sans-serif"/>
          <w:b/>
          <w:i/>
          <w:color w:val="0079C1"/>
          <w:sz w:val="20"/>
        </w:rPr>
        <w:t>Assessment of Compensation Risk</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We review our compensation programs for all employees and have concluded that these programs do not create risks that are reasonably likely to have a material adverse effect on our company. We believe that our compensation program helps ensure performance is focused on responsible long-term stockholder value creation and does not encourage short-term risk taking at the expense of long-term results.</w:t>
      </w:r>
    </w:p>
    <w:p>
      <w:pPr>
        <w:pStyle w:val="TextBody"/>
        <w:bidi w:val="0"/>
        <w:spacing w:before="290" w:after="283"/>
        <w:ind w:left="0" w:right="0" w:hanging="0"/>
        <w:jc w:val="left"/>
        <w:rPr>
          <w:rFonts w:ascii="Arial;Helvetica;sans-serif" w:hAnsi="Arial;Helvetica;sans-serif"/>
          <w:b/>
          <w:color w:val="0079C1"/>
          <w:sz w:val="24"/>
        </w:rPr>
      </w:pPr>
      <w:r>
        <w:rPr>
          <w:rFonts w:ascii="Arial;Helvetica;sans-serif" w:hAnsi="Arial;Helvetica;sans-serif"/>
          <w:b/>
          <w:color w:val="0079C1"/>
          <w:sz w:val="24"/>
        </w:rPr>
        <w:t>Pay Components</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Our compensation committee regularly reviews compensation elements for NEOs, including whenever there is a change in roles or responsibilities of a NEO or a new NEO joins our company. Our NEO compensation program design uses a mix of annual and long-term components and a mix of cash and equity components. Our NEO compensation program includes base salary, annual cash bonus opportunities, long-term equity awards and promotion awards when appropriate.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30</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4" w:name="ny20042784x1_def14a_113-executive_pg7"/>
        <w:bookmarkEnd w:id="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b/>
          <w:i/>
          <w:color w:val="0079C1"/>
          <w:sz w:val="20"/>
        </w:rPr>
      </w:pPr>
      <w:r>
        <w:rPr>
          <w:rFonts w:ascii="Arial;Helvetica;sans-serif" w:hAnsi="Arial;Helvetica;sans-serif"/>
          <w:b/>
          <w:i/>
          <w:color w:val="0079C1"/>
          <w:sz w:val="20"/>
        </w:rPr>
        <w:t>Overview of Compensation Components</w:t>
      </w:r>
    </w:p>
    <w:tbl>
      <w:tblPr>
        <w:tblW w:w="10205" w:type="dxa"/>
        <w:jc w:val="left"/>
        <w:tblInd w:w="0" w:type="dxa"/>
        <w:tblLayout w:type="fixed"/>
        <w:tblCellMar>
          <w:top w:w="0" w:type="dxa"/>
          <w:left w:w="0" w:type="dxa"/>
          <w:bottom w:w="0" w:type="dxa"/>
          <w:right w:w="0" w:type="dxa"/>
        </w:tblCellMar>
      </w:tblPr>
      <w:tblGrid>
        <w:gridCol w:w="185"/>
        <w:gridCol w:w="1140"/>
        <w:gridCol w:w="170"/>
        <w:gridCol w:w="170"/>
        <w:gridCol w:w="1017"/>
        <w:gridCol w:w="170"/>
        <w:gridCol w:w="170"/>
        <w:gridCol w:w="6967"/>
        <w:gridCol w:w="216"/>
      </w:tblGrid>
      <w:tr>
        <w:trPr/>
        <w:tc>
          <w:tcPr>
            <w:tcW w:w="185" w:type="dxa"/>
            <w:tcBorders/>
            <w:shd w:fill="0D3F64" w:val="clear"/>
            <w:vAlign w:val="center"/>
          </w:tcPr>
          <w:p>
            <w:pPr>
              <w:pStyle w:val="TableContents"/>
              <w:bidi w:val="0"/>
              <w:spacing w:before="0" w:after="0"/>
              <w:jc w:val="left"/>
              <w:rPr/>
            </w:pPr>
            <w:r>
              <w:rPr/>
              <w:t> </w:t>
            </w:r>
          </w:p>
        </w:tc>
        <w:tc>
          <w:tcPr>
            <w:tcW w:w="114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017"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6967" w:type="dxa"/>
            <w:tcBorders/>
            <w:shd w:fill="0D3F64" w:val="clear"/>
            <w:vAlign w:val="center"/>
          </w:tcPr>
          <w:p>
            <w:pPr>
              <w:pStyle w:val="TableContents"/>
              <w:bidi w:val="0"/>
              <w:spacing w:before="0" w:after="0"/>
              <w:jc w:val="left"/>
              <w:rPr/>
            </w:pPr>
            <w:r>
              <w:rPr/>
              <w:t> </w:t>
            </w:r>
          </w:p>
        </w:tc>
        <w:tc>
          <w:tcPr>
            <w:tcW w:w="216" w:type="dxa"/>
            <w:tcBorders/>
            <w:shd w:fill="0D3F64" w:val="clear"/>
            <w:vAlign w:val="center"/>
          </w:tcPr>
          <w:p>
            <w:pPr>
              <w:pStyle w:val="TableContents"/>
              <w:bidi w:val="0"/>
              <w:spacing w:before="0" w:after="0"/>
              <w:jc w:val="left"/>
              <w:rPr/>
            </w:pPr>
            <w:r>
              <w:rPr/>
              <w:t> </w:t>
            </w:r>
          </w:p>
        </w:tc>
      </w:tr>
      <w:tr>
        <w:trPr/>
        <w:tc>
          <w:tcPr>
            <w:tcW w:w="185" w:type="dxa"/>
            <w:tcBorders/>
            <w:shd w:fill="0D3F64" w:val="clear"/>
            <w:vAlign w:val="center"/>
          </w:tcPr>
          <w:p>
            <w:pPr>
              <w:pStyle w:val="TableContents"/>
              <w:bidi w:val="0"/>
              <w:spacing w:before="0" w:after="0"/>
              <w:jc w:val="left"/>
              <w:rPr/>
            </w:pPr>
            <w:r>
              <w:rPr/>
              <w:t> </w:t>
            </w:r>
          </w:p>
        </w:tc>
        <w:tc>
          <w:tcPr>
            <w:tcW w:w="1140" w:type="dxa"/>
            <w:tcBorders/>
            <w:shd w:fill="0D3F64" w:val="clear"/>
            <w:vAlign w:val="center"/>
          </w:tcPr>
          <w:p>
            <w:pPr>
              <w:pStyle w:val="TableContents"/>
              <w:bidi w:val="0"/>
              <w:spacing w:before="0" w:after="283"/>
              <w:ind w:left="20" w:right="0" w:hanging="0"/>
              <w:jc w:val="left"/>
              <w:rPr>
                <w:rFonts w:ascii="Arial;Helvetica;sans-serif" w:hAnsi="Arial;Helvetica;sans-serif"/>
                <w:b/>
                <w:color w:val="FFFFFF"/>
                <w:sz w:val="16"/>
              </w:rPr>
            </w:pPr>
            <w:r>
              <w:rPr>
                <w:rFonts w:ascii="Arial;Helvetica;sans-serif" w:hAnsi="Arial;Helvetica;sans-serif"/>
                <w:b/>
                <w:color w:val="FFFFFF"/>
                <w:sz w:val="16"/>
              </w:rPr>
              <w:t>Pay Element</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017" w:type="dxa"/>
            <w:tcBorders/>
            <w:shd w:fill="0D3F64"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Payment Vehicle</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6967" w:type="dxa"/>
            <w:tcBorders/>
            <w:shd w:fill="0D3F64"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Purpose/Design</w:t>
            </w:r>
          </w:p>
        </w:tc>
        <w:tc>
          <w:tcPr>
            <w:tcW w:w="216" w:type="dxa"/>
            <w:tcBorders/>
            <w:shd w:fill="0D3F6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40" w:type="dxa"/>
            <w:tcBorders/>
            <w:vAlign w:val="center"/>
          </w:tcPr>
          <w:p>
            <w:pPr>
              <w:pStyle w:val="TableContents"/>
              <w:bidi w:val="0"/>
              <w:spacing w:before="0" w:after="283"/>
              <w:ind w:left="20" w:right="0" w:hanging="0"/>
              <w:jc w:val="left"/>
              <w:rPr>
                <w:rFonts w:ascii="Arial;Helvetica;sans-serif" w:hAnsi="Arial;Helvetica;sans-serif"/>
                <w:b/>
                <w:color w:val="4C4C4C"/>
                <w:sz w:val="20"/>
              </w:rPr>
            </w:pPr>
            <w:r>
              <w:rPr>
                <w:rFonts w:ascii="Arial;Helvetica;sans-serif" w:hAnsi="Arial;Helvetica;sans-serif"/>
                <w:b/>
                <w:color w:val="4C4C4C"/>
                <w:sz w:val="20"/>
              </w:rPr>
              <w:t>Base Salary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7" w:type="dxa"/>
            <w:tcBorders/>
            <w:vAlign w:val="center"/>
          </w:tcPr>
          <w:p>
            <w:pPr>
              <w:pStyle w:val="TableContents"/>
              <w:bidi w:val="0"/>
              <w:spacing w:before="0" w:after="283"/>
              <w:ind w:left="0" w:right="0" w:hanging="0"/>
              <w:jc w:val="left"/>
              <w:rPr>
                <w:rFonts w:ascii="Arial;Helvetica;sans-serif" w:hAnsi="Arial;Helvetica;sans-serif"/>
                <w:i/>
                <w:color w:val="4C4C4C"/>
                <w:sz w:val="20"/>
              </w:rPr>
            </w:pPr>
            <w:r>
              <w:rPr>
                <w:rFonts w:ascii="Arial;Helvetica;sans-serif" w:hAnsi="Arial;Helvetica;sans-serif"/>
                <w:i/>
                <w:color w:val="4C4C4C"/>
                <w:sz w:val="20"/>
              </w:rPr>
              <w:t>Fixed cash payment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67" w:type="dxa"/>
            <w:tcBorders/>
            <w:vAlign w:val="center"/>
          </w:tcPr>
          <w:p>
            <w:pPr>
              <w:pStyle w:val="TableContents"/>
              <w:bidi w:val="0"/>
              <w:spacing w:before="0" w:after="283"/>
              <w:ind w:left="0" w:right="0" w:hanging="0"/>
              <w:jc w:val="both"/>
              <w:rPr>
                <w:rFonts w:ascii="Arial;Helvetica;sans-serif" w:hAnsi="Arial;Helvetica;sans-serif"/>
                <w:color w:val="4C4C4C"/>
                <w:sz w:val="20"/>
              </w:rPr>
            </w:pPr>
            <w:r>
              <w:rPr>
                <w:rFonts w:ascii="Arial;Helvetica;sans-serif" w:hAnsi="Arial;Helvetica;sans-serif"/>
                <w:color w:val="4C4C4C"/>
                <w:sz w:val="20"/>
              </w:rPr>
              <w:t>Attracts, retains and rewards NEOs, and provides NEOs with fixed compensation based on their performance and contributions</w:t>
            </w:r>
          </w:p>
        </w:tc>
        <w:tc>
          <w:tcPr>
            <w:tcW w:w="216" w:type="dxa"/>
            <w:tcBorders/>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1140" w:type="dxa"/>
            <w:tcBorders/>
            <w:shd w:fill="BAE2F8" w:val="clear"/>
            <w:vAlign w:val="center"/>
          </w:tcPr>
          <w:p>
            <w:pPr>
              <w:pStyle w:val="TableContents"/>
              <w:bidi w:val="0"/>
              <w:spacing w:before="0" w:after="283"/>
              <w:ind w:left="20" w:right="0" w:hanging="0"/>
              <w:jc w:val="left"/>
              <w:rPr>
                <w:rFonts w:ascii="Arial;Helvetica;sans-serif" w:hAnsi="Arial;Helvetica;sans-serif"/>
                <w:b/>
                <w:color w:val="4C4C4C"/>
                <w:sz w:val="20"/>
              </w:rPr>
            </w:pPr>
            <w:r>
              <w:rPr>
                <w:rFonts w:ascii="Arial;Helvetica;sans-serif" w:hAnsi="Arial;Helvetica;sans-serif"/>
                <w:b/>
                <w:color w:val="4C4C4C"/>
                <w:sz w:val="20"/>
              </w:rPr>
              <w:t>Annual Bonus</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017" w:type="dxa"/>
            <w:tcBorders/>
            <w:shd w:fill="BAE2F8" w:val="clear"/>
            <w:vAlign w:val="center"/>
          </w:tcPr>
          <w:p>
            <w:pPr>
              <w:pStyle w:val="TableContents"/>
              <w:bidi w:val="0"/>
              <w:spacing w:before="0" w:after="283"/>
              <w:ind w:left="0" w:right="0" w:hanging="0"/>
              <w:jc w:val="left"/>
              <w:rPr>
                <w:rFonts w:ascii="Arial;Helvetica;sans-serif" w:hAnsi="Arial;Helvetica;sans-serif"/>
                <w:i/>
                <w:color w:val="4C4C4C"/>
                <w:sz w:val="20"/>
              </w:rPr>
            </w:pPr>
            <w:r>
              <w:rPr>
                <w:rFonts w:ascii="Arial;Helvetica;sans-serif" w:hAnsi="Arial;Helvetica;sans-serif"/>
                <w:i/>
                <w:color w:val="4C4C4C"/>
                <w:sz w:val="20"/>
              </w:rPr>
              <w:t>Variable cash bonus</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6967" w:type="dxa"/>
            <w:tcBorders/>
            <w:shd w:fill="BAE2F8" w:val="clear"/>
            <w:vAlign w:val="center"/>
          </w:tcPr>
          <w:p>
            <w:pPr>
              <w:pStyle w:val="TableContents"/>
              <w:bidi w:val="0"/>
              <w:spacing w:before="0" w:after="283"/>
              <w:ind w:left="0" w:right="0" w:hanging="0"/>
              <w:jc w:val="both"/>
              <w:rPr>
                <w:rFonts w:ascii="Arial;Helvetica;sans-serif" w:hAnsi="Arial;Helvetica;sans-serif"/>
                <w:color w:val="4C4C4C"/>
                <w:sz w:val="20"/>
              </w:rPr>
            </w:pPr>
            <w:r>
              <w:rPr>
                <w:rFonts w:ascii="Arial;Helvetica;sans-serif" w:hAnsi="Arial;Helvetica;sans-serif"/>
                <w:color w:val="4C4C4C"/>
                <w:sz w:val="20"/>
              </w:rPr>
              <w:t>We do not have an established bonus policy for our NEOs; the compensation committee may decide, in its sole discretion, to reward NEOs with annual cash bonuses based on individual NEO performance, our business performance generally and, in certain circumstances, achievement of specific business objectives</w:t>
            </w:r>
          </w:p>
        </w:tc>
        <w:tc>
          <w:tcPr>
            <w:tcW w:w="216" w:type="dxa"/>
            <w:tcBorders/>
            <w:shd w:fill="BAE2F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40" w:type="dxa"/>
            <w:tcBorders/>
            <w:vAlign w:val="center"/>
          </w:tcPr>
          <w:p>
            <w:pPr>
              <w:pStyle w:val="TableContents"/>
              <w:bidi w:val="0"/>
              <w:spacing w:before="0" w:after="283"/>
              <w:ind w:left="20" w:right="0" w:hanging="0"/>
              <w:jc w:val="left"/>
              <w:rPr>
                <w:rFonts w:ascii="Arial;Helvetica;sans-serif" w:hAnsi="Arial;Helvetica;sans-serif"/>
                <w:b/>
                <w:color w:val="4C4C4C"/>
                <w:sz w:val="20"/>
              </w:rPr>
            </w:pPr>
            <w:r>
              <w:rPr>
                <w:rFonts w:ascii="Arial;Helvetica;sans-serif" w:hAnsi="Arial;Helvetica;sans-serif"/>
                <w:b/>
                <w:color w:val="4C4C4C"/>
                <w:sz w:val="20"/>
              </w:rPr>
              <w:t xml:space="preserve">Long-Term </w:t>
            </w:r>
          </w:p>
          <w:p>
            <w:pPr>
              <w:pStyle w:val="TableContents"/>
              <w:bidi w:val="0"/>
              <w:spacing w:before="0" w:after="283"/>
              <w:ind w:left="20" w:right="0" w:hanging="0"/>
              <w:jc w:val="left"/>
              <w:rPr>
                <w:rFonts w:ascii="Arial;Helvetica;sans-serif" w:hAnsi="Arial;Helvetica;sans-serif"/>
                <w:b/>
                <w:color w:val="4C4C4C"/>
                <w:sz w:val="20"/>
              </w:rPr>
            </w:pPr>
            <w:r>
              <w:rPr>
                <w:rFonts w:ascii="Arial;Helvetica;sans-serif" w:hAnsi="Arial;Helvetica;sans-serif"/>
                <w:b/>
                <w:color w:val="4C4C4C"/>
                <w:sz w:val="20"/>
              </w:rPr>
              <w:t>Equity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7" w:type="dxa"/>
            <w:tcBorders/>
            <w:vAlign w:val="center"/>
          </w:tcPr>
          <w:p>
            <w:pPr>
              <w:pStyle w:val="TableContents"/>
              <w:bidi w:val="0"/>
              <w:spacing w:before="0" w:after="283"/>
              <w:ind w:left="0" w:right="0" w:hanging="0"/>
              <w:jc w:val="left"/>
              <w:rPr>
                <w:rFonts w:ascii="Arial;Helvetica;sans-serif" w:hAnsi="Arial;Helvetica;sans-serif"/>
                <w:i/>
                <w:color w:val="4C4C4C"/>
                <w:sz w:val="20"/>
              </w:rPr>
            </w:pPr>
            <w:r>
              <w:rPr>
                <w:rFonts w:ascii="Arial;Helvetica;sans-serif" w:hAnsi="Arial;Helvetica;sans-serif"/>
                <w:i/>
                <w:color w:val="4C4C4C"/>
                <w:sz w:val="20"/>
              </w:rPr>
              <w:t>Stock options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67" w:type="dxa"/>
            <w:tcBorders/>
            <w:vAlign w:val="center"/>
          </w:tcPr>
          <w:p>
            <w:pPr>
              <w:pStyle w:val="TableContents"/>
              <w:bidi w:val="0"/>
              <w:spacing w:before="0" w:after="283"/>
              <w:ind w:left="0" w:right="0" w:hanging="0"/>
              <w:jc w:val="both"/>
              <w:rPr>
                <w:rFonts w:ascii="Arial;Helvetica;sans-serif" w:hAnsi="Arial;Helvetica;sans-serif"/>
                <w:color w:val="4C4C4C"/>
                <w:sz w:val="20"/>
              </w:rPr>
            </w:pPr>
            <w:r>
              <w:rPr>
                <w:rFonts w:ascii="Arial;Helvetica;sans-serif" w:hAnsi="Arial;Helvetica;sans-serif"/>
                <w:color w:val="4C4C4C"/>
                <w:sz w:val="20"/>
              </w:rPr>
              <w:t>Directly ties individual performance to long-term appreciation of our common stock price, rewards NEOs for strong company performance, and aligns the interests of NEOs with those of our stockholders</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67"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p>
      <w:pPr>
        <w:pStyle w:val="TextBody"/>
        <w:bidi w:val="0"/>
        <w:spacing w:before="200" w:after="283"/>
        <w:ind w:left="0" w:right="0" w:hanging="0"/>
        <w:jc w:val="left"/>
        <w:rPr>
          <w:rFonts w:ascii="Arial;Helvetica;sans-serif" w:hAnsi="Arial;Helvetica;sans-serif"/>
          <w:b/>
          <w:i/>
          <w:color w:val="0079C1"/>
          <w:sz w:val="20"/>
        </w:rPr>
      </w:pPr>
      <w:r>
        <w:rPr>
          <w:rFonts w:ascii="Arial;Helvetica;sans-serif" w:hAnsi="Arial;Helvetica;sans-serif"/>
          <w:b/>
          <w:i/>
          <w:color w:val="0079C1"/>
          <w:sz w:val="20"/>
        </w:rPr>
        <w:t>Base Salary</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We pay base salaries to our NEOs to compensate them for their services and provide predictable annual income. The salaries typically reflect each NEO’s experience, skills, knowledge and responsibilities, although competitive market data also plays a role in setting salary levels. We do not apply specific formulas to determine salaries or changes in salaries. Instead, the salaries of our NEOs are reviewed on an annual basis by the compensation committee based on our compensation philosophy and objectives. The compensation committee determined the 2024 base salary of each of our NEOs after considering the recommendations of our CEO, other than with respect to his own base salary, and other factors described throughout this Compensation Discussion &amp; Analysis. Based on Aon’s 2023 analysis, we determined that the salaries of our named executive officers have been positioned well below the market 25th percentile of our compensation peer group. While we do not benchmark a specific percentile for salary or cash compensation, in 2024, the compensation committee increased the base salaries for each of our NEOs to reflect each individual’s responsibilities and performance and to increase their base salaries to more market-competitive levels. We expect to continue to increase the salaries of our NEOs in an incremental fashion to bring the salary of each closer to a market-appropriate compensation level. </w:t>
      </w:r>
    </w:p>
    <w:tbl>
      <w:tblPr>
        <w:tblW w:w="9630" w:type="dxa"/>
        <w:jc w:val="left"/>
        <w:tblInd w:w="0" w:type="dxa"/>
        <w:tblLayout w:type="fixed"/>
        <w:tblCellMar>
          <w:top w:w="0" w:type="dxa"/>
          <w:left w:w="0" w:type="dxa"/>
          <w:bottom w:w="0" w:type="dxa"/>
          <w:right w:w="0" w:type="dxa"/>
        </w:tblCellMar>
      </w:tblPr>
      <w:tblGrid>
        <w:gridCol w:w="185"/>
        <w:gridCol w:w="2000"/>
        <w:gridCol w:w="170"/>
        <w:gridCol w:w="170"/>
        <w:gridCol w:w="1985"/>
        <w:gridCol w:w="170"/>
        <w:gridCol w:w="170"/>
        <w:gridCol w:w="1985"/>
        <w:gridCol w:w="170"/>
        <w:gridCol w:w="170"/>
        <w:gridCol w:w="2240"/>
        <w:gridCol w:w="215"/>
      </w:tblGrid>
      <w:tr>
        <w:trPr/>
        <w:tc>
          <w:tcPr>
            <w:tcW w:w="185" w:type="dxa"/>
            <w:tcBorders/>
            <w:shd w:fill="0D3F64" w:val="clear"/>
            <w:vAlign w:val="center"/>
          </w:tcPr>
          <w:p>
            <w:pPr>
              <w:pStyle w:val="TableContents"/>
              <w:bidi w:val="0"/>
              <w:spacing w:before="0" w:after="0"/>
              <w:jc w:val="left"/>
              <w:rPr/>
            </w:pPr>
            <w:r>
              <w:rPr/>
              <w:t> </w:t>
            </w:r>
          </w:p>
        </w:tc>
        <w:tc>
          <w:tcPr>
            <w:tcW w:w="200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985"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985"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2240" w:type="dxa"/>
            <w:tcBorders/>
            <w:shd w:fill="0D3F64" w:val="clear"/>
            <w:vAlign w:val="center"/>
          </w:tcPr>
          <w:p>
            <w:pPr>
              <w:pStyle w:val="TableContents"/>
              <w:bidi w:val="0"/>
              <w:spacing w:before="0" w:after="0"/>
              <w:jc w:val="left"/>
              <w:rPr/>
            </w:pPr>
            <w:r>
              <w:rPr/>
              <w:t> </w:t>
            </w:r>
          </w:p>
        </w:tc>
        <w:tc>
          <w:tcPr>
            <w:tcW w:w="215" w:type="dxa"/>
            <w:tcBorders/>
            <w:shd w:fill="0D3F64" w:val="clear"/>
            <w:vAlign w:val="center"/>
          </w:tcPr>
          <w:p>
            <w:pPr>
              <w:pStyle w:val="TableContents"/>
              <w:bidi w:val="0"/>
              <w:spacing w:before="0" w:after="0"/>
              <w:jc w:val="left"/>
              <w:rPr/>
            </w:pPr>
            <w:r>
              <w:rPr/>
              <w:t> </w:t>
            </w:r>
          </w:p>
        </w:tc>
      </w:tr>
      <w:tr>
        <w:trPr/>
        <w:tc>
          <w:tcPr>
            <w:tcW w:w="185" w:type="dxa"/>
            <w:tcBorders/>
            <w:shd w:fill="0D3F64" w:val="clear"/>
            <w:vAlign w:val="center"/>
          </w:tcPr>
          <w:p>
            <w:pPr>
              <w:pStyle w:val="TableContents"/>
              <w:bidi w:val="0"/>
              <w:spacing w:before="0" w:after="0"/>
              <w:jc w:val="left"/>
              <w:rPr/>
            </w:pPr>
            <w:r>
              <w:rPr/>
              <w:t> </w:t>
            </w:r>
          </w:p>
        </w:tc>
        <w:tc>
          <w:tcPr>
            <w:tcW w:w="2000" w:type="dxa"/>
            <w:tcBorders/>
            <w:shd w:fill="0D3F64" w:val="clear"/>
            <w:vAlign w:val="center"/>
          </w:tcPr>
          <w:p>
            <w:pPr>
              <w:pStyle w:val="TableContents"/>
              <w:bidi w:val="0"/>
              <w:spacing w:before="20" w:after="283"/>
              <w:ind w:left="20" w:right="0" w:hanging="0"/>
              <w:jc w:val="left"/>
              <w:rPr>
                <w:rFonts w:ascii="Arial;Helvetica;sans-serif" w:hAnsi="Arial;Helvetica;sans-serif"/>
                <w:b/>
                <w:color w:val="FFFFFF"/>
                <w:sz w:val="16"/>
              </w:rPr>
            </w:pPr>
            <w:r>
              <w:rPr>
                <w:rFonts w:ascii="Arial;Helvetica;sans-serif" w:hAnsi="Arial;Helvetica;sans-serif"/>
                <w:b/>
                <w:color w:val="FFFFFF"/>
                <w:sz w:val="16"/>
              </w:rPr>
              <w:t>Named Executive Officer</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985"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Annual Base Salary 2023</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985"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Annual Base Salary 2024</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2240"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Percent Increase (Decrease)</w:t>
            </w:r>
          </w:p>
        </w:tc>
        <w:tc>
          <w:tcPr>
            <w:tcW w:w="215" w:type="dxa"/>
            <w:tcBorders/>
            <w:shd w:fill="0D3F6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David H. Wang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85" w:type="dxa"/>
            <w:tcBorders/>
            <w:vAlign w:val="center"/>
          </w:tcPr>
          <w:p>
            <w:pPr>
              <w:pStyle w:val="TableContents"/>
              <w:bidi w:val="0"/>
              <w:spacing w:before="0" w:after="283"/>
              <w:ind w:left="591" w:right="0" w:hanging="0"/>
              <w:jc w:val="left"/>
              <w:rPr>
                <w:rFonts w:ascii="Arial;Helvetica;sans-serif" w:hAnsi="Arial;Helvetica;sans-serif"/>
                <w:color w:val="4C4C4C"/>
                <w:sz w:val="20"/>
              </w:rPr>
            </w:pPr>
            <w:r>
              <w:rPr>
                <w:rFonts w:ascii="Arial;Helvetica;sans-serif" w:hAnsi="Arial;Helvetica;sans-serif"/>
                <w:color w:val="4C4C4C"/>
                <w:sz w:val="20"/>
              </w:rPr>
              <w:t>$256,212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85" w:type="dxa"/>
            <w:tcBorders/>
            <w:vAlign w:val="center"/>
          </w:tcPr>
          <w:p>
            <w:pPr>
              <w:pStyle w:val="TableContents"/>
              <w:bidi w:val="0"/>
              <w:spacing w:before="0" w:after="283"/>
              <w:ind w:left="591" w:right="0" w:hanging="0"/>
              <w:jc w:val="left"/>
              <w:rPr>
                <w:rFonts w:ascii="Arial;Helvetica;sans-serif" w:hAnsi="Arial;Helvetica;sans-serif"/>
                <w:color w:val="4C4C4C"/>
                <w:sz w:val="20"/>
              </w:rPr>
            </w:pPr>
            <w:r>
              <w:rPr>
                <w:rFonts w:ascii="Arial;Helvetica;sans-serif" w:hAnsi="Arial;Helvetica;sans-serif"/>
                <w:color w:val="4C4C4C"/>
                <w:sz w:val="20"/>
              </w:rPr>
              <w:t>$266,940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714" w:right="0" w:hanging="0"/>
              <w:jc w:val="left"/>
              <w:rPr>
                <w:rFonts w:ascii="Arial;Helvetica;sans-serif" w:hAnsi="Arial;Helvetica;sans-serif"/>
                <w:color w:val="4C4C4C"/>
                <w:sz w:val="20"/>
              </w:rPr>
            </w:pPr>
            <w:r>
              <w:rPr>
                <w:rFonts w:ascii="Arial;Helvetica;sans-serif" w:hAnsi="Arial;Helvetica;sans-serif"/>
                <w:color w:val="4C4C4C"/>
                <w:sz w:val="20"/>
              </w:rPr>
              <w:t>4.2%</w:t>
            </w:r>
          </w:p>
        </w:tc>
        <w:tc>
          <w:tcPr>
            <w:tcW w:w="215" w:type="dxa"/>
            <w:tcBorders/>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2000" w:type="dxa"/>
            <w:tcBorders/>
            <w:shd w:fill="BAE2F8" w:val="clear"/>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Mark McKechnie</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985" w:type="dxa"/>
            <w:tcBorders/>
            <w:shd w:fill="BAE2F8" w:val="clear"/>
            <w:vAlign w:val="center"/>
          </w:tcPr>
          <w:p>
            <w:pPr>
              <w:pStyle w:val="TableContents"/>
              <w:bidi w:val="0"/>
              <w:spacing w:before="0" w:after="283"/>
              <w:ind w:left="591" w:right="0" w:hanging="0"/>
              <w:jc w:val="left"/>
              <w:rPr>
                <w:rFonts w:ascii="Arial;Helvetica;sans-serif" w:hAnsi="Arial;Helvetica;sans-serif"/>
                <w:color w:val="4C4C4C"/>
                <w:sz w:val="20"/>
              </w:rPr>
            </w:pPr>
            <w:r>
              <w:rPr>
                <w:rFonts w:ascii="Arial;Helvetica;sans-serif" w:hAnsi="Arial;Helvetica;sans-serif"/>
                <w:color w:val="4C4C4C"/>
                <w:sz w:val="20"/>
              </w:rPr>
              <w:t>273,675</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985" w:type="dxa"/>
            <w:tcBorders/>
            <w:shd w:fill="BAE2F8" w:val="clear"/>
            <w:vAlign w:val="center"/>
          </w:tcPr>
          <w:p>
            <w:pPr>
              <w:pStyle w:val="TableContents"/>
              <w:bidi w:val="0"/>
              <w:spacing w:before="0" w:after="283"/>
              <w:ind w:left="591" w:right="0" w:hanging="0"/>
              <w:jc w:val="left"/>
              <w:rPr>
                <w:rFonts w:ascii="Arial;Helvetica;sans-serif" w:hAnsi="Arial;Helvetica;sans-serif"/>
                <w:color w:val="4C4C4C"/>
                <w:sz w:val="20"/>
              </w:rPr>
            </w:pPr>
            <w:r>
              <w:rPr>
                <w:rFonts w:ascii="Arial;Helvetica;sans-serif" w:hAnsi="Arial;Helvetica;sans-serif"/>
                <w:color w:val="4C4C4C"/>
                <w:sz w:val="20"/>
              </w:rPr>
              <w:t>280,350</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2240" w:type="dxa"/>
            <w:tcBorders/>
            <w:shd w:fill="BAE2F8" w:val="clear"/>
            <w:vAlign w:val="center"/>
          </w:tcPr>
          <w:p>
            <w:pPr>
              <w:pStyle w:val="TableContents"/>
              <w:bidi w:val="0"/>
              <w:spacing w:before="0" w:after="283"/>
              <w:ind w:left="714" w:right="0" w:hanging="0"/>
              <w:jc w:val="left"/>
              <w:rPr>
                <w:rFonts w:ascii="Arial;Helvetica;sans-serif" w:hAnsi="Arial;Helvetica;sans-serif"/>
                <w:color w:val="4C4C4C"/>
                <w:sz w:val="20"/>
              </w:rPr>
            </w:pPr>
            <w:r>
              <w:rPr>
                <w:rFonts w:ascii="Arial;Helvetica;sans-serif" w:hAnsi="Arial;Helvetica;sans-serif"/>
                <w:color w:val="4C4C4C"/>
                <w:sz w:val="20"/>
              </w:rPr>
              <w:t>2.4</w:t>
            </w:r>
          </w:p>
        </w:tc>
        <w:tc>
          <w:tcPr>
            <w:tcW w:w="215" w:type="dxa"/>
            <w:tcBorders/>
            <w:shd w:fill="BAE2F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Jian Wang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85" w:type="dxa"/>
            <w:tcBorders/>
            <w:vAlign w:val="center"/>
          </w:tcPr>
          <w:p>
            <w:pPr>
              <w:pStyle w:val="TableContents"/>
              <w:bidi w:val="0"/>
              <w:spacing w:before="0" w:after="283"/>
              <w:ind w:left="591" w:right="0" w:hanging="0"/>
              <w:jc w:val="left"/>
              <w:rPr>
                <w:rFonts w:ascii="Arial;Helvetica;sans-serif" w:hAnsi="Arial;Helvetica;sans-serif"/>
                <w:color w:val="4C4C4C"/>
                <w:sz w:val="20"/>
              </w:rPr>
            </w:pPr>
            <w:r>
              <w:rPr>
                <w:rFonts w:ascii="Arial;Helvetica;sans-serif" w:hAnsi="Arial;Helvetica;sans-serif"/>
                <w:color w:val="4C4C4C"/>
                <w:sz w:val="20"/>
              </w:rPr>
              <w:t>203,317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85" w:type="dxa"/>
            <w:tcBorders/>
            <w:vAlign w:val="center"/>
          </w:tcPr>
          <w:p>
            <w:pPr>
              <w:pStyle w:val="TableContents"/>
              <w:bidi w:val="0"/>
              <w:spacing w:before="0" w:after="283"/>
              <w:ind w:left="591" w:right="0" w:hanging="0"/>
              <w:jc w:val="left"/>
              <w:rPr>
                <w:rFonts w:ascii="Arial;Helvetica;sans-serif" w:hAnsi="Arial;Helvetica;sans-serif"/>
                <w:color w:val="4C4C4C"/>
                <w:sz w:val="20"/>
              </w:rPr>
            </w:pPr>
            <w:r>
              <w:rPr>
                <w:rFonts w:ascii="Arial;Helvetica;sans-serif" w:hAnsi="Arial;Helvetica;sans-serif"/>
                <w:color w:val="4C4C4C"/>
                <w:sz w:val="20"/>
              </w:rPr>
              <w:t>206,673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714" w:right="0" w:hanging="0"/>
              <w:jc w:val="left"/>
              <w:rPr>
                <w:rFonts w:ascii="Arial;Helvetica;sans-serif" w:hAnsi="Arial;Helvetica;sans-serif"/>
                <w:color w:val="4C4C4C"/>
                <w:sz w:val="20"/>
              </w:rPr>
            </w:pPr>
            <w:r>
              <w:rPr>
                <w:rFonts w:ascii="Arial;Helvetica;sans-serif" w:hAnsi="Arial;Helvetica;sans-serif"/>
                <w:color w:val="4C4C4C"/>
                <w:sz w:val="20"/>
              </w:rPr>
              <w:t>1.7</w:t>
            </w:r>
          </w:p>
        </w:tc>
        <w:tc>
          <w:tcPr>
            <w:tcW w:w="215" w:type="dxa"/>
            <w:tcBorders/>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2000" w:type="dxa"/>
            <w:tcBorders/>
            <w:shd w:fill="BAE2F8" w:val="clear"/>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Lisa Feng</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985" w:type="dxa"/>
            <w:tcBorders/>
            <w:shd w:fill="BAE2F8" w:val="clear"/>
            <w:vAlign w:val="center"/>
          </w:tcPr>
          <w:p>
            <w:pPr>
              <w:pStyle w:val="TableContents"/>
              <w:bidi w:val="0"/>
              <w:spacing w:before="0" w:after="283"/>
              <w:ind w:left="591" w:right="0" w:hanging="0"/>
              <w:jc w:val="left"/>
              <w:rPr>
                <w:rFonts w:ascii="Arial;Helvetica;sans-serif" w:hAnsi="Arial;Helvetica;sans-serif"/>
                <w:color w:val="4C4C4C"/>
                <w:sz w:val="20"/>
              </w:rPr>
            </w:pPr>
            <w:r>
              <w:rPr>
                <w:rFonts w:ascii="Arial;Helvetica;sans-serif" w:hAnsi="Arial;Helvetica;sans-serif"/>
                <w:color w:val="4C4C4C"/>
                <w:sz w:val="20"/>
              </w:rPr>
              <w:t>196,532</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985" w:type="dxa"/>
            <w:tcBorders/>
            <w:shd w:fill="BAE2F8" w:val="clear"/>
            <w:vAlign w:val="center"/>
          </w:tcPr>
          <w:p>
            <w:pPr>
              <w:pStyle w:val="TableContents"/>
              <w:bidi w:val="0"/>
              <w:spacing w:before="0" w:after="283"/>
              <w:ind w:left="591" w:right="0" w:hanging="0"/>
              <w:jc w:val="left"/>
              <w:rPr>
                <w:rFonts w:ascii="Arial;Helvetica;sans-serif" w:hAnsi="Arial;Helvetica;sans-serif"/>
                <w:color w:val="4C4C4C"/>
                <w:sz w:val="20"/>
              </w:rPr>
            </w:pPr>
            <w:r>
              <w:rPr>
                <w:rFonts w:ascii="Arial;Helvetica;sans-serif" w:hAnsi="Arial;Helvetica;sans-serif"/>
                <w:color w:val="4C4C4C"/>
                <w:sz w:val="20"/>
              </w:rPr>
              <w:t>201,641</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2240" w:type="dxa"/>
            <w:tcBorders/>
            <w:shd w:fill="BAE2F8" w:val="clear"/>
            <w:vAlign w:val="center"/>
          </w:tcPr>
          <w:p>
            <w:pPr>
              <w:pStyle w:val="TableContents"/>
              <w:bidi w:val="0"/>
              <w:spacing w:before="0" w:after="283"/>
              <w:ind w:left="714" w:right="0" w:hanging="0"/>
              <w:jc w:val="left"/>
              <w:rPr>
                <w:rFonts w:ascii="Arial;Helvetica;sans-serif" w:hAnsi="Arial;Helvetica;sans-serif"/>
                <w:color w:val="4C4C4C"/>
                <w:sz w:val="20"/>
              </w:rPr>
            </w:pPr>
            <w:r>
              <w:rPr>
                <w:rFonts w:ascii="Arial;Helvetica;sans-serif" w:hAnsi="Arial;Helvetica;sans-serif"/>
                <w:color w:val="4C4C4C"/>
                <w:sz w:val="20"/>
              </w:rPr>
              <w:t>2.6</w:t>
            </w:r>
          </w:p>
        </w:tc>
        <w:tc>
          <w:tcPr>
            <w:tcW w:w="215" w:type="dxa"/>
            <w:tcBorders/>
            <w:shd w:fill="BAE2F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Fuping Chen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85" w:type="dxa"/>
            <w:tcBorders/>
            <w:vAlign w:val="center"/>
          </w:tcPr>
          <w:p>
            <w:pPr>
              <w:pStyle w:val="TableContents"/>
              <w:bidi w:val="0"/>
              <w:spacing w:before="0" w:after="283"/>
              <w:ind w:left="591" w:right="0" w:hanging="0"/>
              <w:jc w:val="left"/>
              <w:rPr>
                <w:rFonts w:ascii="Arial;Helvetica;sans-serif" w:hAnsi="Arial;Helvetica;sans-serif"/>
                <w:color w:val="4C4C4C"/>
                <w:sz w:val="20"/>
              </w:rPr>
            </w:pPr>
            <w:r>
              <w:rPr>
                <w:rFonts w:ascii="Arial;Helvetica;sans-serif" w:hAnsi="Arial;Helvetica;sans-serif"/>
                <w:color w:val="4C4C4C"/>
                <w:sz w:val="20"/>
              </w:rPr>
              <w:t>157,845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85" w:type="dxa"/>
            <w:tcBorders/>
            <w:vAlign w:val="center"/>
          </w:tcPr>
          <w:p>
            <w:pPr>
              <w:pStyle w:val="TableContents"/>
              <w:bidi w:val="0"/>
              <w:spacing w:before="0" w:after="283"/>
              <w:ind w:left="591" w:right="0" w:hanging="0"/>
              <w:jc w:val="left"/>
              <w:rPr>
                <w:rFonts w:ascii="Arial;Helvetica;sans-serif" w:hAnsi="Arial;Helvetica;sans-serif"/>
                <w:color w:val="4C4C4C"/>
                <w:sz w:val="20"/>
              </w:rPr>
            </w:pPr>
            <w:r>
              <w:rPr>
                <w:rFonts w:ascii="Arial;Helvetica;sans-serif" w:hAnsi="Arial;Helvetica;sans-serif"/>
                <w:color w:val="4C4C4C"/>
                <w:sz w:val="20"/>
              </w:rPr>
              <w:t>164,468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714" w:right="0" w:hanging="0"/>
              <w:jc w:val="left"/>
              <w:rPr>
                <w:rFonts w:ascii="Arial;Helvetica;sans-serif" w:hAnsi="Arial;Helvetica;sans-serif"/>
                <w:color w:val="4C4C4C"/>
                <w:sz w:val="20"/>
              </w:rPr>
            </w:pPr>
            <w:r>
              <w:rPr>
                <w:rFonts w:ascii="Arial;Helvetica;sans-serif" w:hAnsi="Arial;Helvetica;sans-serif"/>
                <w:color w:val="4C4C4C"/>
                <w:sz w:val="20"/>
              </w:rPr>
              <w:t>4.2</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31</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5" w:name="ny20042784x1_def14a_113-executive_pg8"/>
        <w:bookmarkEnd w:id="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b/>
          <w:i/>
          <w:color w:val="0079C1"/>
          <w:sz w:val="20"/>
        </w:rPr>
      </w:pPr>
      <w:r>
        <w:rPr>
          <w:rFonts w:ascii="Arial;Helvetica;sans-serif" w:hAnsi="Arial;Helvetica;sans-serif"/>
          <w:b/>
          <w:i/>
          <w:color w:val="0079C1"/>
          <w:sz w:val="20"/>
        </w:rPr>
        <w:t>Annual Cash Bonus Program</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We do not have an established bonus policy for our NEOs. The compensation committee may decide, in its sole discretion, to reward NEOs with annual cash bonuses based on the totality of achievements in a given year, including achievement of individual NEO performance, our business performance, and achievement of specific business objectives, with no specific weighting assigned to any one factor. The program is designed to motivate our NEOs to focus on company priorities and to reward them for individual results and achievements. The company priorities did not have specific threshold, target, or maximum levels associated with them for purposes of determining performance under the program, and our compensation committee has full discretion to determine the level of bonus payout for each year based on the totality of circumstances for such year. Based on the Company’s revenue growth in 2024, improved operating margins, progress on new products, new customers and progress with global customers the compensation committee approved the following bonuses for 2024:</w:t>
      </w:r>
    </w:p>
    <w:tbl>
      <w:tblPr>
        <w:tblW w:w="4170" w:type="dxa"/>
        <w:jc w:val="left"/>
        <w:tblInd w:w="0" w:type="dxa"/>
        <w:tblLayout w:type="fixed"/>
        <w:tblCellMar>
          <w:top w:w="0" w:type="dxa"/>
          <w:left w:w="0" w:type="dxa"/>
          <w:bottom w:w="0" w:type="dxa"/>
          <w:right w:w="0" w:type="dxa"/>
        </w:tblCellMar>
      </w:tblPr>
      <w:tblGrid>
        <w:gridCol w:w="185"/>
        <w:gridCol w:w="2000"/>
        <w:gridCol w:w="170"/>
        <w:gridCol w:w="170"/>
        <w:gridCol w:w="1430"/>
        <w:gridCol w:w="215"/>
      </w:tblGrid>
      <w:tr>
        <w:trPr/>
        <w:tc>
          <w:tcPr>
            <w:tcW w:w="185" w:type="dxa"/>
            <w:tcBorders/>
            <w:shd w:fill="0D3F64" w:val="clear"/>
            <w:vAlign w:val="center"/>
          </w:tcPr>
          <w:p>
            <w:pPr>
              <w:pStyle w:val="TableContents"/>
              <w:bidi w:val="0"/>
              <w:spacing w:before="0" w:after="0"/>
              <w:jc w:val="left"/>
              <w:rPr/>
            </w:pPr>
            <w:r>
              <w:rPr/>
              <w:t> </w:t>
            </w:r>
          </w:p>
        </w:tc>
        <w:tc>
          <w:tcPr>
            <w:tcW w:w="200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430" w:type="dxa"/>
            <w:tcBorders/>
            <w:shd w:fill="0D3F64" w:val="clear"/>
            <w:vAlign w:val="center"/>
          </w:tcPr>
          <w:p>
            <w:pPr>
              <w:pStyle w:val="TableContents"/>
              <w:bidi w:val="0"/>
              <w:spacing w:before="0" w:after="0"/>
              <w:jc w:val="left"/>
              <w:rPr/>
            </w:pPr>
            <w:r>
              <w:rPr/>
              <w:t> </w:t>
            </w:r>
          </w:p>
        </w:tc>
        <w:tc>
          <w:tcPr>
            <w:tcW w:w="215" w:type="dxa"/>
            <w:tcBorders/>
            <w:shd w:fill="0D3F64" w:val="clear"/>
            <w:vAlign w:val="center"/>
          </w:tcPr>
          <w:p>
            <w:pPr>
              <w:pStyle w:val="TableContents"/>
              <w:bidi w:val="0"/>
              <w:spacing w:before="0" w:after="0"/>
              <w:jc w:val="left"/>
              <w:rPr/>
            </w:pPr>
            <w:r>
              <w:rPr/>
              <w:t> </w:t>
            </w:r>
          </w:p>
        </w:tc>
      </w:tr>
      <w:tr>
        <w:trPr/>
        <w:tc>
          <w:tcPr>
            <w:tcW w:w="185" w:type="dxa"/>
            <w:tcBorders/>
            <w:shd w:fill="0D3F64" w:val="clear"/>
            <w:vAlign w:val="center"/>
          </w:tcPr>
          <w:p>
            <w:pPr>
              <w:pStyle w:val="TableContents"/>
              <w:bidi w:val="0"/>
              <w:spacing w:before="0" w:after="0"/>
              <w:jc w:val="left"/>
              <w:rPr/>
            </w:pPr>
            <w:r>
              <w:rPr/>
              <w:t> </w:t>
            </w:r>
          </w:p>
        </w:tc>
        <w:tc>
          <w:tcPr>
            <w:tcW w:w="2000" w:type="dxa"/>
            <w:tcBorders/>
            <w:shd w:fill="0D3F64" w:val="clear"/>
            <w:vAlign w:val="center"/>
          </w:tcPr>
          <w:p>
            <w:pPr>
              <w:pStyle w:val="TableContents"/>
              <w:bidi w:val="0"/>
              <w:spacing w:before="20" w:after="283"/>
              <w:ind w:left="20" w:right="0" w:hanging="0"/>
              <w:jc w:val="left"/>
              <w:rPr>
                <w:rFonts w:ascii="Arial;Helvetica;sans-serif" w:hAnsi="Arial;Helvetica;sans-serif"/>
                <w:b/>
                <w:color w:val="FFFFFF"/>
                <w:sz w:val="16"/>
              </w:rPr>
            </w:pPr>
            <w:r>
              <w:rPr>
                <w:rFonts w:ascii="Arial;Helvetica;sans-serif" w:hAnsi="Arial;Helvetica;sans-serif"/>
                <w:b/>
                <w:color w:val="FFFFFF"/>
                <w:sz w:val="16"/>
              </w:rPr>
              <w:t>Named Executive Officer</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430"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2024 Cash Bonus</w:t>
            </w:r>
          </w:p>
        </w:tc>
        <w:tc>
          <w:tcPr>
            <w:tcW w:w="215" w:type="dxa"/>
            <w:tcBorders/>
            <w:shd w:fill="0D3F6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David H. Wang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561" w:right="0" w:hanging="0"/>
              <w:jc w:val="left"/>
              <w:rPr>
                <w:rFonts w:ascii="Arial;Helvetica;sans-serif" w:hAnsi="Arial;Helvetica;sans-serif"/>
                <w:color w:val="4C4C4C"/>
                <w:sz w:val="20"/>
              </w:rPr>
            </w:pPr>
            <w:r>
              <w:rPr>
                <w:rFonts w:ascii="Arial;Helvetica;sans-serif" w:hAnsi="Arial;Helvetica;sans-serif"/>
                <w:color w:val="4C4C4C"/>
                <w:sz w:val="20"/>
              </w:rPr>
              <w:t>$227,448</w:t>
            </w:r>
          </w:p>
        </w:tc>
        <w:tc>
          <w:tcPr>
            <w:tcW w:w="215" w:type="dxa"/>
            <w:tcBorders/>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2000" w:type="dxa"/>
            <w:tcBorders/>
            <w:shd w:fill="BAE2F8" w:val="clear"/>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Mark McKechnie</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430" w:type="dxa"/>
            <w:tcBorders/>
            <w:shd w:fill="BAE2F8" w:val="clear"/>
            <w:vAlign w:val="center"/>
          </w:tcPr>
          <w:p>
            <w:pPr>
              <w:pStyle w:val="TableContents"/>
              <w:bidi w:val="0"/>
              <w:spacing w:before="0" w:after="283"/>
              <w:ind w:left="561" w:right="0" w:hanging="0"/>
              <w:jc w:val="left"/>
              <w:rPr>
                <w:rFonts w:ascii="Arial;Helvetica;sans-serif" w:hAnsi="Arial;Helvetica;sans-serif"/>
                <w:color w:val="4C4C4C"/>
                <w:sz w:val="20"/>
              </w:rPr>
            </w:pPr>
            <w:r>
              <w:rPr>
                <w:rFonts w:ascii="Arial;Helvetica;sans-serif" w:hAnsi="Arial;Helvetica;sans-serif"/>
                <w:color w:val="4C4C4C"/>
                <w:sz w:val="20"/>
              </w:rPr>
              <w:t>100,000</w:t>
            </w:r>
          </w:p>
        </w:tc>
        <w:tc>
          <w:tcPr>
            <w:tcW w:w="215" w:type="dxa"/>
            <w:tcBorders/>
            <w:shd w:fill="BAE2F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Jian Wang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561" w:right="0" w:hanging="0"/>
              <w:jc w:val="left"/>
              <w:rPr>
                <w:rFonts w:ascii="Arial;Helvetica;sans-serif" w:hAnsi="Arial;Helvetica;sans-serif"/>
                <w:color w:val="4C4C4C"/>
                <w:sz w:val="20"/>
              </w:rPr>
            </w:pPr>
            <w:r>
              <w:rPr>
                <w:rFonts w:ascii="Arial;Helvetica;sans-serif" w:hAnsi="Arial;Helvetica;sans-serif"/>
                <w:color w:val="4C4C4C"/>
                <w:sz w:val="20"/>
              </w:rPr>
              <w:t>189,540</w:t>
            </w:r>
          </w:p>
        </w:tc>
        <w:tc>
          <w:tcPr>
            <w:tcW w:w="215" w:type="dxa"/>
            <w:tcBorders/>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2000" w:type="dxa"/>
            <w:tcBorders/>
            <w:shd w:fill="BAE2F8" w:val="clear"/>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Lisa Feng</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430" w:type="dxa"/>
            <w:tcBorders/>
            <w:shd w:fill="BAE2F8" w:val="clear"/>
            <w:vAlign w:val="center"/>
          </w:tcPr>
          <w:p>
            <w:pPr>
              <w:pStyle w:val="TableContents"/>
              <w:bidi w:val="0"/>
              <w:spacing w:before="0" w:after="283"/>
              <w:ind w:left="561" w:right="0" w:hanging="0"/>
              <w:jc w:val="left"/>
              <w:rPr>
                <w:rFonts w:ascii="Arial;Helvetica;sans-serif" w:hAnsi="Arial;Helvetica;sans-serif"/>
                <w:color w:val="4C4C4C"/>
                <w:sz w:val="20"/>
              </w:rPr>
            </w:pPr>
            <w:r>
              <w:rPr>
                <w:rFonts w:ascii="Arial;Helvetica;sans-serif" w:hAnsi="Arial;Helvetica;sans-serif"/>
                <w:color w:val="4C4C4C"/>
                <w:sz w:val="20"/>
              </w:rPr>
              <w:t>106,704</w:t>
            </w:r>
          </w:p>
        </w:tc>
        <w:tc>
          <w:tcPr>
            <w:tcW w:w="215" w:type="dxa"/>
            <w:tcBorders/>
            <w:shd w:fill="BAE2F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Fuping Chen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561" w:right="0" w:hanging="0"/>
              <w:jc w:val="left"/>
              <w:rPr>
                <w:rFonts w:ascii="Arial;Helvetica;sans-serif" w:hAnsi="Arial;Helvetica;sans-serif"/>
                <w:color w:val="4C4C4C"/>
                <w:sz w:val="20"/>
              </w:rPr>
            </w:pPr>
            <w:r>
              <w:rPr>
                <w:rFonts w:ascii="Arial;Helvetica;sans-serif" w:hAnsi="Arial;Helvetica;sans-serif"/>
                <w:color w:val="4C4C4C"/>
                <w:sz w:val="20"/>
              </w:rPr>
              <w:t>182,520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200" w:after="283"/>
        <w:ind w:left="0" w:right="0" w:hanging="0"/>
        <w:jc w:val="left"/>
        <w:rPr>
          <w:rFonts w:ascii="Arial;Helvetica;sans-serif" w:hAnsi="Arial;Helvetica;sans-serif"/>
          <w:b/>
          <w:i/>
          <w:color w:val="0079C1"/>
          <w:sz w:val="20"/>
        </w:rPr>
      </w:pPr>
      <w:r>
        <w:rPr>
          <w:rFonts w:ascii="Arial;Helvetica;sans-serif" w:hAnsi="Arial;Helvetica;sans-serif"/>
          <w:b/>
          <w:i/>
          <w:color w:val="0079C1"/>
          <w:sz w:val="20"/>
        </w:rPr>
        <w:t>Long-Term Incentive Program</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Historically we have not typically granted stock options to NEOs on an annual basis. From time to time, however, we grant stock options, when appropriate, as the long-term incentive component of our compensation program. Our stock options allow our employees to purchase covered shares at a price equal to the fair market value on the date of grant. Stock options motivate the NEOs to drive stock price performance, since the NEO can only realize the value of the options if our stock price increases above the exercise price. We believe that incorporating stock price growth as part of our long-term equity award design further aligns our executives’ and stockholders’ interests. Stock options create a meaningful foundation of outstanding long-term equity incentives aligned with the long-term interests of our stockholders. </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We grant our NEOs stock options covering shares of ACM Research and ACM Shanghai to incentivize value creation across our entire operations. The compensation committee typically grants equity awards to NEOs during a regularly schedule meeting. However, the timing of this approval may be changed in the event of extraordinary circumstances, including in connection with mid-year promotions and new-hires. The company does not take material nonpublic information into account when determining the timing and terms of awards, nor does the company time the disclosure of material nonpublic information for the purpose of affecting the value of executive compensation.</w:t>
      </w:r>
    </w:p>
    <w:p>
      <w:pPr>
        <w:pStyle w:val="TextBody"/>
        <w:bidi w:val="0"/>
        <w:spacing w:before="240" w:after="283"/>
        <w:ind w:left="0" w:right="0" w:hanging="0"/>
        <w:jc w:val="left"/>
        <w:rPr>
          <w:rFonts w:ascii="Arial;Helvetica;sans-serif" w:hAnsi="Arial;Helvetica;sans-serif"/>
          <w:color w:val="4C4C4C"/>
          <w:sz w:val="20"/>
        </w:rPr>
      </w:pPr>
      <w:r>
        <w:rPr>
          <w:rFonts w:ascii="Arial;Helvetica;sans-serif" w:hAnsi="Arial;Helvetica;sans-serif"/>
          <w:color w:val="4C4C4C"/>
          <w:sz w:val="20"/>
        </w:rPr>
        <w:t>During 2024, we did not grant stock options to any of our NEOs.</w:t>
      </w:r>
    </w:p>
    <w:p>
      <w:pPr>
        <w:pStyle w:val="TextBody"/>
        <w:bidi w:val="0"/>
        <w:spacing w:before="240" w:after="283"/>
        <w:ind w:left="0" w:right="0" w:hanging="0"/>
        <w:jc w:val="left"/>
        <w:rPr>
          <w:rFonts w:ascii="Arial;Helvetica;sans-serif" w:hAnsi="Arial;Helvetica;sans-serif"/>
          <w:b/>
          <w:i/>
          <w:color w:val="0079C1"/>
          <w:sz w:val="20"/>
        </w:rPr>
      </w:pPr>
      <w:r>
        <w:rPr>
          <w:rFonts w:ascii="Arial;Helvetica;sans-serif" w:hAnsi="Arial;Helvetica;sans-serif"/>
          <w:b/>
          <w:i/>
          <w:color w:val="0079C1"/>
          <w:sz w:val="20"/>
        </w:rPr>
        <w:t>Hedging and Pledging Prohibitions</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Under our Restated Insider Trading Policy, all employees, including our NEOs, as well as their family members, may not hedge or pledge any ACM securities that they hold directly. An exception to this prohibition may be granted where a person wishes to pledge ACM securities as collateral for a loan (not including margin debt) and clearly demonstrates the financial capacity to repay the loan without resort to the pledged securities. Any employee (including each NEO), as well as their family members, who wishes to pledge ACM securities as collateral for a loan must submit a request for approval to the chief financial officer at least two weeks prior to the proposed execution of documents evidencing the proposed pledge, except that any proposed pledge by the chief financial officer must be submitted to and either approved or prohibited by the chief executive officer.</w:t>
      </w:r>
    </w:p>
    <w:p>
      <w:pPr>
        <w:pStyle w:val="TextBody"/>
        <w:bidi w:val="0"/>
        <w:spacing w:before="240" w:after="283"/>
        <w:ind w:left="0" w:right="0" w:hanging="0"/>
        <w:jc w:val="left"/>
        <w:rPr>
          <w:rFonts w:ascii="Arial;Helvetica;sans-serif" w:hAnsi="Arial;Helvetica;sans-serif"/>
          <w:b/>
          <w:i/>
          <w:color w:val="0079C1"/>
          <w:sz w:val="20"/>
        </w:rPr>
      </w:pPr>
      <w:r>
        <w:rPr>
          <w:rFonts w:ascii="Arial;Helvetica;sans-serif" w:hAnsi="Arial;Helvetica;sans-serif"/>
          <w:b/>
          <w:i/>
          <w:color w:val="0079C1"/>
          <w:sz w:val="20"/>
        </w:rPr>
        <w:t>Clawbacks</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As required by the Dodd-Frank Act, in 2023 we adopted a clawback policy which requires that certain incentive compensation paid to any current or former executive officer, including our NEOs, will be subject to recoupment if (x) the incentive compensation was calculated based on financial statements that were required to be restated due to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32</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6" w:name="ny20042784x1_def14a_113-executive_pg9"/>
        <w:bookmarkEnd w:id="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color w:val="4C4C4C"/>
          <w:sz w:val="20"/>
        </w:rPr>
      </w:pPr>
      <w:r>
        <w:rPr>
          <w:rFonts w:ascii="Arial;Helvetica;sans-serif" w:hAnsi="Arial;Helvetica;sans-serif"/>
          <w:color w:val="4C4C4C"/>
          <w:sz w:val="20"/>
        </w:rPr>
        <w:t>material noncompliance with financial reporting requirements, without regard to any fault or misconduct, and (y) that noncompliance resulted in overpayment of the incentive compensation within the three fiscal years preceding the fiscal year in which the restatement was required. Incentive compensation subject to the clawback policy consists of compensation that is granted, earned or vested based wholly or in part upon the attainment of a financial reporting measure (as defined in the rules implementing such requirement), including stock price and total shareholder return, on and after October 2, 2023.</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In addition, our CEO and CFO are subject to the clawback provision of the Sarbanes-Oxley Act of 2002, which generally requires that they reimburse the Company for any incentive- or equity-based compensation that they receive within the 12-month period following the public issuance of financial information if there is an accounting restatement because of material noncompliance, as a result of misconduct, with any financial reporting requirement under the federal securities laws.</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Under our 2016 Omnibus Incentive Plan, all awards, amounts or benefits received or outstanding under the plan are subject to clawback, cancellation, recoupment, rescission, payback, reduction or other similar action in accordance with the terms of any clawback or similar policy we may adopt, or any applicable law related to such actions, as may be in effect from time to time. </w:t>
      </w:r>
    </w:p>
    <w:p>
      <w:pPr>
        <w:pStyle w:val="TextBody"/>
        <w:bidi w:val="0"/>
        <w:spacing w:before="240" w:after="283"/>
        <w:ind w:left="0" w:right="0" w:hanging="0"/>
        <w:jc w:val="left"/>
        <w:rPr>
          <w:rFonts w:ascii="Arial;Helvetica;sans-serif" w:hAnsi="Arial;Helvetica;sans-serif"/>
          <w:b/>
          <w:i/>
          <w:color w:val="0079C1"/>
          <w:sz w:val="20"/>
        </w:rPr>
      </w:pPr>
      <w:r>
        <w:rPr>
          <w:rFonts w:ascii="Arial;Helvetica;sans-serif" w:hAnsi="Arial;Helvetica;sans-serif"/>
          <w:b/>
          <w:i/>
          <w:color w:val="0079C1"/>
          <w:sz w:val="20"/>
        </w:rPr>
        <w:t>Other Benefits</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Our PRC-based NEOs, which include all NEOs except U.S.-based Mark McKechnie, are generally eligible to participate in our health and welfare programs and retirement plans on the same basis as other PRC employees.</w:t>
      </w:r>
    </w:p>
    <w:p>
      <w:pPr>
        <w:pStyle w:val="TextBody"/>
        <w:bidi w:val="0"/>
        <w:spacing w:before="240" w:after="283"/>
        <w:ind w:left="0" w:right="0" w:hanging="0"/>
        <w:jc w:val="left"/>
        <w:rPr>
          <w:rFonts w:ascii="Arial;Helvetica;sans-serif" w:hAnsi="Arial;Helvetica;sans-serif"/>
          <w:b/>
          <w:i/>
          <w:color w:val="0079C1"/>
          <w:sz w:val="20"/>
        </w:rPr>
      </w:pPr>
      <w:r>
        <w:rPr>
          <w:rFonts w:ascii="Arial;Helvetica;sans-serif" w:hAnsi="Arial;Helvetica;sans-serif"/>
          <w:b/>
          <w:i/>
          <w:color w:val="0079C1"/>
          <w:sz w:val="20"/>
        </w:rPr>
        <w:t>Perquisites</w:t>
      </w:r>
    </w:p>
    <w:p>
      <w:pPr>
        <w:pStyle w:val="TextBody"/>
        <w:bidi w:val="0"/>
        <w:spacing w:before="220" w:after="283"/>
        <w:ind w:left="0" w:right="0" w:hanging="0"/>
        <w:jc w:val="left"/>
        <w:rPr>
          <w:rFonts w:ascii="Arial;Helvetica;sans-serif" w:hAnsi="Arial;Helvetica;sans-serif"/>
          <w:color w:val="4C4C4C"/>
          <w:sz w:val="20"/>
        </w:rPr>
      </w:pPr>
      <w:r>
        <w:rPr>
          <w:rFonts w:ascii="Arial;Helvetica;sans-serif" w:hAnsi="Arial;Helvetica;sans-serif"/>
          <w:color w:val="4C4C4C"/>
          <w:sz w:val="20"/>
        </w:rPr>
        <w:t>We do not provide significant perquisites.</w:t>
      </w:r>
    </w:p>
    <w:p>
      <w:pPr>
        <w:pStyle w:val="TextBody"/>
        <w:bidi w:val="0"/>
        <w:spacing w:before="240" w:after="283"/>
        <w:ind w:left="0" w:right="0" w:hanging="0"/>
        <w:jc w:val="left"/>
        <w:rPr>
          <w:rFonts w:ascii="Arial;Helvetica;sans-serif" w:hAnsi="Arial;Helvetica;sans-serif"/>
          <w:b/>
          <w:i/>
          <w:color w:val="0079C1"/>
          <w:sz w:val="20"/>
        </w:rPr>
      </w:pPr>
      <w:r>
        <w:rPr>
          <w:rFonts w:ascii="Arial;Helvetica;sans-serif" w:hAnsi="Arial;Helvetica;sans-serif"/>
          <w:b/>
          <w:i/>
          <w:color w:val="0079C1"/>
          <w:sz w:val="20"/>
        </w:rPr>
        <w:t>Employment Agreements</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We enter into employment agreements with our employees located principally in the PRC, including all of our NEOs other than U.S.-based NEO Mr. McKechnie, that contain an employment term and other statutorily required terms and conditions but do not include compensatory terms. In addition, ACM Shanghai was a party to an employment agreement with Ms. Feng that was entered into as of September 25, 2022 and has a duration through September 24, 2025. The agreement contains provisions with respect to base salary and annual bonus eligibility We have not entered into an employment agreement with Mr. McKechnie.</w:t>
      </w:r>
    </w:p>
    <w:p>
      <w:pPr>
        <w:pStyle w:val="TextBody"/>
        <w:bidi w:val="0"/>
        <w:spacing w:before="240" w:after="283"/>
        <w:ind w:left="0" w:right="0" w:hanging="0"/>
        <w:jc w:val="left"/>
        <w:rPr>
          <w:rFonts w:ascii="Arial;Helvetica;sans-serif" w:hAnsi="Arial;Helvetica;sans-serif"/>
          <w:b/>
          <w:i/>
          <w:color w:val="0079C1"/>
          <w:sz w:val="20"/>
        </w:rPr>
      </w:pPr>
      <w:r>
        <w:rPr>
          <w:rFonts w:ascii="Arial;Helvetica;sans-serif" w:hAnsi="Arial;Helvetica;sans-serif"/>
          <w:b/>
          <w:i/>
          <w:color w:val="0079C1"/>
          <w:sz w:val="20"/>
        </w:rPr>
        <w:t>Potential Payments Upon Termination or Change in Control</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Our option awards granted under our 2016 Omnibus Incentive Plan to employees, including NEOs, provide for acceleration upon a change in control, excluding the performance-based stock option granted to David Wang on March 20, 2020. Except for those option arrangements, none of our NEOs is party to a currently effective contract or other arrangement that provides for the acceleration or payment of any benefits in the event of a change in control of our company or the termination of the NEO’s employment, whether or not the termination occurs within a specified time period after the occurrence of a change in control.</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NEOs based in the PRC, who include all NEOs other than U.S.-based Mark McKechnie, may be entitled to statutory severance as required by applicable law. </w:t>
      </w:r>
    </w:p>
    <w:p>
      <w:pPr>
        <w:pStyle w:val="TextBody"/>
        <w:bidi w:val="0"/>
        <w:spacing w:before="280" w:after="283"/>
        <w:ind w:left="0" w:right="0" w:hanging="0"/>
        <w:jc w:val="left"/>
        <w:rPr>
          <w:rFonts w:ascii="Arial;Helvetica;sans-serif" w:hAnsi="Arial;Helvetica;sans-serif"/>
          <w:b/>
          <w:color w:val="0079C1"/>
          <w:sz w:val="24"/>
        </w:rPr>
      </w:pPr>
      <w:r>
        <w:rPr>
          <w:rFonts w:ascii="Arial;Helvetica;sans-serif" w:hAnsi="Arial;Helvetica;sans-serif"/>
          <w:b/>
          <w:color w:val="0079C1"/>
          <w:sz w:val="24"/>
        </w:rPr>
        <w:t>Internal Revenue Code Section 162(m) Considerations</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Section 162(m) of the Internal Revenue Code generally places a $1 million annual deduction limit on compensation paid to “covered employees,” which includes our NEOs. Our compensation committee makes compensation decisions based on our guiding compensation principles and the interests of our shareholders, even if such compensation is non-deductible by us.</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33</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7" w:name="ny20042784x1_def14a_113-executive_pg10"/>
        <w:bookmarkEnd w:id="67"/>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079C1"/>
          <w:sz w:val="24"/>
        </w:rPr>
      </w:pPr>
      <w:r>
        <w:rPr>
          <w:rFonts w:ascii="Arial;Helvetica;sans-serif" w:hAnsi="Arial;Helvetica;sans-serif"/>
          <w:b/>
          <w:color w:val="0079C1"/>
          <w:sz w:val="24"/>
        </w:rPr>
        <w:t>Internal Revenue Code Sections 280G and 409A Considerations</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We have not provided or committed to provide any NEO with a gross-up or other reimbursement for tax amounts the executive might pay pursuant to Section 280G or Section 409A of the Internal Revenue Code. Section 280G and related sections of the Internal Revenue Code provide that an executive officer and certain persons who hold significant stockholder interests and certain other service providers could be subject to significant additional taxes if they receive payments or benefits in connection with a change in control that exceeds certain limits, and that we or our successor could lose a deduction on the amounts subject to the additional tax. Section 409A also imposes additional significant taxes on the individual in the event that an executive officer, director or service provider of certain types receives “deferred compensation” that does not meet the requirements of Section 409A.</w:t>
      </w:r>
    </w:p>
    <w:p>
      <w:pPr>
        <w:pStyle w:val="TextBody"/>
        <w:bidi w:val="0"/>
        <w:spacing w:before="280" w:after="283"/>
        <w:ind w:left="0" w:right="0" w:hanging="0"/>
        <w:jc w:val="left"/>
        <w:rPr>
          <w:rFonts w:ascii="Arial;Helvetica;sans-serif" w:hAnsi="Arial;Helvetica;sans-serif"/>
          <w:b/>
          <w:color w:val="0079C1"/>
          <w:sz w:val="24"/>
        </w:rPr>
      </w:pPr>
      <w:r>
        <w:rPr>
          <w:rFonts w:ascii="Arial;Helvetica;sans-serif" w:hAnsi="Arial;Helvetica;sans-serif"/>
          <w:b/>
          <w:color w:val="0079C1"/>
          <w:sz w:val="24"/>
        </w:rPr>
        <w:t>Accounting for Stock-Based Compensation</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We follow the Financial Accounting Standard Board’s Accounting Standards Codification Topic 718 for our stock-based compensation awards, which requires us to measure the compensation expense for all share-based awards made to our employees and members of our Board, based on the grant date “fair value” of these awards. This calculation is performed for accounting purposes and reported in the executive compensation tables required by the federal securities laws, even though the recipient of the awards may realize no value from their awards.</w:t>
      </w:r>
    </w:p>
    <w:p>
      <w:pPr>
        <w:pStyle w:val="TextBody"/>
        <w:bidi w:val="0"/>
        <w:spacing w:before="280" w:after="283"/>
        <w:ind w:left="0" w:right="0" w:hanging="0"/>
        <w:jc w:val="left"/>
        <w:rPr>
          <w:rFonts w:ascii="Arial;Helvetica;sans-serif" w:hAnsi="Arial;Helvetica;sans-serif"/>
          <w:b/>
          <w:color w:val="0079C1"/>
          <w:sz w:val="24"/>
        </w:rPr>
      </w:pPr>
      <w:r>
        <w:rPr>
          <w:rFonts w:ascii="Arial;Helvetica;sans-serif" w:hAnsi="Arial;Helvetica;sans-serif"/>
          <w:b/>
          <w:color w:val="0079C1"/>
          <w:sz w:val="24"/>
        </w:rPr>
        <w:t>Report of the Compensation Committee</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compensation committee of the board of directors has reviewed and discussed with management the section entitled “Compensation Discussion and Analysis” required by Item 402(b) of Regulation S-K and, based on such review and discussions, the compensation committee has recommended to the board that the section entitled “Compensation Discussion and Analysis” be included in this Proxy Statement and incorporated by reference into the Annual Report on Form 10-K of ACM Research, Inc. for the fiscal year ended December 31, 2024.</w:t>
      </w:r>
    </w:p>
    <w:p>
      <w:pPr>
        <w:pStyle w:val="TextBody"/>
        <w:bidi w:val="0"/>
        <w:spacing w:before="240" w:after="283"/>
        <w:ind w:left="0" w:right="0" w:hanging="0"/>
        <w:jc w:val="left"/>
        <w:rPr>
          <w:rFonts w:ascii="Arial;Helvetica;sans-serif" w:hAnsi="Arial;Helvetica;sans-serif"/>
          <w:color w:val="4C4C4C"/>
          <w:sz w:val="20"/>
        </w:rPr>
      </w:pPr>
      <w:r>
        <w:rPr>
          <w:rFonts w:ascii="Arial;Helvetica;sans-serif" w:hAnsi="Arial;Helvetica;sans-serif"/>
          <w:color w:val="4C4C4C"/>
          <w:sz w:val="20"/>
        </w:rPr>
        <w:t>Respectfully submitted by the members of the Compensation Committee:</w:t>
      </w:r>
    </w:p>
    <w:p>
      <w:pPr>
        <w:pStyle w:val="TextBody"/>
        <w:bidi w:val="0"/>
        <w:spacing w:before="240" w:after="283"/>
        <w:ind w:left="0" w:right="0" w:hanging="0"/>
        <w:jc w:val="left"/>
        <w:rPr>
          <w:rFonts w:ascii="Arial;Helvetica;sans-serif" w:hAnsi="Arial;Helvetica;sans-serif"/>
          <w:color w:val="4C4C4C"/>
          <w:sz w:val="20"/>
        </w:rPr>
      </w:pPr>
      <w:r>
        <w:rPr>
          <w:rFonts w:ascii="Arial;Helvetica;sans-serif" w:hAnsi="Arial;Helvetica;sans-serif"/>
          <w:color w:val="4C4C4C"/>
          <w:sz w:val="20"/>
        </w:rPr>
        <w:t>Haiping Dun (Chair)</w:t>
      </w:r>
    </w:p>
    <w:p>
      <w:pPr>
        <w:pStyle w:val="TextBody"/>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Tracy Liu</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34</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8" w:name="ny20042784x1_def14a_114-comp_pg1"/>
        <w:bookmarkEnd w:id="68"/>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Arial;Helvetica;sans-serif" w:hAnsi="Arial;Helvetica;sans-serif"/>
          <w:b/>
          <w:color w:val="0D3F64"/>
          <w:sz w:val="28"/>
        </w:rPr>
      </w:pPr>
      <w:bookmarkStart w:id="69" w:name="tEC"/>
      <w:bookmarkEnd w:id="69"/>
      <w:r>
        <w:rPr>
          <w:rFonts w:ascii="Arial;Helvetica;sans-serif" w:hAnsi="Arial;Helvetica;sans-serif"/>
          <w:b/>
          <w:color w:val="0D3F64"/>
          <w:sz w:val="28"/>
        </w:rPr>
        <w:t>Executive Compensation</w:t>
      </w:r>
    </w:p>
    <w:p>
      <w:pPr>
        <w:pStyle w:val="TextBody"/>
        <w:bidi w:val="0"/>
        <w:spacing w:before="420" w:after="283"/>
        <w:ind w:left="0" w:right="0" w:hanging="0"/>
        <w:jc w:val="left"/>
        <w:rPr>
          <w:rFonts w:ascii="Arial;Helvetica;sans-serif" w:hAnsi="Arial;Helvetica;sans-serif"/>
          <w:b/>
          <w:color w:val="0079C1"/>
          <w:sz w:val="24"/>
        </w:rPr>
      </w:pPr>
      <w:bookmarkStart w:id="70" w:name="tCT"/>
      <w:bookmarkEnd w:id="70"/>
      <w:r>
        <w:rPr>
          <w:rFonts w:ascii="Arial;Helvetica;sans-serif" w:hAnsi="Arial;Helvetica;sans-serif"/>
          <w:b/>
          <w:color w:val="0079C1"/>
          <w:sz w:val="24"/>
        </w:rPr>
        <w:t>Summary Compensation Table</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The following table provides information concerning the compensation paid to our NEOs, who consist of our Chief Executive Officer and President, David H. Wang, our Chief Financial Officer, Treasurer and Secretary, Mark McKechnie, and our three next most highly compensated executive officers during 2024 who were serving as executive officers at the end of 2024, Jian Wang, Lisa Feng and Fuping Chen. </w:t>
      </w:r>
    </w:p>
    <w:tbl>
      <w:tblPr>
        <w:tblW w:w="10205" w:type="dxa"/>
        <w:jc w:val="left"/>
        <w:tblInd w:w="0" w:type="dxa"/>
        <w:tblLayout w:type="fixed"/>
        <w:tblCellMar>
          <w:top w:w="0" w:type="dxa"/>
          <w:left w:w="0" w:type="dxa"/>
          <w:bottom w:w="0" w:type="dxa"/>
          <w:right w:w="0" w:type="dxa"/>
        </w:tblCellMar>
      </w:tblPr>
      <w:tblGrid>
        <w:gridCol w:w="185"/>
        <w:gridCol w:w="2165"/>
        <w:gridCol w:w="170"/>
        <w:gridCol w:w="170"/>
        <w:gridCol w:w="470"/>
        <w:gridCol w:w="170"/>
        <w:gridCol w:w="170"/>
        <w:gridCol w:w="845"/>
        <w:gridCol w:w="170"/>
        <w:gridCol w:w="170"/>
        <w:gridCol w:w="845"/>
        <w:gridCol w:w="170"/>
        <w:gridCol w:w="170"/>
        <w:gridCol w:w="1188"/>
        <w:gridCol w:w="170"/>
        <w:gridCol w:w="170"/>
        <w:gridCol w:w="1241"/>
        <w:gridCol w:w="170"/>
        <w:gridCol w:w="170"/>
        <w:gridCol w:w="1010"/>
        <w:gridCol w:w="216"/>
      </w:tblGrid>
      <w:tr>
        <w:trPr/>
        <w:tc>
          <w:tcPr>
            <w:tcW w:w="185" w:type="dxa"/>
            <w:tcBorders/>
            <w:shd w:fill="0D3F64" w:val="clear"/>
            <w:vAlign w:val="center"/>
          </w:tcPr>
          <w:p>
            <w:pPr>
              <w:pStyle w:val="TableContents"/>
              <w:bidi w:val="0"/>
              <w:spacing w:before="0" w:after="0"/>
              <w:jc w:val="left"/>
              <w:rPr/>
            </w:pPr>
            <w:r>
              <w:rPr/>
              <w:t> </w:t>
            </w:r>
          </w:p>
        </w:tc>
        <w:tc>
          <w:tcPr>
            <w:tcW w:w="2165"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4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845"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845"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188"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241"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010" w:type="dxa"/>
            <w:tcBorders/>
            <w:shd w:fill="0D3F64" w:val="clear"/>
            <w:vAlign w:val="center"/>
          </w:tcPr>
          <w:p>
            <w:pPr>
              <w:pStyle w:val="TableContents"/>
              <w:bidi w:val="0"/>
              <w:spacing w:before="0" w:after="0"/>
              <w:jc w:val="left"/>
              <w:rPr/>
            </w:pPr>
            <w:r>
              <w:rPr/>
              <w:t> </w:t>
            </w:r>
          </w:p>
        </w:tc>
        <w:tc>
          <w:tcPr>
            <w:tcW w:w="216" w:type="dxa"/>
            <w:tcBorders/>
            <w:shd w:fill="0D3F64" w:val="clear"/>
            <w:vAlign w:val="center"/>
          </w:tcPr>
          <w:p>
            <w:pPr>
              <w:pStyle w:val="TableContents"/>
              <w:bidi w:val="0"/>
              <w:spacing w:before="0" w:after="0"/>
              <w:jc w:val="left"/>
              <w:rPr/>
            </w:pPr>
            <w:r>
              <w:rPr/>
              <w:t> </w:t>
            </w:r>
          </w:p>
        </w:tc>
      </w:tr>
      <w:tr>
        <w:trPr/>
        <w:tc>
          <w:tcPr>
            <w:tcW w:w="185" w:type="dxa"/>
            <w:tcBorders/>
            <w:shd w:fill="0D3F64" w:val="clear"/>
            <w:vAlign w:val="center"/>
          </w:tcPr>
          <w:p>
            <w:pPr>
              <w:pStyle w:val="TableContents"/>
              <w:bidi w:val="0"/>
              <w:spacing w:before="0" w:after="0"/>
              <w:jc w:val="left"/>
              <w:rPr/>
            </w:pPr>
            <w:r>
              <w:rPr/>
              <w:t> </w:t>
            </w:r>
          </w:p>
        </w:tc>
        <w:tc>
          <w:tcPr>
            <w:tcW w:w="2165" w:type="dxa"/>
            <w:tcBorders/>
            <w:shd w:fill="0D3F64" w:val="clear"/>
            <w:vAlign w:val="center"/>
          </w:tcPr>
          <w:p>
            <w:pPr>
              <w:pStyle w:val="TableContents"/>
              <w:bidi w:val="0"/>
              <w:spacing w:before="20" w:after="283"/>
              <w:ind w:left="20" w:right="0" w:hanging="0"/>
              <w:jc w:val="left"/>
              <w:rPr>
                <w:rFonts w:ascii="Arial;Helvetica;sans-serif" w:hAnsi="Arial;Helvetica;sans-serif"/>
                <w:b/>
                <w:color w:val="FFFFFF"/>
                <w:sz w:val="16"/>
              </w:rPr>
            </w:pPr>
            <w:r>
              <w:rPr>
                <w:rFonts w:ascii="Arial;Helvetica;sans-serif" w:hAnsi="Arial;Helvetica;sans-serif"/>
                <w:b/>
                <w:color w:val="FFFFFF"/>
                <w:sz w:val="16"/>
              </w:rPr>
              <w:t>Name and Principal Position</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470"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Year</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845"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Salary</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($)(1)</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845"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Bonus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($)(1)</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188"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Options Awards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($)(1)(2)</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241"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All Other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($)(1)(3)</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010"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Total</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216" w:type="dxa"/>
            <w:tcBorders/>
            <w:shd w:fill="0D3F6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165" w:type="dxa"/>
            <w:tcBorders/>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David H. Wang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$266,940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$227,448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88" w:type="dxa"/>
            <w:tcBorders/>
            <w:vAlign w:val="center"/>
          </w:tcPr>
          <w:p>
            <w:pPr>
              <w:pStyle w:val="TableContents"/>
              <w:bidi w:val="0"/>
              <w:spacing w:before="0" w:after="0"/>
              <w:jc w:val="center"/>
              <w:rPr>
                <w:color w:val="4C4C4C"/>
              </w:rPr>
            </w:pPr>
            <w:r>
              <w:rPr>
                <w:color w:val="4C4C4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1" w:type="dxa"/>
            <w:tcBorders/>
            <w:vAlign w:val="center"/>
          </w:tcPr>
          <w:p>
            <w:pPr>
              <w:pStyle w:val="TableContents"/>
              <w:bidi w:val="0"/>
              <w:spacing w:before="0" w:after="283"/>
              <w:ind w:left="203" w:right="0" w:hanging="0"/>
              <w:jc w:val="left"/>
              <w:rPr>
                <w:rFonts w:ascii="Arial;Helvetica;sans-serif" w:hAnsi="Arial;Helvetica;sans-serif"/>
                <w:color w:val="4C4C4C"/>
                <w:sz w:val="20"/>
              </w:rPr>
            </w:pPr>
            <w:r>
              <w:rPr>
                <w:rFonts w:ascii="Arial;Helvetica;sans-serif" w:hAnsi="Arial;Helvetica;sans-serif"/>
                <w:color w:val="4C4C4C"/>
                <w:sz w:val="20"/>
              </w:rPr>
              <w:t>$4,219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w:t>
            </w:r>
            <w:r>
              <w:rPr>
                <w:rFonts w:ascii="Arial;Helvetica;sans-serif" w:hAnsi="Arial;Helvetica;sans-serif"/>
                <w:color w:val="4C4C4C"/>
                <w:sz w:val="20"/>
              </w:rPr>
              <w:t>498,607</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165" w:type="dxa"/>
            <w:tcBorders/>
            <w:vAlign w:val="center"/>
          </w:tcPr>
          <w:p>
            <w:pPr>
              <w:pStyle w:val="TableContents"/>
              <w:bidi w:val="0"/>
              <w:spacing w:before="0" w:after="283"/>
              <w:ind w:left="20" w:right="0" w:hanging="0"/>
              <w:jc w:val="left"/>
              <w:rPr>
                <w:rFonts w:ascii="Arial;Helvetica;sans-serif" w:hAnsi="Arial;Helvetica;sans-serif"/>
                <w:i/>
                <w:color w:val="4C4C4C"/>
                <w:sz w:val="20"/>
              </w:rPr>
            </w:pPr>
            <w:r>
              <w:rPr>
                <w:rFonts w:ascii="Arial;Helvetica;sans-serif" w:hAnsi="Arial;Helvetica;sans-serif"/>
                <w:i/>
                <w:color w:val="4C4C4C"/>
                <w:sz w:val="20"/>
              </w:rPr>
              <w:t>Chief Executive Officer and President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256,212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205,755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88" w:type="dxa"/>
            <w:tcBorders/>
            <w:vAlign w:val="center"/>
          </w:tcPr>
          <w:p>
            <w:pPr>
              <w:pStyle w:val="TableContents"/>
              <w:bidi w:val="0"/>
              <w:spacing w:before="0" w:after="283"/>
              <w:ind w:left="77" w:right="0" w:hanging="0"/>
              <w:jc w:val="left"/>
              <w:rPr>
                <w:rFonts w:ascii="Arial;Helvetica;sans-serif" w:hAnsi="Arial;Helvetica;sans-serif"/>
                <w:color w:val="4C4C4C"/>
                <w:sz w:val="20"/>
              </w:rPr>
            </w:pPr>
            <w:r>
              <w:rPr>
                <w:rFonts w:ascii="Arial;Helvetica;sans-serif" w:hAnsi="Arial;Helvetica;sans-serif"/>
                <w:color w:val="4C4C4C"/>
                <w:sz w:val="20"/>
              </w:rPr>
              <w:t>23,067,744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1" w:type="dxa"/>
            <w:tcBorders/>
            <w:vAlign w:val="center"/>
          </w:tcPr>
          <w:p>
            <w:pPr>
              <w:pStyle w:val="TableContents"/>
              <w:bidi w:val="0"/>
              <w:spacing w:before="0" w:after="283"/>
              <w:ind w:left="203" w:right="0" w:hanging="0"/>
              <w:jc w:val="left"/>
              <w:rPr>
                <w:rFonts w:ascii="Arial;Helvetica;sans-serif" w:hAnsi="Arial;Helvetica;sans-serif"/>
                <w:color w:val="4C4C4C"/>
                <w:sz w:val="20"/>
              </w:rPr>
            </w:pPr>
            <w:r>
              <w:rPr>
                <w:rFonts w:ascii="Arial;Helvetica;sans-serif" w:hAnsi="Arial;Helvetica;sans-serif"/>
                <w:color w:val="4C4C4C"/>
                <w:sz w:val="20"/>
              </w:rPr>
              <w:t>4,264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23,533,975</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165" w:type="dxa"/>
            <w:tcBorders/>
            <w:vAlign w:val="center"/>
          </w:tcPr>
          <w:p>
            <w:pPr>
              <w:pStyle w:val="TableContents"/>
              <w:bidi w:val="0"/>
              <w:spacing w:before="0" w:after="0"/>
              <w:jc w:val="left"/>
              <w:rPr>
                <w:color w:val="4C4C4C"/>
              </w:rPr>
            </w:pPr>
            <w:r>
              <w:rPr>
                <w:color w:val="4C4C4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233,918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167,294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88" w:type="dxa"/>
            <w:tcBorders/>
            <w:vAlign w:val="center"/>
          </w:tcPr>
          <w:p>
            <w:pPr>
              <w:pStyle w:val="TableContents"/>
              <w:bidi w:val="0"/>
              <w:spacing w:before="0" w:after="283"/>
              <w:ind w:left="77" w:right="0" w:hanging="0"/>
              <w:jc w:val="left"/>
              <w:rPr>
                <w:color w:val="4C4C4C"/>
              </w:rPr>
            </w:pPr>
            <w:r>
              <w:rPr>
                <w:color w:val="4C4C4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1" w:type="dxa"/>
            <w:tcBorders/>
            <w:vAlign w:val="center"/>
          </w:tcPr>
          <w:p>
            <w:pPr>
              <w:pStyle w:val="TableContents"/>
              <w:bidi w:val="0"/>
              <w:spacing w:before="0" w:after="283"/>
              <w:ind w:left="203" w:right="0" w:hanging="0"/>
              <w:jc w:val="left"/>
              <w:rPr>
                <w:rFonts w:ascii="Arial;Helvetica;sans-serif" w:hAnsi="Arial;Helvetica;sans-serif"/>
                <w:color w:val="4C4C4C"/>
                <w:sz w:val="20"/>
              </w:rPr>
            </w:pPr>
            <w:r>
              <w:rPr>
                <w:rFonts w:ascii="Arial;Helvetica;sans-serif" w:hAnsi="Arial;Helvetica;sans-serif"/>
                <w:color w:val="4C4C4C"/>
                <w:sz w:val="20"/>
              </w:rPr>
              <w:t>3,770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404,982</w:t>
            </w:r>
          </w:p>
        </w:tc>
        <w:tc>
          <w:tcPr>
            <w:tcW w:w="216" w:type="dxa"/>
            <w:tcBorders/>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2165" w:type="dxa"/>
            <w:tcBorders/>
            <w:shd w:fill="BAE2F8" w:val="clear"/>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Mark McKechnie</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470"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2024</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845"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$280,350</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845"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$100,000</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188" w:type="dxa"/>
            <w:tcBorders/>
            <w:shd w:fill="BAE2F8" w:val="clear"/>
            <w:vAlign w:val="center"/>
          </w:tcPr>
          <w:p>
            <w:pPr>
              <w:pStyle w:val="TableContents"/>
              <w:bidi w:val="0"/>
              <w:spacing w:before="0" w:after="283"/>
              <w:ind w:left="77" w:right="0" w:hanging="0"/>
              <w:jc w:val="left"/>
              <w:rPr>
                <w:color w:val="4C4C4C"/>
              </w:rPr>
            </w:pPr>
            <w:r>
              <w:rPr>
                <w:color w:val="4C4C4C"/>
              </w:rPr>
              <w:t>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241" w:type="dxa"/>
            <w:tcBorders/>
            <w:shd w:fill="BAE2F8" w:val="clear"/>
            <w:vAlign w:val="center"/>
          </w:tcPr>
          <w:p>
            <w:pPr>
              <w:pStyle w:val="TableContents"/>
              <w:bidi w:val="0"/>
              <w:spacing w:before="0" w:after="283"/>
              <w:ind w:left="203" w:right="0" w:hanging="0"/>
              <w:jc w:val="left"/>
              <w:rPr>
                <w:color w:val="4C4C4C"/>
              </w:rPr>
            </w:pPr>
            <w:r>
              <w:rPr>
                <w:color w:val="4C4C4C"/>
              </w:rPr>
              <w:t>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010"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w:t>
            </w:r>
            <w:r>
              <w:rPr>
                <w:rFonts w:ascii="Arial;Helvetica;sans-serif" w:hAnsi="Arial;Helvetica;sans-serif"/>
                <w:color w:val="4C4C4C"/>
                <w:sz w:val="20"/>
              </w:rPr>
              <w:t>380,350</w:t>
            </w:r>
          </w:p>
        </w:tc>
        <w:tc>
          <w:tcPr>
            <w:tcW w:w="216" w:type="dxa"/>
            <w:tcBorders/>
            <w:shd w:fill="BAE2F8" w:val="clear"/>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2165" w:type="dxa"/>
            <w:tcBorders/>
            <w:shd w:fill="BAE2F8" w:val="clear"/>
            <w:vAlign w:val="center"/>
          </w:tcPr>
          <w:p>
            <w:pPr>
              <w:pStyle w:val="TableContents"/>
              <w:bidi w:val="0"/>
              <w:spacing w:before="0" w:after="283"/>
              <w:ind w:left="20" w:right="0" w:hanging="0"/>
              <w:jc w:val="left"/>
              <w:rPr>
                <w:rFonts w:ascii="Arial;Helvetica;sans-serif" w:hAnsi="Arial;Helvetica;sans-serif"/>
                <w:i/>
                <w:color w:val="4C4C4C"/>
                <w:sz w:val="20"/>
              </w:rPr>
            </w:pPr>
            <w:r>
              <w:rPr>
                <w:rFonts w:ascii="Arial;Helvetica;sans-serif" w:hAnsi="Arial;Helvetica;sans-serif"/>
                <w:i/>
                <w:color w:val="4C4C4C"/>
                <w:sz w:val="20"/>
              </w:rPr>
              <w:t>Chief Financial Officer, Treasurer and</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470"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2023</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845"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273,675</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845"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37,500</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188" w:type="dxa"/>
            <w:tcBorders/>
            <w:shd w:fill="BAE2F8" w:val="clear"/>
            <w:vAlign w:val="center"/>
          </w:tcPr>
          <w:p>
            <w:pPr>
              <w:pStyle w:val="TableContents"/>
              <w:bidi w:val="0"/>
              <w:spacing w:before="0" w:after="283"/>
              <w:ind w:left="77" w:right="0" w:hanging="0"/>
              <w:jc w:val="left"/>
              <w:rPr>
                <w:rFonts w:ascii="Arial;Helvetica;sans-serif" w:hAnsi="Arial;Helvetica;sans-serif"/>
                <w:color w:val="4C4C4C"/>
                <w:sz w:val="20"/>
              </w:rPr>
            </w:pPr>
            <w:r>
              <w:rPr>
                <w:rFonts w:ascii="Arial;Helvetica;sans-serif" w:hAnsi="Arial;Helvetica;sans-serif"/>
                <w:color w:val="4C4C4C"/>
                <w:sz w:val="20"/>
              </w:rPr>
              <w:t>3,113,850</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241" w:type="dxa"/>
            <w:tcBorders/>
            <w:shd w:fill="BAE2F8" w:val="clear"/>
            <w:vAlign w:val="center"/>
          </w:tcPr>
          <w:p>
            <w:pPr>
              <w:pStyle w:val="TableContents"/>
              <w:bidi w:val="0"/>
              <w:spacing w:before="0" w:after="283"/>
              <w:ind w:left="203" w:right="0" w:hanging="0"/>
              <w:jc w:val="left"/>
              <w:rPr>
                <w:color w:val="4C4C4C"/>
              </w:rPr>
            </w:pPr>
            <w:r>
              <w:rPr>
                <w:color w:val="4C4C4C"/>
              </w:rPr>
              <w:t>—</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010"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3,425,025</w:t>
            </w:r>
          </w:p>
        </w:tc>
        <w:tc>
          <w:tcPr>
            <w:tcW w:w="216" w:type="dxa"/>
            <w:tcBorders/>
            <w:shd w:fill="BAE2F8" w:val="clear"/>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2165" w:type="dxa"/>
            <w:tcBorders/>
            <w:shd w:fill="BAE2F8" w:val="clear"/>
            <w:vAlign w:val="center"/>
          </w:tcPr>
          <w:p>
            <w:pPr>
              <w:pStyle w:val="TableContents"/>
              <w:bidi w:val="0"/>
              <w:spacing w:before="0" w:after="283"/>
              <w:ind w:left="20" w:right="0" w:hanging="0"/>
              <w:jc w:val="left"/>
              <w:rPr>
                <w:rFonts w:ascii="Arial;Helvetica;sans-serif" w:hAnsi="Arial;Helvetica;sans-serif"/>
                <w:i/>
                <w:color w:val="4C4C4C"/>
                <w:sz w:val="20"/>
              </w:rPr>
            </w:pPr>
            <w:r>
              <w:rPr>
                <w:rFonts w:ascii="Arial;Helvetica;sans-serif" w:hAnsi="Arial;Helvetica;sans-serif"/>
                <w:i/>
                <w:color w:val="4C4C4C"/>
                <w:sz w:val="20"/>
              </w:rPr>
              <w:t>Secretary</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470"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2022</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845"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267,000</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845"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100,000</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188" w:type="dxa"/>
            <w:tcBorders/>
            <w:shd w:fill="BAE2F8" w:val="clear"/>
            <w:vAlign w:val="center"/>
          </w:tcPr>
          <w:p>
            <w:pPr>
              <w:pStyle w:val="TableContents"/>
              <w:bidi w:val="0"/>
              <w:spacing w:before="0" w:after="283"/>
              <w:ind w:left="77" w:right="0" w:hanging="0"/>
              <w:jc w:val="left"/>
              <w:rPr>
                <w:rFonts w:ascii="Arial;Helvetica;sans-serif" w:hAnsi="Arial;Helvetica;sans-serif"/>
                <w:color w:val="4C4C4C"/>
                <w:sz w:val="20"/>
              </w:rPr>
            </w:pPr>
            <w:r>
              <w:rPr>
                <w:rFonts w:ascii="Arial;Helvetica;sans-serif" w:hAnsi="Arial;Helvetica;sans-serif"/>
                <w:color w:val="4C4C4C"/>
                <w:sz w:val="20"/>
              </w:rPr>
              <w:t>1,740,752</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241" w:type="dxa"/>
            <w:tcBorders/>
            <w:shd w:fill="BAE2F8" w:val="clear"/>
            <w:vAlign w:val="center"/>
          </w:tcPr>
          <w:p>
            <w:pPr>
              <w:pStyle w:val="TableContents"/>
              <w:bidi w:val="0"/>
              <w:spacing w:before="0" w:after="283"/>
              <w:ind w:left="203" w:right="0" w:hanging="0"/>
              <w:jc w:val="left"/>
              <w:rPr>
                <w:color w:val="4C4C4C"/>
              </w:rPr>
            </w:pPr>
            <w:r>
              <w:rPr>
                <w:color w:val="4C4C4C"/>
              </w:rPr>
              <w:t>—</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010"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2,107,752</w:t>
            </w:r>
          </w:p>
        </w:tc>
        <w:tc>
          <w:tcPr>
            <w:tcW w:w="216" w:type="dxa"/>
            <w:tcBorders/>
            <w:shd w:fill="BAE2F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165" w:type="dxa"/>
            <w:tcBorders/>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Jian Wang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$206,673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$189,540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88" w:type="dxa"/>
            <w:tcBorders/>
            <w:vAlign w:val="center"/>
          </w:tcPr>
          <w:p>
            <w:pPr>
              <w:pStyle w:val="TableContents"/>
              <w:bidi w:val="0"/>
              <w:spacing w:before="0" w:after="0"/>
              <w:jc w:val="center"/>
              <w:rPr>
                <w:color w:val="4C4C4C"/>
              </w:rPr>
            </w:pPr>
            <w:r>
              <w:rPr>
                <w:color w:val="4C4C4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1" w:type="dxa"/>
            <w:tcBorders/>
            <w:vAlign w:val="center"/>
          </w:tcPr>
          <w:p>
            <w:pPr>
              <w:pStyle w:val="TableContents"/>
              <w:bidi w:val="0"/>
              <w:spacing w:before="0" w:after="283"/>
              <w:ind w:left="203" w:right="0" w:hanging="0"/>
              <w:jc w:val="left"/>
              <w:rPr>
                <w:rFonts w:ascii="Arial;Helvetica;sans-serif" w:hAnsi="Arial;Helvetica;sans-serif"/>
                <w:color w:val="4C4C4C"/>
                <w:sz w:val="20"/>
              </w:rPr>
            </w:pPr>
            <w:r>
              <w:rPr>
                <w:rFonts w:ascii="Arial;Helvetica;sans-serif" w:hAnsi="Arial;Helvetica;sans-serif"/>
                <w:color w:val="4C4C4C"/>
                <w:sz w:val="20"/>
              </w:rPr>
              <w:t>$3,635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w:t>
            </w:r>
            <w:r>
              <w:rPr>
                <w:rFonts w:ascii="Arial;Helvetica;sans-serif" w:hAnsi="Arial;Helvetica;sans-serif"/>
                <w:color w:val="4C4C4C"/>
                <w:sz w:val="20"/>
              </w:rPr>
              <w:t>399,848</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165" w:type="dxa"/>
            <w:tcBorders/>
            <w:vAlign w:val="center"/>
          </w:tcPr>
          <w:p>
            <w:pPr>
              <w:pStyle w:val="TableContents"/>
              <w:bidi w:val="0"/>
              <w:spacing w:before="0" w:after="283"/>
              <w:ind w:left="20" w:right="0" w:hanging="0"/>
              <w:jc w:val="left"/>
              <w:rPr>
                <w:rFonts w:ascii="Arial;Helvetica;sans-serif" w:hAnsi="Arial;Helvetica;sans-serif"/>
                <w:i/>
                <w:color w:val="4C4C4C"/>
                <w:sz w:val="20"/>
              </w:rPr>
            </w:pPr>
            <w:r>
              <w:rPr>
                <w:rFonts w:ascii="Arial;Helvetica;sans-serif" w:hAnsi="Arial;Helvetica;sans-serif"/>
                <w:i/>
                <w:color w:val="4C4C4C"/>
                <w:sz w:val="20"/>
              </w:rPr>
              <w:t>Chief Executive Oﬃcer and President,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203,317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170,280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88" w:type="dxa"/>
            <w:tcBorders/>
            <w:vAlign w:val="center"/>
          </w:tcPr>
          <w:p>
            <w:pPr>
              <w:pStyle w:val="TableContents"/>
              <w:bidi w:val="0"/>
              <w:spacing w:before="0" w:after="283"/>
              <w:ind w:left="77" w:right="0" w:hanging="0"/>
              <w:jc w:val="left"/>
              <w:rPr>
                <w:rFonts w:ascii="Arial;Helvetica;sans-serif" w:hAnsi="Arial;Helvetica;sans-serif"/>
                <w:color w:val="4C4C4C"/>
                <w:sz w:val="20"/>
              </w:rPr>
            </w:pPr>
            <w:r>
              <w:rPr>
                <w:rFonts w:ascii="Arial;Helvetica;sans-serif" w:hAnsi="Arial;Helvetica;sans-serif"/>
                <w:color w:val="4C4C4C"/>
                <w:sz w:val="20"/>
              </w:rPr>
              <w:t>8,822,265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1" w:type="dxa"/>
            <w:tcBorders/>
            <w:vAlign w:val="center"/>
          </w:tcPr>
          <w:p>
            <w:pPr>
              <w:pStyle w:val="TableContents"/>
              <w:bidi w:val="0"/>
              <w:spacing w:before="0" w:after="283"/>
              <w:ind w:left="203" w:right="0" w:hanging="0"/>
              <w:jc w:val="left"/>
              <w:rPr>
                <w:rFonts w:ascii="Arial;Helvetica;sans-serif" w:hAnsi="Arial;Helvetica;sans-serif"/>
                <w:color w:val="4C4C4C"/>
                <w:sz w:val="20"/>
              </w:rPr>
            </w:pPr>
            <w:r>
              <w:rPr>
                <w:rFonts w:ascii="Arial;Helvetica;sans-serif" w:hAnsi="Arial;Helvetica;sans-serif"/>
                <w:color w:val="4C4C4C"/>
                <w:sz w:val="20"/>
              </w:rPr>
              <w:t>3,674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9,199,536</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165" w:type="dxa"/>
            <w:tcBorders/>
            <w:vAlign w:val="center"/>
          </w:tcPr>
          <w:p>
            <w:pPr>
              <w:pStyle w:val="TableContents"/>
              <w:bidi w:val="0"/>
              <w:spacing w:before="0" w:after="283"/>
              <w:ind w:left="20" w:right="0" w:hanging="0"/>
              <w:jc w:val="left"/>
              <w:rPr>
                <w:rFonts w:ascii="Arial;Helvetica;sans-serif" w:hAnsi="Arial;Helvetica;sans-serif"/>
                <w:i/>
                <w:color w:val="4C4C4C"/>
                <w:sz w:val="20"/>
              </w:rPr>
            </w:pPr>
            <w:r>
              <w:rPr>
                <w:rFonts w:ascii="Arial;Helvetica;sans-serif" w:hAnsi="Arial;Helvetica;sans-serif"/>
                <w:i/>
                <w:color w:val="4C4C4C"/>
                <w:sz w:val="20"/>
              </w:rPr>
              <w:t>ACM Research (Shanghai),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180,967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62,454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88" w:type="dxa"/>
            <w:tcBorders/>
            <w:vAlign w:val="center"/>
          </w:tcPr>
          <w:p>
            <w:pPr>
              <w:pStyle w:val="TableContents"/>
              <w:bidi w:val="0"/>
              <w:spacing w:before="0" w:after="283"/>
              <w:ind w:left="77" w:right="0" w:hanging="0"/>
              <w:jc w:val="left"/>
              <w:rPr>
                <w:rFonts w:ascii="Arial;Helvetica;sans-serif" w:hAnsi="Arial;Helvetica;sans-serif"/>
                <w:color w:val="4C4C4C"/>
                <w:sz w:val="20"/>
              </w:rPr>
            </w:pPr>
            <w:r>
              <w:rPr>
                <w:rFonts w:ascii="Arial;Helvetica;sans-serif" w:hAnsi="Arial;Helvetica;sans-serif"/>
                <w:color w:val="4C4C4C"/>
                <w:sz w:val="20"/>
              </w:rPr>
              <w:t>903,915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1" w:type="dxa"/>
            <w:tcBorders/>
            <w:vAlign w:val="center"/>
          </w:tcPr>
          <w:p>
            <w:pPr>
              <w:pStyle w:val="TableContents"/>
              <w:bidi w:val="0"/>
              <w:spacing w:before="0" w:after="283"/>
              <w:ind w:left="203" w:right="0" w:hanging="0"/>
              <w:jc w:val="left"/>
              <w:rPr>
                <w:rFonts w:ascii="Arial;Helvetica;sans-serif" w:hAnsi="Arial;Helvetica;sans-serif"/>
                <w:color w:val="4C4C4C"/>
                <w:sz w:val="20"/>
              </w:rPr>
            </w:pPr>
            <w:r>
              <w:rPr>
                <w:rFonts w:ascii="Arial;Helvetica;sans-serif" w:hAnsi="Arial;Helvetica;sans-serif"/>
                <w:color w:val="4C4C4C"/>
                <w:sz w:val="20"/>
              </w:rPr>
              <w:t>3,770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1,151,106</w:t>
            </w:r>
          </w:p>
        </w:tc>
        <w:tc>
          <w:tcPr>
            <w:tcW w:w="216" w:type="dxa"/>
            <w:tcBorders/>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2165" w:type="dxa"/>
            <w:tcBorders/>
            <w:shd w:fill="BAE2F8" w:val="clear"/>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Lisa Feng</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470"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2024</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845"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$201,641</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845"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$106,704</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188" w:type="dxa"/>
            <w:tcBorders/>
            <w:shd w:fill="BAE2F8" w:val="clear"/>
            <w:vAlign w:val="center"/>
          </w:tcPr>
          <w:p>
            <w:pPr>
              <w:pStyle w:val="TableContents"/>
              <w:bidi w:val="0"/>
              <w:spacing w:before="0" w:after="283"/>
              <w:ind w:left="77" w:right="0" w:hanging="0"/>
              <w:jc w:val="left"/>
              <w:rPr>
                <w:color w:val="4C4C4C"/>
              </w:rPr>
            </w:pPr>
            <w:r>
              <w:rPr>
                <w:color w:val="4C4C4C"/>
              </w:rPr>
              <w:t>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241" w:type="dxa"/>
            <w:tcBorders/>
            <w:shd w:fill="BAE2F8" w:val="clear"/>
            <w:vAlign w:val="center"/>
          </w:tcPr>
          <w:p>
            <w:pPr>
              <w:pStyle w:val="TableContents"/>
              <w:bidi w:val="0"/>
              <w:spacing w:before="0" w:after="283"/>
              <w:ind w:left="203" w:right="0" w:hanging="0"/>
              <w:jc w:val="left"/>
              <w:rPr>
                <w:rFonts w:ascii="Arial;Helvetica;sans-serif" w:hAnsi="Arial;Helvetica;sans-serif"/>
                <w:color w:val="4C4C4C"/>
                <w:sz w:val="20"/>
              </w:rPr>
            </w:pPr>
            <w:r>
              <w:rPr>
                <w:rFonts w:ascii="Arial;Helvetica;sans-serif" w:hAnsi="Arial;Helvetica;sans-serif"/>
                <w:color w:val="4C4C4C"/>
                <w:sz w:val="20"/>
              </w:rPr>
              <w:t>$5,063</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010"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w:t>
            </w:r>
            <w:r>
              <w:rPr>
                <w:rFonts w:ascii="Arial;Helvetica;sans-serif" w:hAnsi="Arial;Helvetica;sans-serif"/>
                <w:color w:val="4C4C4C"/>
                <w:sz w:val="20"/>
              </w:rPr>
              <w:t>313,408</w:t>
            </w:r>
          </w:p>
        </w:tc>
        <w:tc>
          <w:tcPr>
            <w:tcW w:w="216" w:type="dxa"/>
            <w:tcBorders/>
            <w:shd w:fill="BAE2F8" w:val="clear"/>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2165" w:type="dxa"/>
            <w:tcBorders/>
            <w:shd w:fill="BAE2F8" w:val="clear"/>
            <w:vAlign w:val="center"/>
          </w:tcPr>
          <w:p>
            <w:pPr>
              <w:pStyle w:val="TableContents"/>
              <w:bidi w:val="0"/>
              <w:spacing w:before="0" w:after="283"/>
              <w:ind w:left="20" w:right="0" w:hanging="0"/>
              <w:jc w:val="left"/>
              <w:rPr>
                <w:rFonts w:ascii="Arial;Helvetica;sans-serif" w:hAnsi="Arial;Helvetica;sans-serif"/>
                <w:i/>
                <w:color w:val="4C4C4C"/>
                <w:sz w:val="20"/>
              </w:rPr>
            </w:pPr>
            <w:r>
              <w:rPr>
                <w:rFonts w:ascii="Arial;Helvetica;sans-serif" w:hAnsi="Arial;Helvetica;sans-serif"/>
                <w:i/>
                <w:color w:val="4C4C4C"/>
                <w:sz w:val="20"/>
              </w:rPr>
              <w:t>Chief Financial Officer</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470"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2023</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845"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196,532</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845"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93,654</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188" w:type="dxa"/>
            <w:tcBorders/>
            <w:shd w:fill="BAE2F8" w:val="clear"/>
            <w:vAlign w:val="center"/>
          </w:tcPr>
          <w:p>
            <w:pPr>
              <w:pStyle w:val="TableContents"/>
              <w:bidi w:val="0"/>
              <w:spacing w:before="0" w:after="283"/>
              <w:ind w:left="77" w:right="0" w:hanging="0"/>
              <w:jc w:val="left"/>
              <w:rPr>
                <w:rFonts w:ascii="Arial;Helvetica;sans-serif" w:hAnsi="Arial;Helvetica;sans-serif"/>
                <w:color w:val="4C4C4C"/>
                <w:sz w:val="20"/>
              </w:rPr>
            </w:pPr>
            <w:r>
              <w:rPr>
                <w:rFonts w:ascii="Arial;Helvetica;sans-serif" w:hAnsi="Arial;Helvetica;sans-serif"/>
                <w:color w:val="4C4C4C"/>
                <w:sz w:val="20"/>
              </w:rPr>
              <w:t>3,978,705</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241" w:type="dxa"/>
            <w:tcBorders/>
            <w:shd w:fill="BAE2F8" w:val="clear"/>
            <w:vAlign w:val="center"/>
          </w:tcPr>
          <w:p>
            <w:pPr>
              <w:pStyle w:val="TableContents"/>
              <w:bidi w:val="0"/>
              <w:spacing w:before="0" w:after="283"/>
              <w:ind w:left="203" w:right="0" w:hanging="0"/>
              <w:jc w:val="left"/>
              <w:rPr>
                <w:rFonts w:ascii="Arial;Helvetica;sans-serif" w:hAnsi="Arial;Helvetica;sans-serif"/>
                <w:color w:val="4C4C4C"/>
                <w:sz w:val="20"/>
              </w:rPr>
            </w:pPr>
            <w:r>
              <w:rPr>
                <w:rFonts w:ascii="Arial;Helvetica;sans-serif" w:hAnsi="Arial;Helvetica;sans-serif"/>
                <w:color w:val="4C4C4C"/>
                <w:sz w:val="20"/>
              </w:rPr>
              <w:t>4,264</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010"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4,273,155</w:t>
            </w:r>
          </w:p>
        </w:tc>
        <w:tc>
          <w:tcPr>
            <w:tcW w:w="216" w:type="dxa"/>
            <w:tcBorders/>
            <w:shd w:fill="BAE2F8" w:val="clear"/>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2165" w:type="dxa"/>
            <w:tcBorders/>
            <w:shd w:fill="BAE2F8" w:val="clear"/>
            <w:vAlign w:val="center"/>
          </w:tcPr>
          <w:p>
            <w:pPr>
              <w:pStyle w:val="TableContents"/>
              <w:bidi w:val="0"/>
              <w:spacing w:before="0" w:after="283"/>
              <w:ind w:left="20" w:right="0" w:hanging="0"/>
              <w:jc w:val="left"/>
              <w:rPr>
                <w:rFonts w:ascii="Arial;Helvetica;sans-serif" w:hAnsi="Arial;Helvetica;sans-serif"/>
                <w:i/>
                <w:color w:val="4C4C4C"/>
                <w:sz w:val="20"/>
              </w:rPr>
            </w:pPr>
            <w:r>
              <w:rPr>
                <w:rFonts w:ascii="Arial;Helvetica;sans-serif" w:hAnsi="Arial;Helvetica;sans-serif"/>
                <w:i/>
                <w:color w:val="4C4C4C"/>
                <w:sz w:val="20"/>
              </w:rPr>
              <w:t>ACM Research (Shanghai), Inc.</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470"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2022</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845"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174,755</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845"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61,562</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188" w:type="dxa"/>
            <w:tcBorders/>
            <w:shd w:fill="BAE2F8" w:val="clear"/>
            <w:vAlign w:val="center"/>
          </w:tcPr>
          <w:p>
            <w:pPr>
              <w:pStyle w:val="TableContents"/>
              <w:bidi w:val="0"/>
              <w:spacing w:before="0" w:after="283"/>
              <w:ind w:left="77" w:right="0" w:hanging="0"/>
              <w:jc w:val="left"/>
              <w:rPr>
                <w:rFonts w:ascii="Arial;Helvetica;sans-serif" w:hAnsi="Arial;Helvetica;sans-serif"/>
                <w:color w:val="4C4C4C"/>
                <w:sz w:val="20"/>
              </w:rPr>
            </w:pPr>
            <w:r>
              <w:rPr>
                <w:rFonts w:ascii="Arial;Helvetica;sans-serif" w:hAnsi="Arial;Helvetica;sans-serif"/>
                <w:color w:val="4C4C4C"/>
                <w:sz w:val="20"/>
              </w:rPr>
              <w:t>361,556</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241" w:type="dxa"/>
            <w:tcBorders/>
            <w:shd w:fill="BAE2F8" w:val="clear"/>
            <w:vAlign w:val="center"/>
          </w:tcPr>
          <w:p>
            <w:pPr>
              <w:pStyle w:val="TableContents"/>
              <w:bidi w:val="0"/>
              <w:spacing w:before="0" w:after="283"/>
              <w:ind w:left="203" w:right="0" w:hanging="0"/>
              <w:jc w:val="left"/>
              <w:rPr>
                <w:rFonts w:ascii="Arial;Helvetica;sans-serif" w:hAnsi="Arial;Helvetica;sans-serif"/>
                <w:color w:val="4C4C4C"/>
                <w:sz w:val="20"/>
              </w:rPr>
            </w:pPr>
            <w:r>
              <w:rPr>
                <w:rFonts w:ascii="Arial;Helvetica;sans-serif" w:hAnsi="Arial;Helvetica;sans-serif"/>
                <w:color w:val="4C4C4C"/>
                <w:sz w:val="20"/>
              </w:rPr>
              <w:t>4,288</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010"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602,161</w:t>
            </w:r>
          </w:p>
        </w:tc>
        <w:tc>
          <w:tcPr>
            <w:tcW w:w="216" w:type="dxa"/>
            <w:tcBorders/>
            <w:shd w:fill="BAE2F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165" w:type="dxa"/>
            <w:tcBorders/>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Fuping Chen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$164,468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$182,520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88" w:type="dxa"/>
            <w:tcBorders/>
            <w:vAlign w:val="center"/>
          </w:tcPr>
          <w:p>
            <w:pPr>
              <w:pStyle w:val="TableContents"/>
              <w:bidi w:val="0"/>
              <w:spacing w:before="0" w:after="0"/>
              <w:jc w:val="center"/>
              <w:rPr>
                <w:color w:val="4C4C4C"/>
              </w:rPr>
            </w:pPr>
            <w:r>
              <w:rPr>
                <w:color w:val="4C4C4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1" w:type="dxa"/>
            <w:tcBorders/>
            <w:vAlign w:val="center"/>
          </w:tcPr>
          <w:p>
            <w:pPr>
              <w:pStyle w:val="TableContents"/>
              <w:bidi w:val="0"/>
              <w:spacing w:before="0" w:after="283"/>
              <w:ind w:left="203" w:right="0" w:hanging="0"/>
              <w:jc w:val="left"/>
              <w:rPr>
                <w:rFonts w:ascii="Arial;Helvetica;sans-serif" w:hAnsi="Arial;Helvetica;sans-serif"/>
                <w:color w:val="4C4C4C"/>
                <w:sz w:val="20"/>
              </w:rPr>
            </w:pPr>
            <w:r>
              <w:rPr>
                <w:rFonts w:ascii="Arial;Helvetica;sans-serif" w:hAnsi="Arial;Helvetica;sans-serif"/>
                <w:color w:val="4C4C4C"/>
                <w:sz w:val="20"/>
              </w:rPr>
              <w:t>$3,232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w:t>
            </w:r>
            <w:r>
              <w:rPr>
                <w:rFonts w:ascii="Arial;Helvetica;sans-serif" w:hAnsi="Arial;Helvetica;sans-serif"/>
                <w:color w:val="4C4C4C"/>
                <w:sz w:val="20"/>
              </w:rPr>
              <w:t>350,220</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165" w:type="dxa"/>
            <w:tcBorders/>
            <w:vAlign w:val="center"/>
          </w:tcPr>
          <w:p>
            <w:pPr>
              <w:pStyle w:val="TableContents"/>
              <w:bidi w:val="0"/>
              <w:spacing w:before="0" w:after="283"/>
              <w:ind w:left="20" w:right="0" w:hanging="0"/>
              <w:jc w:val="left"/>
              <w:rPr>
                <w:rFonts w:ascii="Arial;Helvetica;sans-serif" w:hAnsi="Arial;Helvetica;sans-serif"/>
                <w:i/>
                <w:color w:val="4C4C4C"/>
                <w:sz w:val="20"/>
              </w:rPr>
            </w:pPr>
            <w:r>
              <w:rPr>
                <w:rFonts w:ascii="Arial;Helvetica;sans-serif" w:hAnsi="Arial;Helvetica;sans-serif"/>
                <w:i/>
                <w:color w:val="4C4C4C"/>
                <w:sz w:val="20"/>
              </w:rPr>
              <w:t>Vice President, Sales—China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157,845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170,280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88" w:type="dxa"/>
            <w:tcBorders/>
            <w:vAlign w:val="center"/>
          </w:tcPr>
          <w:p>
            <w:pPr>
              <w:pStyle w:val="TableContents"/>
              <w:bidi w:val="0"/>
              <w:spacing w:before="0" w:after="283"/>
              <w:ind w:left="77" w:right="0" w:hanging="0"/>
              <w:jc w:val="left"/>
              <w:rPr>
                <w:rFonts w:ascii="Arial;Helvetica;sans-serif" w:hAnsi="Arial;Helvetica;sans-serif"/>
                <w:color w:val="4C4C4C"/>
                <w:sz w:val="20"/>
              </w:rPr>
            </w:pPr>
            <w:r>
              <w:rPr>
                <w:rFonts w:ascii="Arial;Helvetica;sans-serif" w:hAnsi="Arial;Helvetica;sans-serif"/>
                <w:color w:val="4C4C4C"/>
                <w:sz w:val="20"/>
              </w:rPr>
              <w:t>6,830,141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1" w:type="dxa"/>
            <w:tcBorders/>
            <w:vAlign w:val="center"/>
          </w:tcPr>
          <w:p>
            <w:pPr>
              <w:pStyle w:val="TableContents"/>
              <w:bidi w:val="0"/>
              <w:spacing w:before="0" w:after="283"/>
              <w:ind w:left="203" w:right="0" w:hanging="0"/>
              <w:jc w:val="left"/>
              <w:rPr>
                <w:color w:val="4C4C4C"/>
              </w:rPr>
            </w:pPr>
            <w:r>
              <w:rPr>
                <w:color w:val="4C4C4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7,153,266</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165" w:type="dxa"/>
            <w:tcBorders/>
            <w:vAlign w:val="center"/>
          </w:tcPr>
          <w:p>
            <w:pPr>
              <w:pStyle w:val="TableContents"/>
              <w:bidi w:val="0"/>
              <w:spacing w:before="0" w:after="283"/>
              <w:ind w:left="20" w:right="0" w:hanging="0"/>
              <w:jc w:val="left"/>
              <w:rPr>
                <w:rFonts w:ascii="Arial;Helvetica;sans-serif" w:hAnsi="Arial;Helvetica;sans-serif"/>
                <w:i/>
                <w:color w:val="4C4C4C"/>
                <w:sz w:val="20"/>
              </w:rPr>
            </w:pPr>
            <w:r>
              <w:rPr>
                <w:rFonts w:ascii="Arial;Helvetica;sans-serif" w:hAnsi="Arial;Helvetica;sans-serif"/>
                <w:i/>
                <w:color w:val="4C4C4C"/>
                <w:sz w:val="20"/>
              </w:rPr>
              <w:t>ACM Research (Shanghai),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135,282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98,142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88" w:type="dxa"/>
            <w:tcBorders/>
            <w:vAlign w:val="center"/>
          </w:tcPr>
          <w:p>
            <w:pPr>
              <w:pStyle w:val="TableContents"/>
              <w:bidi w:val="0"/>
              <w:spacing w:before="0" w:after="283"/>
              <w:ind w:left="77" w:right="0" w:hanging="0"/>
              <w:jc w:val="left"/>
              <w:rPr>
                <w:rFonts w:ascii="Arial;Helvetica;sans-serif" w:hAnsi="Arial;Helvetica;sans-serif"/>
                <w:color w:val="4C4C4C"/>
                <w:sz w:val="20"/>
              </w:rPr>
            </w:pPr>
            <w:r>
              <w:rPr>
                <w:rFonts w:ascii="Arial;Helvetica;sans-serif" w:hAnsi="Arial;Helvetica;sans-serif"/>
                <w:color w:val="4C4C4C"/>
                <w:sz w:val="20"/>
              </w:rPr>
              <w:t>361,556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1" w:type="dxa"/>
            <w:tcBorders/>
            <w:vAlign w:val="center"/>
          </w:tcPr>
          <w:p>
            <w:pPr>
              <w:pStyle w:val="TableContents"/>
              <w:bidi w:val="0"/>
              <w:spacing w:before="0" w:after="283"/>
              <w:ind w:left="203" w:right="0" w:hanging="0"/>
              <w:jc w:val="left"/>
              <w:rPr>
                <w:rFonts w:ascii="Arial;Helvetica;sans-serif" w:hAnsi="Arial;Helvetica;sans-serif"/>
                <w:color w:val="4C4C4C"/>
                <w:sz w:val="20"/>
              </w:rPr>
            </w:pPr>
            <w:r>
              <w:rPr>
                <w:rFonts w:ascii="Arial;Helvetica;sans-serif" w:hAnsi="Arial;Helvetica;sans-serif"/>
                <w:color w:val="4C4C4C"/>
                <w:sz w:val="20"/>
              </w:rPr>
              <w:t>205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595,185</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1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8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9960"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Compensation amounts paid in RMB have been converted, for purposes of the table, to U.S. dollars at the average RMB per U.S. dollar exchange rate for the applicable years.</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9998"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Amounts shown represent the aggregate grant date fair value of option awards granted in accordance with Financial Accounting Standards Board Accounting Standards Codification Topic 718, Compensation—Stock Compensation excluding estimated forfeitures. The estimated fair value of option awards is calculated based on a Black-Scholes valuation model on the grant date. Amounts include option awards exercisable for Class A common stock and common stock of ACM Shanghai, as applicable. See the “Grants of Plan-Based Awards” table for the applicable year for additional details. These amounts do not necessarily correspond to the actual amounts that may be earned by the NEOs. For assumptions for both ACM Research and ACM Shanghai options made in valuing these awards, see note 2 to our consolidated financial statements included in our Annual Report on Form 10-K for the fiscal year ended December 31, 2024.</w:t>
            </w:r>
          </w:p>
        </w:tc>
      </w:tr>
    </w:tbl>
    <w:tbl>
      <w:tblPr>
        <w:tblW w:w="5230" w:type="dxa"/>
        <w:jc w:val="left"/>
        <w:tblInd w:w="0" w:type="dxa"/>
        <w:tblLayout w:type="fixed"/>
        <w:tblCellMar>
          <w:top w:w="0" w:type="dxa"/>
          <w:left w:w="0" w:type="dxa"/>
          <w:bottom w:w="0" w:type="dxa"/>
          <w:right w:w="0" w:type="dxa"/>
        </w:tblCellMar>
      </w:tblPr>
      <w:tblGrid>
        <w:gridCol w:w="260"/>
        <w:gridCol w:w="4970"/>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497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The amounts shown include health insurance premiums paid by us.</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35</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1" w:name="ny20042784x1_def14a_114-comp_pg2"/>
        <w:bookmarkEnd w:id="71"/>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079C1"/>
          <w:sz w:val="24"/>
        </w:rPr>
      </w:pPr>
      <w:bookmarkStart w:id="72" w:name="tNEO"/>
      <w:bookmarkEnd w:id="72"/>
      <w:r>
        <w:rPr>
          <w:rFonts w:ascii="Arial;Helvetica;sans-serif" w:hAnsi="Arial;Helvetica;sans-serif"/>
          <w:b/>
          <w:color w:val="0079C1"/>
          <w:sz w:val="24"/>
        </w:rPr>
        <w:t>Narrative Explanation of the Summary Compensation Table</w:t>
      </w:r>
    </w:p>
    <w:p>
      <w:pPr>
        <w:pStyle w:val="TextBody"/>
        <w:bidi w:val="0"/>
        <w:spacing w:before="220" w:after="283"/>
        <w:ind w:left="0" w:right="0" w:hanging="0"/>
        <w:jc w:val="left"/>
        <w:rPr>
          <w:rFonts w:ascii="Arial;Helvetica;sans-serif" w:hAnsi="Arial;Helvetica;sans-serif"/>
          <w:color w:val="4C4C4C"/>
          <w:sz w:val="20"/>
        </w:rPr>
      </w:pPr>
      <w:r>
        <w:rPr>
          <w:rFonts w:ascii="Arial;Helvetica;sans-serif" w:hAnsi="Arial;Helvetica;sans-serif"/>
          <w:color w:val="4C4C4C"/>
          <w:sz w:val="20"/>
        </w:rPr>
        <w:t>The compensation paid to our NEOs consists of the following components:</w:t>
      </w:r>
    </w:p>
    <w:tbl>
      <w:tblPr>
        <w:tblW w:w="1285" w:type="dxa"/>
        <w:jc w:val="left"/>
        <w:tblInd w:w="0" w:type="dxa"/>
        <w:tblLayout w:type="fixed"/>
        <w:tblCellMar>
          <w:top w:w="0" w:type="dxa"/>
          <w:left w:w="0" w:type="dxa"/>
          <w:bottom w:w="0" w:type="dxa"/>
          <w:right w:w="0" w:type="dxa"/>
        </w:tblCellMar>
      </w:tblPr>
      <w:tblGrid>
        <w:gridCol w:w="140"/>
        <w:gridCol w:w="1145"/>
      </w:tblGrid>
      <w:tr>
        <w:trPr/>
        <w:tc>
          <w:tcPr>
            <w:tcW w:w="140" w:type="dxa"/>
            <w:tcBorders/>
            <w:vAlign w:val="center"/>
          </w:tcPr>
          <w:p>
            <w:pPr>
              <w:pStyle w:val="TableContents"/>
              <w:bidi w:val="0"/>
              <w:spacing w:before="0" w:after="0"/>
              <w:jc w:val="left"/>
              <w:rPr>
                <w:color w:val="4C4C4C"/>
              </w:rPr>
            </w:pPr>
            <w:r>
              <w:rPr>
                <w:color w:val="4C4C4C"/>
              </w:rPr>
              <w:t>•</w:t>
            </w:r>
          </w:p>
        </w:tc>
        <w:tc>
          <w:tcPr>
            <w:tcW w:w="1145"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base salary;</w:t>
            </w:r>
          </w:p>
        </w:tc>
      </w:tr>
    </w:tbl>
    <w:tbl>
      <w:tblPr>
        <w:tblW w:w="3295" w:type="dxa"/>
        <w:jc w:val="left"/>
        <w:tblInd w:w="0" w:type="dxa"/>
        <w:tblLayout w:type="fixed"/>
        <w:tblCellMar>
          <w:top w:w="0" w:type="dxa"/>
          <w:left w:w="0" w:type="dxa"/>
          <w:bottom w:w="0" w:type="dxa"/>
          <w:right w:w="0" w:type="dxa"/>
        </w:tblCellMar>
      </w:tblPr>
      <w:tblGrid>
        <w:gridCol w:w="140"/>
        <w:gridCol w:w="3155"/>
      </w:tblGrid>
      <w:tr>
        <w:trPr/>
        <w:tc>
          <w:tcPr>
            <w:tcW w:w="140" w:type="dxa"/>
            <w:tcBorders/>
            <w:vAlign w:val="center"/>
          </w:tcPr>
          <w:p>
            <w:pPr>
              <w:pStyle w:val="TableContents"/>
              <w:bidi w:val="0"/>
              <w:spacing w:before="0" w:after="0"/>
              <w:jc w:val="left"/>
              <w:rPr>
                <w:color w:val="4C4C4C"/>
              </w:rPr>
            </w:pPr>
            <w:r>
              <w:rPr>
                <w:color w:val="4C4C4C"/>
              </w:rPr>
              <w:t>•</w:t>
            </w:r>
          </w:p>
        </w:tc>
        <w:tc>
          <w:tcPr>
            <w:tcW w:w="3155"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discretionary annual cash bonuses;</w:t>
            </w:r>
          </w:p>
        </w:tc>
      </w:tr>
    </w:tbl>
    <w:tbl>
      <w:tblPr>
        <w:tblW w:w="6025" w:type="dxa"/>
        <w:jc w:val="left"/>
        <w:tblInd w:w="0" w:type="dxa"/>
        <w:tblLayout w:type="fixed"/>
        <w:tblCellMar>
          <w:top w:w="0" w:type="dxa"/>
          <w:left w:w="0" w:type="dxa"/>
          <w:bottom w:w="0" w:type="dxa"/>
          <w:right w:w="0" w:type="dxa"/>
        </w:tblCellMar>
      </w:tblPr>
      <w:tblGrid>
        <w:gridCol w:w="140"/>
        <w:gridCol w:w="5885"/>
      </w:tblGrid>
      <w:tr>
        <w:trPr/>
        <w:tc>
          <w:tcPr>
            <w:tcW w:w="140" w:type="dxa"/>
            <w:tcBorders/>
            <w:vAlign w:val="center"/>
          </w:tcPr>
          <w:p>
            <w:pPr>
              <w:pStyle w:val="TableContents"/>
              <w:bidi w:val="0"/>
              <w:spacing w:before="0" w:after="0"/>
              <w:jc w:val="left"/>
              <w:rPr>
                <w:color w:val="4C4C4C"/>
              </w:rPr>
            </w:pPr>
            <w:r>
              <w:rPr>
                <w:color w:val="4C4C4C"/>
              </w:rPr>
              <w:t>•</w:t>
            </w:r>
          </w:p>
        </w:tc>
        <w:tc>
          <w:tcPr>
            <w:tcW w:w="5885"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long-term incentive compensation in the form of stock options; and</w:t>
            </w:r>
          </w:p>
        </w:tc>
      </w:tr>
    </w:tbl>
    <w:tbl>
      <w:tblPr>
        <w:tblW w:w="5470" w:type="dxa"/>
        <w:jc w:val="left"/>
        <w:tblInd w:w="0" w:type="dxa"/>
        <w:tblLayout w:type="fixed"/>
        <w:tblCellMar>
          <w:top w:w="0" w:type="dxa"/>
          <w:left w:w="0" w:type="dxa"/>
          <w:bottom w:w="0" w:type="dxa"/>
          <w:right w:w="0" w:type="dxa"/>
        </w:tblCellMar>
      </w:tblPr>
      <w:tblGrid>
        <w:gridCol w:w="140"/>
        <w:gridCol w:w="5330"/>
      </w:tblGrid>
      <w:tr>
        <w:trPr/>
        <w:tc>
          <w:tcPr>
            <w:tcW w:w="140" w:type="dxa"/>
            <w:tcBorders/>
            <w:vAlign w:val="center"/>
          </w:tcPr>
          <w:p>
            <w:pPr>
              <w:pStyle w:val="TableContents"/>
              <w:bidi w:val="0"/>
              <w:spacing w:before="0" w:after="0"/>
              <w:jc w:val="left"/>
              <w:rPr>
                <w:color w:val="4C4C4C"/>
              </w:rPr>
            </w:pPr>
            <w:r>
              <w:rPr>
                <w:color w:val="4C4C4C"/>
              </w:rPr>
              <w:t>•</w:t>
            </w:r>
          </w:p>
        </w:tc>
        <w:tc>
          <w:tcPr>
            <w:tcW w:w="5330"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benefits consisting principally of health insurance premiums.</w:t>
            </w:r>
          </w:p>
        </w:tc>
      </w:tr>
    </w:tbl>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Annual base salaries of our NEOs in 2024 were as follows: David Wang, $266,940; Mark McKechnie, $280,350; Jian Wang, $206,673; Lisa Feng, $201,641; and Fuping Chen, $164,468.</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We enter into employment agreements with our employees located principally in the PRC, including each of our NEOs other than Mark McKechnie (who is based in the United States), that contain an employment term and other statutorily required terms and conditions, but do not include compensatory terms. In addition, ACM Shanghai is a party to an employment agreement with Lisa Feng that was entered into as of January 8, 2018 and extended through September 24, 2025. This agreement contains provisions with respect to base salary and annual bonus eligibility. We do not maintain an employment agreement with Mr. McKechnie.</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We do not have an established bonus policy for our NEOs. The compensation committee may decide, in its sole discretion, to reward NEOs with annual cash bonuses based on the totality of achievements in a given year, including achievement of individual NEO performance, our business performance, and achievement of specific business objectives, with no specific weighting assigned to any one factor. The program is designed to motivate our NEOs to focus on company priorities and to reward them for individual results and achievements. The company priorities did not have specific threshold, target or maximum levels associated with them for purposes of determining performance under the program, and our compensation committee has full discretion to determine the level of bonus payout for each year based on the totality of circumstances for such year.</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From time to time, we grant stock options, when appropriate, as the long-term incentive component of our compensation program. Our stock options allow our employees to purchase covered shares at a price equal to the fair market value on the date of grant. In some cases, we attach performance criteria to the vesting of the stock options. Stock options drive stock price performance. We believe that incorporating stock price growth as part of our long-term equity award design further aligns our executives’ and stockholders’ interests. Stock options create a meaningful foundation of outstanding long-term equity incentives aligned with the long-term interests of our stockholders. In 2024 we did not grant stock options to any of our NEOs.</w:t>
      </w:r>
    </w:p>
    <w:p>
      <w:pPr>
        <w:pStyle w:val="TextBody"/>
        <w:bidi w:val="0"/>
        <w:spacing w:before="280" w:after="283"/>
        <w:ind w:left="0" w:right="0" w:hanging="0"/>
        <w:jc w:val="left"/>
        <w:rPr>
          <w:rFonts w:ascii="Arial;Helvetica;sans-serif" w:hAnsi="Arial;Helvetica;sans-serif"/>
          <w:b/>
          <w:color w:val="0079C1"/>
          <w:sz w:val="24"/>
        </w:rPr>
      </w:pPr>
      <w:bookmarkStart w:id="73" w:name="tGOP"/>
      <w:bookmarkEnd w:id="73"/>
      <w:r>
        <w:rPr>
          <w:rFonts w:ascii="Arial;Helvetica;sans-serif" w:hAnsi="Arial;Helvetica;sans-serif"/>
          <w:b/>
          <w:color w:val="0079C1"/>
          <w:sz w:val="24"/>
        </w:rPr>
        <w:t>Grants of Plan-Based Awards</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In 2024, we did not grant any non-equity incentive plan awards to our NEOs, nor did we grant any equity awards to our NEOs.</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36</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4" w:name="ny20042784x1_def14a_114-comp_pg3"/>
        <w:bookmarkEnd w:id="74"/>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079C1"/>
          <w:sz w:val="24"/>
        </w:rPr>
      </w:pPr>
      <w:bookmarkStart w:id="75" w:name="tOEA"/>
      <w:bookmarkEnd w:id="75"/>
      <w:r>
        <w:rPr>
          <w:rFonts w:ascii="Arial;Helvetica;sans-serif" w:hAnsi="Arial;Helvetica;sans-serif"/>
          <w:b/>
          <w:color w:val="0079C1"/>
          <w:sz w:val="24"/>
        </w:rPr>
        <w:t>Outstanding Equity Awards at December 31, 2024</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following table sets forth information regarding each unexercised option held by each of our NEOs as of December 31, 2024.</w:t>
      </w:r>
    </w:p>
    <w:tbl>
      <w:tblPr>
        <w:tblW w:w="10205" w:type="dxa"/>
        <w:jc w:val="left"/>
        <w:tblInd w:w="0" w:type="dxa"/>
        <w:tblLayout w:type="fixed"/>
        <w:tblCellMar>
          <w:top w:w="0" w:type="dxa"/>
          <w:left w:w="0" w:type="dxa"/>
          <w:bottom w:w="0" w:type="dxa"/>
          <w:right w:w="0" w:type="dxa"/>
        </w:tblCellMar>
      </w:tblPr>
      <w:tblGrid>
        <w:gridCol w:w="185"/>
        <w:gridCol w:w="1151"/>
        <w:gridCol w:w="170"/>
        <w:gridCol w:w="170"/>
        <w:gridCol w:w="368"/>
        <w:gridCol w:w="170"/>
        <w:gridCol w:w="170"/>
        <w:gridCol w:w="1416"/>
        <w:gridCol w:w="170"/>
        <w:gridCol w:w="170"/>
        <w:gridCol w:w="1539"/>
        <w:gridCol w:w="170"/>
        <w:gridCol w:w="170"/>
        <w:gridCol w:w="1223"/>
        <w:gridCol w:w="170"/>
        <w:gridCol w:w="170"/>
        <w:gridCol w:w="958"/>
        <w:gridCol w:w="170"/>
        <w:gridCol w:w="170"/>
        <w:gridCol w:w="1108"/>
        <w:gridCol w:w="217"/>
      </w:tblGrid>
      <w:tr>
        <w:trPr/>
        <w:tc>
          <w:tcPr>
            <w:tcW w:w="185" w:type="dxa"/>
            <w:tcBorders/>
            <w:shd w:fill="0D3F64" w:val="clear"/>
            <w:vAlign w:val="center"/>
          </w:tcPr>
          <w:p>
            <w:pPr>
              <w:pStyle w:val="TableContents"/>
              <w:bidi w:val="0"/>
              <w:spacing w:before="0" w:after="0"/>
              <w:jc w:val="left"/>
              <w:rPr/>
            </w:pPr>
            <w:r>
              <w:rPr/>
              <w:t> </w:t>
            </w:r>
          </w:p>
        </w:tc>
        <w:tc>
          <w:tcPr>
            <w:tcW w:w="1151"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368"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7604" w:type="dxa"/>
            <w:gridSpan w:val="13"/>
            <w:tcBorders/>
            <w:shd w:fill="0D3F64" w:val="clear"/>
            <w:vAlign w:val="center"/>
          </w:tcPr>
          <w:p>
            <w:pPr>
              <w:pStyle w:val="TableContents"/>
              <w:bidi w:val="0"/>
              <w:spacing w:before="0" w:after="0"/>
              <w:jc w:val="left"/>
              <w:rPr/>
            </w:pPr>
            <w:r>
              <w:rPr/>
              <w:t> </w:t>
            </w:r>
          </w:p>
        </w:tc>
        <w:tc>
          <w:tcPr>
            <w:tcW w:w="217" w:type="dxa"/>
            <w:tcBorders/>
            <w:shd w:fill="0D3F64" w:val="clear"/>
            <w:vAlign w:val="center"/>
          </w:tcPr>
          <w:p>
            <w:pPr>
              <w:pStyle w:val="TableContents"/>
              <w:bidi w:val="0"/>
              <w:spacing w:before="0" w:after="0"/>
              <w:jc w:val="left"/>
              <w:rPr/>
            </w:pPr>
            <w:r>
              <w:rPr/>
              <w:t> </w:t>
            </w:r>
          </w:p>
        </w:tc>
      </w:tr>
      <w:tr>
        <w:trPr/>
        <w:tc>
          <w:tcPr>
            <w:tcW w:w="185" w:type="dxa"/>
            <w:vMerge w:val="restart"/>
            <w:tcBorders/>
            <w:shd w:fill="0D3F64" w:val="clear"/>
            <w:vAlign w:val="center"/>
          </w:tcPr>
          <w:p>
            <w:pPr>
              <w:pStyle w:val="TableContents"/>
              <w:bidi w:val="0"/>
              <w:spacing w:before="0" w:after="0"/>
              <w:jc w:val="left"/>
              <w:rPr/>
            </w:pPr>
            <w:r>
              <w:rPr/>
              <w:t> </w:t>
            </w:r>
          </w:p>
        </w:tc>
        <w:tc>
          <w:tcPr>
            <w:tcW w:w="1151" w:type="dxa"/>
            <w:vMerge w:val="restart"/>
            <w:tcBorders/>
            <w:shd w:fill="0D3F64" w:val="clear"/>
            <w:vAlign w:val="center"/>
          </w:tcPr>
          <w:p>
            <w:pPr>
              <w:pStyle w:val="TableContents"/>
              <w:bidi w:val="0"/>
              <w:spacing w:before="20" w:after="283"/>
              <w:ind w:left="2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vMerge w:val="restart"/>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368" w:type="dxa"/>
            <w:tcBorders/>
            <w:shd w:fill="0D3F64" w:val="clear"/>
            <w:vAlign w:val="center"/>
          </w:tcPr>
          <w:p>
            <w:pPr>
              <w:pStyle w:val="TableContents"/>
              <w:bidi w:val="0"/>
              <w:spacing w:before="20" w:after="283"/>
              <w:jc w:val="center"/>
              <w:rPr>
                <w:color w:val="FFFFFF"/>
              </w:rPr>
            </w:pPr>
            <w:r>
              <w:rPr>
                <w:color w:val="FFFFFF"/>
              </w:rPr>
              <w:t> </w:t>
            </w:r>
          </w:p>
        </w:tc>
        <w:tc>
          <w:tcPr>
            <w:tcW w:w="170" w:type="dxa"/>
            <w:tcBorders/>
            <w:shd w:fill="0D3F64" w:val="clear"/>
            <w:vAlign w:val="center"/>
          </w:tcPr>
          <w:p>
            <w:pPr>
              <w:pStyle w:val="TableContents"/>
              <w:bidi w:val="0"/>
              <w:spacing w:before="0" w:after="0"/>
              <w:jc w:val="left"/>
              <w:rPr/>
            </w:pPr>
            <w:r>
              <w:rPr/>
              <w:t> </w:t>
            </w:r>
          </w:p>
        </w:tc>
        <w:tc>
          <w:tcPr>
            <w:tcW w:w="170" w:type="dxa"/>
            <w:tcBorders>
              <w:bottom w:val="single" w:sz="8" w:space="0" w:color="FFFFFF"/>
            </w:tcBorders>
            <w:shd w:fill="0D3F64" w:val="clear"/>
            <w:tcMar>
              <w:bottom w:w="28" w:type="dxa"/>
            </w:tcMar>
            <w:vAlign w:val="center"/>
          </w:tcPr>
          <w:p>
            <w:pPr>
              <w:pStyle w:val="TableContents"/>
              <w:bidi w:val="0"/>
              <w:spacing w:before="0" w:after="0"/>
              <w:jc w:val="left"/>
              <w:rPr/>
            </w:pPr>
            <w:r>
              <w:rPr/>
              <w:t> </w:t>
            </w:r>
          </w:p>
        </w:tc>
        <w:tc>
          <w:tcPr>
            <w:tcW w:w="7604" w:type="dxa"/>
            <w:gridSpan w:val="13"/>
            <w:tcBorders>
              <w:bottom w:val="single" w:sz="8" w:space="0" w:color="FFFFFF"/>
            </w:tcBorders>
            <w:shd w:fill="0D3F64" w:val="clear"/>
            <w:tcMar>
              <w:bottom w:w="33" w:type="dxa"/>
            </w:tcM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Option Awards</w:t>
            </w:r>
          </w:p>
        </w:tc>
        <w:tc>
          <w:tcPr>
            <w:tcW w:w="217" w:type="dxa"/>
            <w:tcBorders>
              <w:bottom w:val="single" w:sz="8" w:space="0" w:color="FFFFFF"/>
            </w:tcBorders>
            <w:shd w:fill="0D3F64" w:val="clear"/>
            <w:tcMar>
              <w:bottom w:w="28" w:type="dxa"/>
            </w:tcMar>
            <w:vAlign w:val="center"/>
          </w:tcPr>
          <w:p>
            <w:pPr>
              <w:pStyle w:val="TableContents"/>
              <w:bidi w:val="0"/>
              <w:spacing w:before="0" w:after="0"/>
              <w:jc w:val="left"/>
              <w:rPr/>
            </w:pPr>
            <w:r>
              <w:rPr/>
              <w:t> </w:t>
            </w:r>
          </w:p>
        </w:tc>
      </w:tr>
      <w:tr>
        <w:trPr/>
        <w:tc>
          <w:tcPr>
            <w:tcW w:w="185" w:type="dxa"/>
            <w:vMerge w:val="continue"/>
            <w:tcBorders/>
            <w:shd w:fill="0D3F64" w:val="clear"/>
            <w:vAlign w:val="center"/>
          </w:tcPr>
          <w:p>
            <w:pPr>
              <w:pStyle w:val="Normal"/>
              <w:bidi w:val="0"/>
              <w:jc w:val="left"/>
              <w:rPr/>
            </w:pPr>
            <w:r>
              <w:rPr/>
            </w:r>
          </w:p>
        </w:tc>
        <w:tc>
          <w:tcPr>
            <w:tcW w:w="1151" w:type="dxa"/>
            <w:vMerge w:val="continue"/>
            <w:tcBorders/>
            <w:shd w:fill="0D3F64" w:val="clear"/>
            <w:vAlign w:val="center"/>
          </w:tcPr>
          <w:p>
            <w:pPr>
              <w:pStyle w:val="Normal"/>
              <w:bidi w:val="0"/>
              <w:jc w:val="left"/>
              <w:rPr/>
            </w:pPr>
            <w:r>
              <w:rPr/>
            </w:r>
          </w:p>
        </w:tc>
        <w:tc>
          <w:tcPr>
            <w:tcW w:w="170" w:type="dxa"/>
            <w:vMerge w:val="continue"/>
            <w:tcBorders/>
            <w:shd w:fill="0D3F64" w:val="clear"/>
            <w:vAlign w:val="center"/>
          </w:tcPr>
          <w:p>
            <w:pPr>
              <w:pStyle w:val="Normal"/>
              <w:bidi w:val="0"/>
              <w:jc w:val="left"/>
              <w:rPr/>
            </w:pPr>
            <w:r>
              <w:rPr/>
            </w:r>
          </w:p>
        </w:tc>
        <w:tc>
          <w:tcPr>
            <w:tcW w:w="170" w:type="dxa"/>
            <w:tcBorders/>
            <w:shd w:fill="0D3F64" w:val="clear"/>
            <w:vAlign w:val="center"/>
          </w:tcPr>
          <w:p>
            <w:pPr>
              <w:pStyle w:val="TableContents"/>
              <w:bidi w:val="0"/>
              <w:spacing w:before="0" w:after="0"/>
              <w:jc w:val="left"/>
              <w:rPr/>
            </w:pPr>
            <w:r>
              <w:rPr/>
              <w:t> </w:t>
            </w:r>
          </w:p>
        </w:tc>
        <w:tc>
          <w:tcPr>
            <w:tcW w:w="368" w:type="dxa"/>
            <w:tcBorders/>
            <w:shd w:fill="0D3F64" w:val="clear"/>
            <w:vAlign w:val="center"/>
          </w:tcPr>
          <w:p>
            <w:pPr>
              <w:pStyle w:val="TableContents"/>
              <w:bidi w:val="0"/>
              <w:spacing w:before="20" w:after="283"/>
              <w:jc w:val="center"/>
              <w:rPr>
                <w:color w:val="FFFFFF"/>
              </w:rPr>
            </w:pPr>
            <w:r>
              <w:rPr>
                <w:color w:val="FFFFFF"/>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416"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Number of Securities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Underlying</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Unexercised Options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Exercisable</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539"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Number of Securities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Underlying</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Unexercised Options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Unexercisable</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223"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Equity Incentive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Plan Awards: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Number of</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Securities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Underlying</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Unexercised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Unearned Options</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958"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Option Exercise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Price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108"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Option Expiration</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Date</w:t>
            </w:r>
          </w:p>
        </w:tc>
        <w:tc>
          <w:tcPr>
            <w:tcW w:w="217" w:type="dxa"/>
            <w:tcBorders/>
            <w:shd w:fill="0D3F6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51" w:type="dxa"/>
            <w:tcBorders/>
            <w:vAlign w:val="center"/>
          </w:tcPr>
          <w:p>
            <w:pPr>
              <w:pStyle w:val="TableContents"/>
              <w:bidi w:val="0"/>
              <w:spacing w:before="0" w:after="283"/>
              <w:ind w:left="20" w:right="0" w:hanging="0"/>
              <w:jc w:val="left"/>
              <w:rPr>
                <w:rFonts w:ascii="Arial;Helvetica;sans-serif" w:hAnsi="Arial;Helvetica;sans-serif"/>
                <w:color w:val="4C4C4C"/>
                <w:sz w:val="18"/>
              </w:rPr>
            </w:pPr>
            <w:r>
              <w:rPr>
                <w:rFonts w:ascii="Arial;Helvetica;sans-serif" w:hAnsi="Arial;Helvetica;sans-serif"/>
                <w:color w:val="4C4C4C"/>
                <w:sz w:val="18"/>
              </w:rPr>
              <w:t>David H. Wang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8" w:type="dxa"/>
            <w:tcBorders/>
            <w:vAlign w:val="center"/>
          </w:tcPr>
          <w:p>
            <w:pPr>
              <w:pStyle w:val="TableContents"/>
              <w:bidi w:val="0"/>
              <w:spacing w:before="0" w:after="283"/>
              <w:jc w:val="center"/>
              <w:rPr>
                <w:rFonts w:ascii="Arial;Helvetica;sans-serif" w:hAnsi="Arial;Helvetica;sans-serif"/>
                <w:color w:val="4C4C4C"/>
                <w:sz w:val="18"/>
              </w:rPr>
            </w:pPr>
            <w:r>
              <w:rPr>
                <w:rFonts w:ascii="Arial;Helvetica;sans-serif" w:hAnsi="Arial;Helvetica;sans-serif"/>
                <w:color w:val="4C4C4C"/>
                <w:sz w:val="18"/>
              </w:rPr>
              <w:t>(1)(3)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6" w:type="dxa"/>
            <w:tcBorders/>
            <w:vAlign w:val="center"/>
          </w:tcPr>
          <w:p>
            <w:pPr>
              <w:pStyle w:val="TableContents"/>
              <w:bidi w:val="0"/>
              <w:spacing w:before="0" w:after="283"/>
              <w:ind w:left="335" w:right="0" w:hanging="0"/>
              <w:jc w:val="left"/>
              <w:rPr>
                <w:rFonts w:ascii="Arial;Helvetica;sans-serif" w:hAnsi="Arial;Helvetica;sans-serif"/>
                <w:color w:val="4C4C4C"/>
                <w:sz w:val="18"/>
              </w:rPr>
            </w:pPr>
            <w:r>
              <w:rPr>
                <w:rFonts w:ascii="Arial;Helvetica;sans-serif" w:hAnsi="Arial;Helvetica;sans-serif"/>
                <w:color w:val="4C4C4C"/>
                <w:sz w:val="18"/>
              </w:rPr>
              <w:t>210,000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9" w:type="dxa"/>
            <w:tcBorders/>
            <w:vAlign w:val="center"/>
          </w:tcPr>
          <w:p>
            <w:pPr>
              <w:pStyle w:val="TableContents"/>
              <w:bidi w:val="0"/>
              <w:spacing w:before="0" w:after="283"/>
              <w:ind w:left="403" w:right="0" w:hanging="0"/>
              <w:jc w:val="left"/>
              <w:rPr>
                <w:color w:val="4C4C4C"/>
              </w:rPr>
            </w:pPr>
            <w:r>
              <w:rPr>
                <w:color w:val="4C4C4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3" w:type="dxa"/>
            <w:tcBorders/>
            <w:vAlign w:val="center"/>
          </w:tcPr>
          <w:p>
            <w:pPr>
              <w:pStyle w:val="TableContents"/>
              <w:bidi w:val="0"/>
              <w:spacing w:before="0" w:after="283"/>
              <w:ind w:left="246" w:right="0" w:hanging="0"/>
              <w:jc w:val="left"/>
              <w:rPr>
                <w:color w:val="4C4C4C"/>
              </w:rPr>
            </w:pPr>
            <w:r>
              <w:rPr>
                <w:color w:val="4C4C4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8" w:type="dxa"/>
            <w:tcBorders/>
            <w:vAlign w:val="center"/>
          </w:tcPr>
          <w:p>
            <w:pPr>
              <w:pStyle w:val="TableContents"/>
              <w:bidi w:val="0"/>
              <w:spacing w:before="0" w:after="283"/>
              <w:ind w:left="313" w:right="0" w:hanging="0"/>
              <w:jc w:val="left"/>
              <w:rPr>
                <w:rFonts w:ascii="Arial;Helvetica;sans-serif" w:hAnsi="Arial;Helvetica;sans-serif"/>
                <w:color w:val="4C4C4C"/>
                <w:sz w:val="18"/>
              </w:rPr>
            </w:pPr>
            <w:r>
              <w:rPr>
                <w:rFonts w:ascii="Arial;Helvetica;sans-serif" w:hAnsi="Arial;Helvetica;sans-serif"/>
                <w:color w:val="4C4C4C"/>
                <w:sz w:val="18"/>
              </w:rPr>
              <w:t>0.50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8" w:type="dxa"/>
            <w:tcBorders/>
            <w:vAlign w:val="center"/>
          </w:tcPr>
          <w:p>
            <w:pPr>
              <w:pStyle w:val="TableContents"/>
              <w:bidi w:val="0"/>
              <w:spacing w:before="0" w:after="283"/>
              <w:ind w:left="158" w:right="0" w:hanging="0"/>
              <w:jc w:val="left"/>
              <w:rPr>
                <w:rFonts w:ascii="Arial;Helvetica;sans-serif" w:hAnsi="Arial;Helvetica;sans-serif"/>
                <w:color w:val="4C4C4C"/>
                <w:sz w:val="18"/>
              </w:rPr>
            </w:pPr>
            <w:r>
              <w:rPr>
                <w:rFonts w:ascii="Arial;Helvetica;sans-serif" w:hAnsi="Arial;Helvetica;sans-serif"/>
                <w:color w:val="4C4C4C"/>
                <w:sz w:val="18"/>
              </w:rPr>
              <w:t>4/30/2025</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51" w:type="dxa"/>
            <w:tcBorders/>
            <w:vAlign w:val="center"/>
          </w:tcPr>
          <w:p>
            <w:pPr>
              <w:pStyle w:val="TableContents"/>
              <w:bidi w:val="0"/>
              <w:spacing w:before="0" w:after="0"/>
              <w:jc w:val="left"/>
              <w:rPr>
                <w:color w:val="4C4C4C"/>
              </w:rPr>
            </w:pPr>
            <w:r>
              <w:rPr>
                <w:color w:val="4C4C4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8" w:type="dxa"/>
            <w:tcBorders/>
            <w:vAlign w:val="center"/>
          </w:tcPr>
          <w:p>
            <w:pPr>
              <w:pStyle w:val="TableContents"/>
              <w:bidi w:val="0"/>
              <w:spacing w:before="0" w:after="283"/>
              <w:jc w:val="center"/>
              <w:rPr>
                <w:rFonts w:ascii="Arial;Helvetica;sans-serif" w:hAnsi="Arial;Helvetica;sans-serif"/>
                <w:color w:val="4C4C4C"/>
                <w:sz w:val="18"/>
              </w:rPr>
            </w:pPr>
            <w:r>
              <w:rPr>
                <w:rFonts w:ascii="Arial;Helvetica;sans-serif" w:hAnsi="Arial;Helvetica;sans-serif"/>
                <w:color w:val="4C4C4C"/>
                <w:sz w:val="18"/>
              </w:rPr>
              <w:t>(1)(3)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6" w:type="dxa"/>
            <w:tcBorders/>
            <w:vAlign w:val="center"/>
          </w:tcPr>
          <w:p>
            <w:pPr>
              <w:pStyle w:val="TableContents"/>
              <w:bidi w:val="0"/>
              <w:spacing w:before="0" w:after="283"/>
              <w:ind w:left="335" w:right="0" w:hanging="0"/>
              <w:jc w:val="left"/>
              <w:rPr>
                <w:rFonts w:ascii="Arial;Helvetica;sans-serif" w:hAnsi="Arial;Helvetica;sans-serif"/>
                <w:color w:val="4C4C4C"/>
                <w:sz w:val="18"/>
              </w:rPr>
            </w:pPr>
            <w:r>
              <w:rPr>
                <w:rFonts w:ascii="Arial;Helvetica;sans-serif" w:hAnsi="Arial;Helvetica;sans-serif"/>
                <w:color w:val="4C4C4C"/>
                <w:sz w:val="18"/>
              </w:rPr>
              <w:t>1,000,002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9" w:type="dxa"/>
            <w:tcBorders/>
            <w:vAlign w:val="center"/>
          </w:tcPr>
          <w:p>
            <w:pPr>
              <w:pStyle w:val="TableContents"/>
              <w:bidi w:val="0"/>
              <w:spacing w:before="0" w:after="283"/>
              <w:ind w:left="403" w:right="0" w:hanging="0"/>
              <w:jc w:val="left"/>
              <w:rPr>
                <w:color w:val="4C4C4C"/>
              </w:rPr>
            </w:pPr>
            <w:r>
              <w:rPr>
                <w:color w:val="4C4C4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3" w:type="dxa"/>
            <w:tcBorders/>
            <w:vAlign w:val="center"/>
          </w:tcPr>
          <w:p>
            <w:pPr>
              <w:pStyle w:val="TableContents"/>
              <w:bidi w:val="0"/>
              <w:spacing w:before="0" w:after="283"/>
              <w:ind w:left="246" w:right="0" w:hanging="0"/>
              <w:jc w:val="left"/>
              <w:rPr>
                <w:color w:val="4C4C4C"/>
              </w:rPr>
            </w:pPr>
            <w:r>
              <w:rPr>
                <w:color w:val="4C4C4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8" w:type="dxa"/>
            <w:tcBorders/>
            <w:vAlign w:val="center"/>
          </w:tcPr>
          <w:p>
            <w:pPr>
              <w:pStyle w:val="TableContents"/>
              <w:bidi w:val="0"/>
              <w:spacing w:before="0" w:after="283"/>
              <w:ind w:left="313" w:right="0" w:hanging="0"/>
              <w:jc w:val="left"/>
              <w:rPr>
                <w:rFonts w:ascii="Arial;Helvetica;sans-serif" w:hAnsi="Arial;Helvetica;sans-serif"/>
                <w:color w:val="4C4C4C"/>
                <w:sz w:val="18"/>
              </w:rPr>
            </w:pPr>
            <w:r>
              <w:rPr>
                <w:rFonts w:ascii="Arial;Helvetica;sans-serif" w:hAnsi="Arial;Helvetica;sans-serif"/>
                <w:color w:val="4C4C4C"/>
                <w:sz w:val="18"/>
              </w:rPr>
              <w:t>1.00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8" w:type="dxa"/>
            <w:tcBorders/>
            <w:vAlign w:val="center"/>
          </w:tcPr>
          <w:p>
            <w:pPr>
              <w:pStyle w:val="TableContents"/>
              <w:bidi w:val="0"/>
              <w:spacing w:before="0" w:after="283"/>
              <w:ind w:left="158" w:right="0" w:hanging="0"/>
              <w:jc w:val="left"/>
              <w:rPr>
                <w:rFonts w:ascii="Arial;Helvetica;sans-serif" w:hAnsi="Arial;Helvetica;sans-serif"/>
                <w:color w:val="4C4C4C"/>
                <w:sz w:val="18"/>
              </w:rPr>
            </w:pPr>
            <w:r>
              <w:rPr>
                <w:rFonts w:ascii="Arial;Helvetica;sans-serif" w:hAnsi="Arial;Helvetica;sans-serif"/>
                <w:color w:val="4C4C4C"/>
                <w:sz w:val="18"/>
              </w:rPr>
              <w:t>12/27/2026</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51" w:type="dxa"/>
            <w:tcBorders/>
            <w:vAlign w:val="center"/>
          </w:tcPr>
          <w:p>
            <w:pPr>
              <w:pStyle w:val="TableContents"/>
              <w:bidi w:val="0"/>
              <w:spacing w:before="0" w:after="0"/>
              <w:jc w:val="left"/>
              <w:rPr>
                <w:color w:val="4C4C4C"/>
              </w:rPr>
            </w:pPr>
            <w:r>
              <w:rPr>
                <w:color w:val="4C4C4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8" w:type="dxa"/>
            <w:tcBorders/>
            <w:vAlign w:val="center"/>
          </w:tcPr>
          <w:p>
            <w:pPr>
              <w:pStyle w:val="TableContents"/>
              <w:bidi w:val="0"/>
              <w:spacing w:before="0" w:after="283"/>
              <w:jc w:val="center"/>
              <w:rPr>
                <w:rFonts w:ascii="Arial;Helvetica;sans-serif" w:hAnsi="Arial;Helvetica;sans-serif"/>
                <w:color w:val="4C4C4C"/>
                <w:sz w:val="18"/>
              </w:rPr>
            </w:pPr>
            <w:r>
              <w:rPr>
                <w:rFonts w:ascii="Arial;Helvetica;sans-serif" w:hAnsi="Arial;Helvetica;sans-serif"/>
                <w:color w:val="4C4C4C"/>
                <w:sz w:val="18"/>
              </w:rPr>
              <w:t>(1)(3)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6" w:type="dxa"/>
            <w:tcBorders/>
            <w:vAlign w:val="center"/>
          </w:tcPr>
          <w:p>
            <w:pPr>
              <w:pStyle w:val="TableContents"/>
              <w:bidi w:val="0"/>
              <w:spacing w:before="0" w:after="283"/>
              <w:ind w:left="335" w:right="0" w:hanging="0"/>
              <w:jc w:val="left"/>
              <w:rPr>
                <w:rFonts w:ascii="Arial;Helvetica;sans-serif" w:hAnsi="Arial;Helvetica;sans-serif"/>
                <w:color w:val="4C4C4C"/>
                <w:sz w:val="18"/>
              </w:rPr>
            </w:pPr>
            <w:r>
              <w:rPr>
                <w:rFonts w:ascii="Arial;Helvetica;sans-serif" w:hAnsi="Arial;Helvetica;sans-serif"/>
                <w:color w:val="4C4C4C"/>
                <w:sz w:val="18"/>
              </w:rPr>
              <w:t>150,000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9" w:type="dxa"/>
            <w:tcBorders/>
            <w:vAlign w:val="center"/>
          </w:tcPr>
          <w:p>
            <w:pPr>
              <w:pStyle w:val="TableContents"/>
              <w:bidi w:val="0"/>
              <w:spacing w:before="0" w:after="0"/>
              <w:jc w:val="center"/>
              <w:rPr>
                <w:color w:val="4C4C4C"/>
              </w:rPr>
            </w:pPr>
            <w:r>
              <w:rPr>
                <w:color w:val="4C4C4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3" w:type="dxa"/>
            <w:tcBorders/>
            <w:vAlign w:val="center"/>
          </w:tcPr>
          <w:p>
            <w:pPr>
              <w:pStyle w:val="TableContents"/>
              <w:bidi w:val="0"/>
              <w:spacing w:before="0" w:after="283"/>
              <w:ind w:left="246" w:right="0" w:hanging="0"/>
              <w:jc w:val="left"/>
              <w:rPr>
                <w:color w:val="4C4C4C"/>
              </w:rPr>
            </w:pPr>
            <w:r>
              <w:rPr>
                <w:color w:val="4C4C4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8" w:type="dxa"/>
            <w:tcBorders/>
            <w:vAlign w:val="center"/>
          </w:tcPr>
          <w:p>
            <w:pPr>
              <w:pStyle w:val="TableContents"/>
              <w:bidi w:val="0"/>
              <w:spacing w:before="0" w:after="283"/>
              <w:ind w:left="313" w:right="0" w:hanging="0"/>
              <w:jc w:val="left"/>
              <w:rPr>
                <w:rFonts w:ascii="Arial;Helvetica;sans-serif" w:hAnsi="Arial;Helvetica;sans-serif"/>
                <w:color w:val="4C4C4C"/>
                <w:sz w:val="18"/>
              </w:rPr>
            </w:pPr>
            <w:r>
              <w:rPr>
                <w:rFonts w:ascii="Arial;Helvetica;sans-serif" w:hAnsi="Arial;Helvetica;sans-serif"/>
                <w:color w:val="4C4C4C"/>
                <w:sz w:val="18"/>
              </w:rPr>
              <w:t>5.60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8" w:type="dxa"/>
            <w:tcBorders/>
            <w:vAlign w:val="center"/>
          </w:tcPr>
          <w:p>
            <w:pPr>
              <w:pStyle w:val="TableContents"/>
              <w:bidi w:val="0"/>
              <w:spacing w:before="0" w:after="283"/>
              <w:ind w:left="158" w:right="0" w:hanging="0"/>
              <w:jc w:val="left"/>
              <w:rPr>
                <w:rFonts w:ascii="Arial;Helvetica;sans-serif" w:hAnsi="Arial;Helvetica;sans-serif"/>
                <w:color w:val="4C4C4C"/>
                <w:sz w:val="18"/>
              </w:rPr>
            </w:pPr>
            <w:r>
              <w:rPr>
                <w:rFonts w:ascii="Arial;Helvetica;sans-serif" w:hAnsi="Arial;Helvetica;sans-serif"/>
                <w:color w:val="4C4C4C"/>
                <w:sz w:val="18"/>
              </w:rPr>
              <w:t>4/22/2029</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51" w:type="dxa"/>
            <w:tcBorders/>
            <w:vAlign w:val="center"/>
          </w:tcPr>
          <w:p>
            <w:pPr>
              <w:pStyle w:val="TableContents"/>
              <w:bidi w:val="0"/>
              <w:spacing w:before="0" w:after="0"/>
              <w:jc w:val="left"/>
              <w:rPr>
                <w:color w:val="4C4C4C"/>
              </w:rPr>
            </w:pPr>
            <w:r>
              <w:rPr>
                <w:color w:val="4C4C4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8" w:type="dxa"/>
            <w:tcBorders/>
            <w:vAlign w:val="center"/>
          </w:tcPr>
          <w:p>
            <w:pPr>
              <w:pStyle w:val="TableContents"/>
              <w:bidi w:val="0"/>
              <w:spacing w:before="0" w:after="283"/>
              <w:jc w:val="center"/>
              <w:rPr>
                <w:rFonts w:ascii="Arial;Helvetica;sans-serif" w:hAnsi="Arial;Helvetica;sans-serif"/>
                <w:color w:val="4C4C4C"/>
                <w:sz w:val="18"/>
              </w:rPr>
            </w:pPr>
            <w:r>
              <w:rPr>
                <w:rFonts w:ascii="Arial;Helvetica;sans-serif" w:hAnsi="Arial;Helvetica;sans-serif"/>
                <w:color w:val="4C4C4C"/>
                <w:sz w:val="18"/>
              </w:rPr>
              <w:t>(1)(4)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6" w:type="dxa"/>
            <w:tcBorders/>
            <w:vAlign w:val="center"/>
          </w:tcPr>
          <w:p>
            <w:pPr>
              <w:pStyle w:val="TableContents"/>
              <w:bidi w:val="0"/>
              <w:spacing w:before="0" w:after="283"/>
              <w:ind w:left="335" w:right="0" w:hanging="0"/>
              <w:jc w:val="left"/>
              <w:rPr>
                <w:rFonts w:ascii="Arial;Helvetica;sans-serif" w:hAnsi="Arial;Helvetica;sans-serif"/>
                <w:color w:val="4C4C4C"/>
                <w:sz w:val="18"/>
              </w:rPr>
            </w:pPr>
            <w:r>
              <w:rPr>
                <w:rFonts w:ascii="Arial;Helvetica;sans-serif" w:hAnsi="Arial;Helvetica;sans-serif"/>
                <w:color w:val="4C4C4C"/>
                <w:sz w:val="18"/>
              </w:rPr>
              <w:t>545,397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9" w:type="dxa"/>
            <w:tcBorders/>
            <w:vAlign w:val="center"/>
          </w:tcPr>
          <w:p>
            <w:pPr>
              <w:pStyle w:val="TableContents"/>
              <w:bidi w:val="0"/>
              <w:spacing w:before="0" w:after="283"/>
              <w:ind w:left="403" w:right="0" w:hanging="0"/>
              <w:jc w:val="left"/>
              <w:rPr>
                <w:color w:val="4C4C4C"/>
              </w:rPr>
            </w:pPr>
            <w:r>
              <w:rPr>
                <w:color w:val="4C4C4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3" w:type="dxa"/>
            <w:tcBorders/>
            <w:vAlign w:val="center"/>
          </w:tcPr>
          <w:p>
            <w:pPr>
              <w:pStyle w:val="TableContents"/>
              <w:bidi w:val="0"/>
              <w:spacing w:before="0" w:after="283"/>
              <w:ind w:left="246" w:right="0" w:hanging="0"/>
              <w:jc w:val="left"/>
              <w:rPr>
                <w:rFonts w:ascii="Arial;Helvetica;sans-serif" w:hAnsi="Arial;Helvetica;sans-serif"/>
                <w:color w:val="4C4C4C"/>
                <w:sz w:val="18"/>
              </w:rPr>
            </w:pPr>
            <w:r>
              <w:rPr>
                <w:rFonts w:ascii="Arial;Helvetica;sans-serif" w:hAnsi="Arial;Helvetica;sans-serif"/>
                <w:color w:val="4C4C4C"/>
                <w:sz w:val="18"/>
              </w:rPr>
              <w:t>1,090,800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8" w:type="dxa"/>
            <w:tcBorders/>
            <w:vAlign w:val="center"/>
          </w:tcPr>
          <w:p>
            <w:pPr>
              <w:pStyle w:val="TableContents"/>
              <w:bidi w:val="0"/>
              <w:spacing w:before="0" w:after="283"/>
              <w:ind w:left="313" w:right="0" w:hanging="0"/>
              <w:jc w:val="left"/>
              <w:rPr>
                <w:rFonts w:ascii="Arial;Helvetica;sans-serif" w:hAnsi="Arial;Helvetica;sans-serif"/>
                <w:color w:val="4C4C4C"/>
                <w:sz w:val="18"/>
              </w:rPr>
            </w:pPr>
            <w:r>
              <w:rPr>
                <w:rFonts w:ascii="Arial;Helvetica;sans-serif" w:hAnsi="Arial;Helvetica;sans-serif"/>
                <w:color w:val="4C4C4C"/>
                <w:sz w:val="18"/>
              </w:rPr>
              <w:t>7.36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8" w:type="dxa"/>
            <w:tcBorders/>
            <w:vAlign w:val="center"/>
          </w:tcPr>
          <w:p>
            <w:pPr>
              <w:pStyle w:val="TableContents"/>
              <w:bidi w:val="0"/>
              <w:spacing w:before="0" w:after="283"/>
              <w:ind w:left="158" w:right="0" w:hanging="0"/>
              <w:jc w:val="left"/>
              <w:rPr>
                <w:rFonts w:ascii="Arial;Helvetica;sans-serif" w:hAnsi="Arial;Helvetica;sans-serif"/>
                <w:color w:val="4C4C4C"/>
                <w:sz w:val="18"/>
              </w:rPr>
            </w:pPr>
            <w:r>
              <w:rPr>
                <w:rFonts w:ascii="Arial;Helvetica;sans-serif" w:hAnsi="Arial;Helvetica;sans-serif"/>
                <w:color w:val="4C4C4C"/>
                <w:sz w:val="18"/>
              </w:rPr>
              <w:t>3/19/2030</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51" w:type="dxa"/>
            <w:tcBorders/>
            <w:vAlign w:val="center"/>
          </w:tcPr>
          <w:p>
            <w:pPr>
              <w:pStyle w:val="TableContents"/>
              <w:bidi w:val="0"/>
              <w:spacing w:before="0" w:after="0"/>
              <w:jc w:val="left"/>
              <w:rPr>
                <w:color w:val="4C4C4C"/>
              </w:rPr>
            </w:pPr>
            <w:r>
              <w:rPr>
                <w:color w:val="4C4C4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8" w:type="dxa"/>
            <w:tcBorders/>
            <w:vAlign w:val="center"/>
          </w:tcPr>
          <w:p>
            <w:pPr>
              <w:pStyle w:val="TableContents"/>
              <w:bidi w:val="0"/>
              <w:spacing w:before="0" w:after="283"/>
              <w:jc w:val="center"/>
              <w:rPr>
                <w:rFonts w:ascii="Arial;Helvetica;sans-serif" w:hAnsi="Arial;Helvetica;sans-serif"/>
                <w:color w:val="4C4C4C"/>
                <w:sz w:val="18"/>
              </w:rPr>
            </w:pPr>
            <w:r>
              <w:rPr>
                <w:rFonts w:ascii="Arial;Helvetica;sans-serif" w:hAnsi="Arial;Helvetica;sans-serif"/>
                <w:color w:val="4C4C4C"/>
                <w:sz w:val="18"/>
              </w:rPr>
              <w:t>(1)(5)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6" w:type="dxa"/>
            <w:tcBorders/>
            <w:vAlign w:val="center"/>
          </w:tcPr>
          <w:p>
            <w:pPr>
              <w:pStyle w:val="TableContents"/>
              <w:bidi w:val="0"/>
              <w:spacing w:before="0" w:after="283"/>
              <w:ind w:left="335" w:right="0" w:hanging="0"/>
              <w:jc w:val="left"/>
              <w:rPr>
                <w:rFonts w:ascii="Arial;Helvetica;sans-serif" w:hAnsi="Arial;Helvetica;sans-serif"/>
                <w:color w:val="4C4C4C"/>
                <w:sz w:val="18"/>
              </w:rPr>
            </w:pPr>
            <w:r>
              <w:rPr>
                <w:rFonts w:ascii="Arial;Helvetica;sans-serif" w:hAnsi="Arial;Helvetica;sans-serif"/>
                <w:color w:val="4C4C4C"/>
                <w:sz w:val="18"/>
              </w:rPr>
              <w:t>360,000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9" w:type="dxa"/>
            <w:tcBorders/>
            <w:vAlign w:val="center"/>
          </w:tcPr>
          <w:p>
            <w:pPr>
              <w:pStyle w:val="TableContents"/>
              <w:bidi w:val="0"/>
              <w:spacing w:before="0" w:after="283"/>
              <w:ind w:left="403" w:right="0" w:hanging="0"/>
              <w:jc w:val="left"/>
              <w:rPr>
                <w:rFonts w:ascii="Arial;Helvetica;sans-serif" w:hAnsi="Arial;Helvetica;sans-serif"/>
                <w:color w:val="4C4C4C"/>
                <w:sz w:val="18"/>
              </w:rPr>
            </w:pPr>
            <w:r>
              <w:rPr>
                <w:rFonts w:ascii="Arial;Helvetica;sans-serif" w:hAnsi="Arial;Helvetica;sans-serif"/>
                <w:color w:val="4C4C4C"/>
                <w:sz w:val="18"/>
              </w:rPr>
              <w:t>720,000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3" w:type="dxa"/>
            <w:tcBorders/>
            <w:vAlign w:val="center"/>
          </w:tcPr>
          <w:p>
            <w:pPr>
              <w:pStyle w:val="TableContents"/>
              <w:bidi w:val="0"/>
              <w:spacing w:before="0" w:after="283"/>
              <w:ind w:left="246" w:right="0" w:hanging="0"/>
              <w:jc w:val="left"/>
              <w:rPr>
                <w:color w:val="4C4C4C"/>
              </w:rPr>
            </w:pPr>
            <w:r>
              <w:rPr>
                <w:color w:val="4C4C4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8" w:type="dxa"/>
            <w:tcBorders/>
            <w:vAlign w:val="center"/>
          </w:tcPr>
          <w:p>
            <w:pPr>
              <w:pStyle w:val="TableContents"/>
              <w:bidi w:val="0"/>
              <w:spacing w:before="0" w:after="283"/>
              <w:ind w:left="313" w:right="0" w:hanging="0"/>
              <w:jc w:val="left"/>
              <w:rPr>
                <w:rFonts w:ascii="Arial;Helvetica;sans-serif" w:hAnsi="Arial;Helvetica;sans-serif"/>
                <w:color w:val="4C4C4C"/>
                <w:sz w:val="18"/>
              </w:rPr>
            </w:pPr>
            <w:r>
              <w:rPr>
                <w:rFonts w:ascii="Arial;Helvetica;sans-serif" w:hAnsi="Arial;Helvetica;sans-serif"/>
                <w:color w:val="4C4C4C"/>
                <w:sz w:val="18"/>
              </w:rPr>
              <w:t>13.89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8" w:type="dxa"/>
            <w:tcBorders/>
            <w:vAlign w:val="center"/>
          </w:tcPr>
          <w:p>
            <w:pPr>
              <w:pStyle w:val="TableContents"/>
              <w:bidi w:val="0"/>
              <w:spacing w:before="0" w:after="283"/>
              <w:ind w:left="158" w:right="0" w:hanging="0"/>
              <w:jc w:val="left"/>
              <w:rPr>
                <w:rFonts w:ascii="Arial;Helvetica;sans-serif" w:hAnsi="Arial;Helvetica;sans-serif"/>
                <w:color w:val="4C4C4C"/>
                <w:sz w:val="18"/>
              </w:rPr>
            </w:pPr>
            <w:r>
              <w:rPr>
                <w:rFonts w:ascii="Arial;Helvetica;sans-serif" w:hAnsi="Arial;Helvetica;sans-serif"/>
                <w:color w:val="4C4C4C"/>
                <w:sz w:val="18"/>
              </w:rPr>
              <w:t>8/9/2033</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51" w:type="dxa"/>
            <w:tcBorders/>
            <w:vAlign w:val="center"/>
          </w:tcPr>
          <w:p>
            <w:pPr>
              <w:pStyle w:val="TableContents"/>
              <w:bidi w:val="0"/>
              <w:spacing w:before="0" w:after="0"/>
              <w:jc w:val="left"/>
              <w:rPr>
                <w:color w:val="4C4C4C"/>
              </w:rPr>
            </w:pPr>
            <w:r>
              <w:rPr>
                <w:color w:val="4C4C4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8" w:type="dxa"/>
            <w:tcBorders/>
            <w:vAlign w:val="center"/>
          </w:tcPr>
          <w:p>
            <w:pPr>
              <w:pStyle w:val="TableContents"/>
              <w:bidi w:val="0"/>
              <w:spacing w:before="0" w:after="283"/>
              <w:jc w:val="center"/>
              <w:rPr>
                <w:rFonts w:ascii="Arial;Helvetica;sans-serif" w:hAnsi="Arial;Helvetica;sans-serif"/>
                <w:color w:val="4C4C4C"/>
                <w:sz w:val="18"/>
              </w:rPr>
            </w:pPr>
            <w:r>
              <w:rPr>
                <w:rFonts w:ascii="Arial;Helvetica;sans-serif" w:hAnsi="Arial;Helvetica;sans-serif"/>
                <w:color w:val="4C4C4C"/>
                <w:sz w:val="18"/>
              </w:rPr>
              <w:t>(2)(6)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6" w:type="dxa"/>
            <w:tcBorders/>
            <w:vAlign w:val="center"/>
          </w:tcPr>
          <w:p>
            <w:pPr>
              <w:pStyle w:val="TableContents"/>
              <w:bidi w:val="0"/>
              <w:spacing w:before="0" w:after="283"/>
              <w:ind w:left="335" w:right="0" w:hanging="0"/>
              <w:jc w:val="left"/>
              <w:rPr>
                <w:rFonts w:ascii="Arial;Helvetica;sans-serif" w:hAnsi="Arial;Helvetica;sans-serif"/>
                <w:color w:val="4C4C4C"/>
                <w:sz w:val="18"/>
              </w:rPr>
            </w:pPr>
            <w:r>
              <w:rPr>
                <w:rFonts w:ascii="Arial;Helvetica;sans-serif" w:hAnsi="Arial;Helvetica;sans-serif"/>
                <w:color w:val="4C4C4C"/>
                <w:sz w:val="18"/>
              </w:rPr>
              <w:t>312,500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9" w:type="dxa"/>
            <w:tcBorders/>
            <w:vAlign w:val="center"/>
          </w:tcPr>
          <w:p>
            <w:pPr>
              <w:pStyle w:val="TableContents"/>
              <w:bidi w:val="0"/>
              <w:spacing w:before="0" w:after="283"/>
              <w:ind w:left="403" w:right="0" w:hanging="0"/>
              <w:jc w:val="left"/>
              <w:rPr>
                <w:rFonts w:ascii="Arial;Helvetica;sans-serif" w:hAnsi="Arial;Helvetica;sans-serif"/>
                <w:color w:val="4C4C4C"/>
                <w:sz w:val="18"/>
              </w:rPr>
            </w:pPr>
            <w:r>
              <w:rPr>
                <w:rFonts w:ascii="Arial;Helvetica;sans-serif" w:hAnsi="Arial;Helvetica;sans-serif"/>
                <w:color w:val="4C4C4C"/>
                <w:sz w:val="18"/>
              </w:rPr>
              <w:t>937,500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3" w:type="dxa"/>
            <w:tcBorders/>
            <w:vAlign w:val="center"/>
          </w:tcPr>
          <w:p>
            <w:pPr>
              <w:pStyle w:val="TableContents"/>
              <w:bidi w:val="0"/>
              <w:spacing w:before="0" w:after="283"/>
              <w:ind w:left="246" w:right="0" w:hanging="0"/>
              <w:jc w:val="left"/>
              <w:rPr>
                <w:color w:val="4C4C4C"/>
              </w:rPr>
            </w:pPr>
            <w:r>
              <w:rPr>
                <w:color w:val="4C4C4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8" w:type="dxa"/>
            <w:tcBorders/>
            <w:vAlign w:val="center"/>
          </w:tcPr>
          <w:p>
            <w:pPr>
              <w:pStyle w:val="TableContents"/>
              <w:bidi w:val="0"/>
              <w:spacing w:before="0" w:after="283"/>
              <w:ind w:left="313" w:right="0" w:hanging="0"/>
              <w:jc w:val="left"/>
              <w:rPr>
                <w:rFonts w:ascii="Arial;Helvetica;sans-serif" w:hAnsi="Arial;Helvetica;sans-serif"/>
                <w:color w:val="4C4C4C"/>
                <w:sz w:val="18"/>
              </w:rPr>
            </w:pPr>
            <w:r>
              <w:rPr>
                <w:rFonts w:ascii="Arial;Helvetica;sans-serif" w:hAnsi="Arial;Helvetica;sans-serif"/>
                <w:color w:val="4C4C4C"/>
                <w:sz w:val="18"/>
              </w:rPr>
              <w:t>7.06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8" w:type="dxa"/>
            <w:tcBorders/>
            <w:vAlign w:val="center"/>
          </w:tcPr>
          <w:p>
            <w:pPr>
              <w:pStyle w:val="TableContents"/>
              <w:bidi w:val="0"/>
              <w:spacing w:before="0" w:after="283"/>
              <w:ind w:left="158" w:right="0" w:hanging="0"/>
              <w:jc w:val="left"/>
              <w:rPr>
                <w:rFonts w:ascii="Arial;Helvetica;sans-serif" w:hAnsi="Arial;Helvetica;sans-serif"/>
                <w:color w:val="4C4C4C"/>
                <w:sz w:val="18"/>
              </w:rPr>
            </w:pPr>
            <w:r>
              <w:rPr>
                <w:rFonts w:ascii="Arial;Helvetica;sans-serif" w:hAnsi="Arial;Helvetica;sans-serif"/>
                <w:color w:val="4C4C4C"/>
                <w:sz w:val="18"/>
              </w:rPr>
              <w:t>8/2/2028</w:t>
            </w:r>
          </w:p>
        </w:tc>
        <w:tc>
          <w:tcPr>
            <w:tcW w:w="217" w:type="dxa"/>
            <w:tcBorders/>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1151" w:type="dxa"/>
            <w:tcBorders/>
            <w:shd w:fill="BAE2F8" w:val="clear"/>
            <w:vAlign w:val="center"/>
          </w:tcPr>
          <w:p>
            <w:pPr>
              <w:pStyle w:val="TableContents"/>
              <w:bidi w:val="0"/>
              <w:spacing w:before="0" w:after="283"/>
              <w:ind w:left="20" w:right="0" w:hanging="0"/>
              <w:jc w:val="left"/>
              <w:rPr>
                <w:rFonts w:ascii="Arial;Helvetica;sans-serif" w:hAnsi="Arial;Helvetica;sans-serif"/>
                <w:color w:val="4C4C4C"/>
                <w:sz w:val="18"/>
              </w:rPr>
            </w:pPr>
            <w:r>
              <w:rPr>
                <w:rFonts w:ascii="Arial;Helvetica;sans-serif" w:hAnsi="Arial;Helvetica;sans-serif"/>
                <w:color w:val="4C4C4C"/>
                <w:sz w:val="18"/>
              </w:rPr>
              <w:t>Mark McKechnie</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368" w:type="dxa"/>
            <w:tcBorders/>
            <w:shd w:fill="BAE2F8" w:val="clear"/>
            <w:vAlign w:val="center"/>
          </w:tcPr>
          <w:p>
            <w:pPr>
              <w:pStyle w:val="TableContents"/>
              <w:bidi w:val="0"/>
              <w:spacing w:before="0" w:after="283"/>
              <w:jc w:val="center"/>
              <w:rPr>
                <w:rFonts w:ascii="Arial;Helvetica;sans-serif" w:hAnsi="Arial;Helvetica;sans-serif"/>
                <w:color w:val="4C4C4C"/>
                <w:sz w:val="18"/>
              </w:rPr>
            </w:pPr>
            <w:r>
              <w:rPr>
                <w:rFonts w:ascii="Arial;Helvetica;sans-serif" w:hAnsi="Arial;Helvetica;sans-serif"/>
                <w:color w:val="4C4C4C"/>
                <w:sz w:val="18"/>
              </w:rPr>
              <w:t>(1)(3)</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416" w:type="dxa"/>
            <w:tcBorders/>
            <w:shd w:fill="BAE2F8" w:val="clear"/>
            <w:vAlign w:val="center"/>
          </w:tcPr>
          <w:p>
            <w:pPr>
              <w:pStyle w:val="TableContents"/>
              <w:bidi w:val="0"/>
              <w:spacing w:before="0" w:after="283"/>
              <w:ind w:left="335" w:right="0" w:hanging="0"/>
              <w:jc w:val="left"/>
              <w:rPr>
                <w:rFonts w:ascii="Arial;Helvetica;sans-serif" w:hAnsi="Arial;Helvetica;sans-serif"/>
                <w:color w:val="4C4C4C"/>
                <w:sz w:val="18"/>
              </w:rPr>
            </w:pPr>
            <w:r>
              <w:rPr>
                <w:rFonts w:ascii="Arial;Helvetica;sans-serif" w:hAnsi="Arial;Helvetica;sans-serif"/>
                <w:color w:val="4C4C4C"/>
                <w:sz w:val="18"/>
              </w:rPr>
              <w:t>45,000</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539" w:type="dxa"/>
            <w:tcBorders/>
            <w:shd w:fill="BAE2F8" w:val="clear"/>
            <w:vAlign w:val="center"/>
          </w:tcPr>
          <w:p>
            <w:pPr>
              <w:pStyle w:val="TableContents"/>
              <w:bidi w:val="0"/>
              <w:spacing w:before="0" w:after="283"/>
              <w:ind w:left="403" w:right="0" w:hanging="0"/>
              <w:jc w:val="left"/>
              <w:rPr>
                <w:color w:val="4C4C4C"/>
              </w:rPr>
            </w:pPr>
            <w:r>
              <w:rPr>
                <w:color w:val="4C4C4C"/>
              </w:rPr>
              <w:t>—</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223" w:type="dxa"/>
            <w:tcBorders/>
            <w:shd w:fill="BAE2F8" w:val="clear"/>
            <w:vAlign w:val="center"/>
          </w:tcPr>
          <w:p>
            <w:pPr>
              <w:pStyle w:val="TableContents"/>
              <w:bidi w:val="0"/>
              <w:spacing w:before="0" w:after="283"/>
              <w:ind w:left="246" w:right="0" w:hanging="0"/>
              <w:jc w:val="left"/>
              <w:rPr>
                <w:color w:val="4C4C4C"/>
              </w:rPr>
            </w:pPr>
            <w:r>
              <w:rPr>
                <w:color w:val="4C4C4C"/>
              </w:rPr>
              <w:t>—</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958" w:type="dxa"/>
            <w:tcBorders/>
            <w:shd w:fill="BAE2F8" w:val="clear"/>
            <w:vAlign w:val="center"/>
          </w:tcPr>
          <w:p>
            <w:pPr>
              <w:pStyle w:val="TableContents"/>
              <w:bidi w:val="0"/>
              <w:spacing w:before="0" w:after="283"/>
              <w:ind w:left="313" w:right="0" w:hanging="0"/>
              <w:jc w:val="left"/>
              <w:rPr>
                <w:color w:val="4C4C4C"/>
              </w:rPr>
            </w:pPr>
            <w:r>
              <w:rPr>
                <w:color w:val="4C4C4C"/>
              </w:rPr>
              <w:t>​</w:t>
            </w:r>
            <w:r>
              <w:rPr>
                <w:rFonts w:ascii="Arial;Helvetica;sans-serif" w:hAnsi="Arial;Helvetica;sans-serif"/>
                <w:color w:val="4C4C4C"/>
                <w:sz w:val="18"/>
              </w:rPr>
              <w:t>5.60</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108" w:type="dxa"/>
            <w:tcBorders/>
            <w:shd w:fill="BAE2F8" w:val="clear"/>
            <w:vAlign w:val="center"/>
          </w:tcPr>
          <w:p>
            <w:pPr>
              <w:pStyle w:val="TableContents"/>
              <w:bidi w:val="0"/>
              <w:spacing w:before="0" w:after="283"/>
              <w:ind w:left="158" w:right="0" w:hanging="0"/>
              <w:jc w:val="left"/>
              <w:rPr>
                <w:rFonts w:ascii="Arial;Helvetica;sans-serif" w:hAnsi="Arial;Helvetica;sans-serif"/>
                <w:color w:val="4C4C4C"/>
                <w:sz w:val="18"/>
              </w:rPr>
            </w:pPr>
            <w:r>
              <w:rPr>
                <w:rFonts w:ascii="Arial;Helvetica;sans-serif" w:hAnsi="Arial;Helvetica;sans-serif"/>
                <w:color w:val="4C4C4C"/>
                <w:sz w:val="18"/>
              </w:rPr>
              <w:t>04/22/2029</w:t>
            </w:r>
          </w:p>
        </w:tc>
        <w:tc>
          <w:tcPr>
            <w:tcW w:w="217" w:type="dxa"/>
            <w:tcBorders/>
            <w:shd w:fill="BAE2F8" w:val="clear"/>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1151" w:type="dxa"/>
            <w:tcBorders/>
            <w:shd w:fill="BAE2F8" w:val="clear"/>
            <w:vAlign w:val="center"/>
          </w:tcPr>
          <w:p>
            <w:pPr>
              <w:pStyle w:val="TableContents"/>
              <w:bidi w:val="0"/>
              <w:spacing w:before="0" w:after="283"/>
              <w:ind w:left="20" w:right="0" w:hanging="0"/>
              <w:jc w:val="left"/>
              <w:rPr>
                <w:color w:val="4C4C4C"/>
              </w:rPr>
            </w:pPr>
            <w:r>
              <w:rPr>
                <w:color w:val="4C4C4C"/>
              </w:rPr>
              <w:t>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368" w:type="dxa"/>
            <w:tcBorders/>
            <w:shd w:fill="BAE2F8" w:val="clear"/>
            <w:vAlign w:val="center"/>
          </w:tcPr>
          <w:p>
            <w:pPr>
              <w:pStyle w:val="TableContents"/>
              <w:bidi w:val="0"/>
              <w:spacing w:before="0" w:after="283"/>
              <w:jc w:val="center"/>
              <w:rPr>
                <w:rFonts w:ascii="Arial;Helvetica;sans-serif" w:hAnsi="Arial;Helvetica;sans-serif"/>
                <w:color w:val="4C4C4C"/>
                <w:sz w:val="18"/>
              </w:rPr>
            </w:pPr>
            <w:r>
              <w:rPr>
                <w:rFonts w:ascii="Arial;Helvetica;sans-serif" w:hAnsi="Arial;Helvetica;sans-serif"/>
                <w:color w:val="4C4C4C"/>
                <w:sz w:val="18"/>
              </w:rPr>
              <w:t>(1)(3)</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416" w:type="dxa"/>
            <w:tcBorders/>
            <w:shd w:fill="BAE2F8" w:val="clear"/>
            <w:vAlign w:val="center"/>
          </w:tcPr>
          <w:p>
            <w:pPr>
              <w:pStyle w:val="TableContents"/>
              <w:bidi w:val="0"/>
              <w:spacing w:before="0" w:after="283"/>
              <w:ind w:left="335" w:right="0" w:hanging="0"/>
              <w:jc w:val="left"/>
              <w:rPr>
                <w:rFonts w:ascii="Arial;Helvetica;sans-serif" w:hAnsi="Arial;Helvetica;sans-serif"/>
                <w:color w:val="4C4C4C"/>
                <w:sz w:val="18"/>
              </w:rPr>
            </w:pPr>
            <w:r>
              <w:rPr>
                <w:rFonts w:ascii="Arial;Helvetica;sans-serif" w:hAnsi="Arial;Helvetica;sans-serif"/>
                <w:color w:val="4C4C4C"/>
                <w:sz w:val="18"/>
              </w:rPr>
              <w:t>8,750</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539" w:type="dxa"/>
            <w:tcBorders/>
            <w:shd w:fill="BAE2F8" w:val="clear"/>
            <w:vAlign w:val="center"/>
          </w:tcPr>
          <w:p>
            <w:pPr>
              <w:pStyle w:val="TableContents"/>
              <w:bidi w:val="0"/>
              <w:spacing w:before="0" w:after="283"/>
              <w:ind w:left="403" w:right="0" w:hanging="0"/>
              <w:jc w:val="left"/>
              <w:rPr>
                <w:color w:val="4C4C4C"/>
              </w:rPr>
            </w:pPr>
            <w:r>
              <w:rPr>
                <w:color w:val="4C4C4C"/>
              </w:rPr>
              <w:t>—</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223" w:type="dxa"/>
            <w:tcBorders/>
            <w:shd w:fill="BAE2F8" w:val="clear"/>
            <w:vAlign w:val="center"/>
          </w:tcPr>
          <w:p>
            <w:pPr>
              <w:pStyle w:val="TableContents"/>
              <w:bidi w:val="0"/>
              <w:spacing w:before="0" w:after="283"/>
              <w:ind w:left="246" w:right="0" w:hanging="0"/>
              <w:jc w:val="left"/>
              <w:rPr>
                <w:color w:val="4C4C4C"/>
              </w:rPr>
            </w:pPr>
            <w:r>
              <w:rPr>
                <w:color w:val="4C4C4C"/>
              </w:rPr>
              <w:t>—</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958" w:type="dxa"/>
            <w:tcBorders/>
            <w:shd w:fill="BAE2F8" w:val="clear"/>
            <w:vAlign w:val="center"/>
          </w:tcPr>
          <w:p>
            <w:pPr>
              <w:pStyle w:val="TableContents"/>
              <w:bidi w:val="0"/>
              <w:spacing w:before="0" w:after="283"/>
              <w:ind w:left="313" w:right="0" w:hanging="0"/>
              <w:jc w:val="left"/>
              <w:rPr>
                <w:color w:val="4C4C4C"/>
              </w:rPr>
            </w:pPr>
            <w:r>
              <w:rPr>
                <w:color w:val="4C4C4C"/>
              </w:rPr>
              <w:t>​</w:t>
            </w:r>
            <w:r>
              <w:rPr>
                <w:rFonts w:ascii="Arial;Helvetica;sans-serif" w:hAnsi="Arial;Helvetica;sans-serif"/>
                <w:color w:val="4C4C4C"/>
                <w:sz w:val="18"/>
              </w:rPr>
              <w:t>4.55</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108" w:type="dxa"/>
            <w:tcBorders/>
            <w:shd w:fill="BAE2F8" w:val="clear"/>
            <w:vAlign w:val="center"/>
          </w:tcPr>
          <w:p>
            <w:pPr>
              <w:pStyle w:val="TableContents"/>
              <w:bidi w:val="0"/>
              <w:spacing w:before="0" w:after="283"/>
              <w:ind w:left="158" w:right="0" w:hanging="0"/>
              <w:jc w:val="left"/>
              <w:rPr>
                <w:rFonts w:ascii="Arial;Helvetica;sans-serif" w:hAnsi="Arial;Helvetica;sans-serif"/>
                <w:color w:val="4C4C4C"/>
                <w:sz w:val="18"/>
              </w:rPr>
            </w:pPr>
            <w:r>
              <w:rPr>
                <w:rFonts w:ascii="Arial;Helvetica;sans-serif" w:hAnsi="Arial;Helvetica;sans-serif"/>
                <w:color w:val="4C4C4C"/>
                <w:sz w:val="18"/>
              </w:rPr>
              <w:t>11/03/2029</w:t>
            </w:r>
          </w:p>
        </w:tc>
        <w:tc>
          <w:tcPr>
            <w:tcW w:w="217" w:type="dxa"/>
            <w:tcBorders/>
            <w:shd w:fill="BAE2F8" w:val="clear"/>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1151" w:type="dxa"/>
            <w:tcBorders/>
            <w:shd w:fill="BAE2F8" w:val="clear"/>
            <w:vAlign w:val="center"/>
          </w:tcPr>
          <w:p>
            <w:pPr>
              <w:pStyle w:val="TableContents"/>
              <w:bidi w:val="0"/>
              <w:spacing w:before="0" w:after="283"/>
              <w:ind w:left="20" w:right="0" w:hanging="0"/>
              <w:jc w:val="left"/>
              <w:rPr>
                <w:color w:val="4C4C4C"/>
              </w:rPr>
            </w:pPr>
            <w:r>
              <w:rPr>
                <w:color w:val="4C4C4C"/>
              </w:rPr>
              <w:t>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368" w:type="dxa"/>
            <w:tcBorders/>
            <w:shd w:fill="BAE2F8" w:val="clear"/>
            <w:vAlign w:val="center"/>
          </w:tcPr>
          <w:p>
            <w:pPr>
              <w:pStyle w:val="TableContents"/>
              <w:bidi w:val="0"/>
              <w:spacing w:before="0" w:after="283"/>
              <w:jc w:val="center"/>
              <w:rPr>
                <w:rFonts w:ascii="Arial;Helvetica;sans-serif" w:hAnsi="Arial;Helvetica;sans-serif"/>
                <w:color w:val="4C4C4C"/>
                <w:sz w:val="18"/>
              </w:rPr>
            </w:pPr>
            <w:r>
              <w:rPr>
                <w:rFonts w:ascii="Arial;Helvetica;sans-serif" w:hAnsi="Arial;Helvetica;sans-serif"/>
                <w:color w:val="4C4C4C"/>
                <w:sz w:val="18"/>
              </w:rPr>
              <w:t>(1)(3)</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416" w:type="dxa"/>
            <w:tcBorders/>
            <w:shd w:fill="BAE2F8" w:val="clear"/>
            <w:vAlign w:val="center"/>
          </w:tcPr>
          <w:p>
            <w:pPr>
              <w:pStyle w:val="TableContents"/>
              <w:bidi w:val="0"/>
              <w:spacing w:before="0" w:after="283"/>
              <w:ind w:left="335" w:right="0" w:hanging="0"/>
              <w:jc w:val="left"/>
              <w:rPr>
                <w:rFonts w:ascii="Arial;Helvetica;sans-serif" w:hAnsi="Arial;Helvetica;sans-serif"/>
                <w:color w:val="4C4C4C"/>
                <w:sz w:val="18"/>
              </w:rPr>
            </w:pPr>
            <w:r>
              <w:rPr>
                <w:rFonts w:ascii="Arial;Helvetica;sans-serif" w:hAnsi="Arial;Helvetica;sans-serif"/>
                <w:color w:val="4C4C4C"/>
                <w:sz w:val="18"/>
              </w:rPr>
              <w:t>22,500</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539" w:type="dxa"/>
            <w:tcBorders/>
            <w:shd w:fill="BAE2F8" w:val="clear"/>
            <w:vAlign w:val="center"/>
          </w:tcPr>
          <w:p>
            <w:pPr>
              <w:pStyle w:val="TableContents"/>
              <w:bidi w:val="0"/>
              <w:spacing w:before="0" w:after="283"/>
              <w:ind w:left="403" w:right="0" w:hanging="0"/>
              <w:jc w:val="left"/>
              <w:rPr>
                <w:color w:val="4C4C4C"/>
              </w:rPr>
            </w:pPr>
            <w:r>
              <w:rPr>
                <w:color w:val="4C4C4C"/>
              </w:rPr>
              <w:t>—</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223" w:type="dxa"/>
            <w:tcBorders/>
            <w:shd w:fill="BAE2F8" w:val="clear"/>
            <w:vAlign w:val="center"/>
          </w:tcPr>
          <w:p>
            <w:pPr>
              <w:pStyle w:val="TableContents"/>
              <w:bidi w:val="0"/>
              <w:spacing w:before="0" w:after="283"/>
              <w:ind w:left="246" w:right="0" w:hanging="0"/>
              <w:jc w:val="left"/>
              <w:rPr>
                <w:color w:val="4C4C4C"/>
              </w:rPr>
            </w:pPr>
            <w:r>
              <w:rPr>
                <w:color w:val="4C4C4C"/>
              </w:rPr>
              <w:t>—</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958" w:type="dxa"/>
            <w:tcBorders/>
            <w:shd w:fill="BAE2F8" w:val="clear"/>
            <w:vAlign w:val="center"/>
          </w:tcPr>
          <w:p>
            <w:pPr>
              <w:pStyle w:val="TableContents"/>
              <w:bidi w:val="0"/>
              <w:spacing w:before="0" w:after="283"/>
              <w:ind w:left="313" w:right="0" w:hanging="0"/>
              <w:jc w:val="left"/>
              <w:rPr>
                <w:rFonts w:ascii="Arial;Helvetica;sans-serif" w:hAnsi="Arial;Helvetica;sans-serif"/>
                <w:color w:val="4C4C4C"/>
                <w:sz w:val="18"/>
              </w:rPr>
            </w:pPr>
            <w:r>
              <w:rPr>
                <w:rFonts w:ascii="Arial;Helvetica;sans-serif" w:hAnsi="Arial;Helvetica;sans-serif"/>
                <w:color w:val="4C4C4C"/>
                <w:sz w:val="18"/>
              </w:rPr>
              <w:t>25.45</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108" w:type="dxa"/>
            <w:tcBorders/>
            <w:shd w:fill="BAE2F8" w:val="clear"/>
            <w:vAlign w:val="center"/>
          </w:tcPr>
          <w:p>
            <w:pPr>
              <w:pStyle w:val="TableContents"/>
              <w:bidi w:val="0"/>
              <w:spacing w:before="0" w:after="283"/>
              <w:ind w:left="158" w:right="0" w:hanging="0"/>
              <w:jc w:val="left"/>
              <w:rPr>
                <w:rFonts w:ascii="Arial;Helvetica;sans-serif" w:hAnsi="Arial;Helvetica;sans-serif"/>
                <w:color w:val="4C4C4C"/>
                <w:sz w:val="18"/>
              </w:rPr>
            </w:pPr>
            <w:r>
              <w:rPr>
                <w:rFonts w:ascii="Arial;Helvetica;sans-serif" w:hAnsi="Arial;Helvetica;sans-serif"/>
                <w:color w:val="4C4C4C"/>
                <w:sz w:val="18"/>
              </w:rPr>
              <w:t>03/03/2032</w:t>
            </w:r>
          </w:p>
        </w:tc>
        <w:tc>
          <w:tcPr>
            <w:tcW w:w="217" w:type="dxa"/>
            <w:tcBorders/>
            <w:shd w:fill="BAE2F8" w:val="clear"/>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1151" w:type="dxa"/>
            <w:tcBorders/>
            <w:shd w:fill="BAE2F8" w:val="clear"/>
            <w:vAlign w:val="center"/>
          </w:tcPr>
          <w:p>
            <w:pPr>
              <w:pStyle w:val="TableContents"/>
              <w:bidi w:val="0"/>
              <w:spacing w:before="0" w:after="283"/>
              <w:ind w:left="20" w:right="0" w:hanging="0"/>
              <w:jc w:val="left"/>
              <w:rPr>
                <w:color w:val="4C4C4C"/>
              </w:rPr>
            </w:pPr>
            <w:r>
              <w:rPr>
                <w:color w:val="4C4C4C"/>
              </w:rPr>
              <w:t>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368" w:type="dxa"/>
            <w:tcBorders/>
            <w:shd w:fill="BAE2F8" w:val="clear"/>
            <w:vAlign w:val="center"/>
          </w:tcPr>
          <w:p>
            <w:pPr>
              <w:pStyle w:val="TableContents"/>
              <w:bidi w:val="0"/>
              <w:spacing w:before="0" w:after="283"/>
              <w:jc w:val="center"/>
              <w:rPr>
                <w:rFonts w:ascii="Arial;Helvetica;sans-serif" w:hAnsi="Arial;Helvetica;sans-serif"/>
                <w:color w:val="4C4C4C"/>
                <w:sz w:val="18"/>
              </w:rPr>
            </w:pPr>
            <w:r>
              <w:rPr>
                <w:rFonts w:ascii="Arial;Helvetica;sans-serif" w:hAnsi="Arial;Helvetica;sans-serif"/>
                <w:color w:val="4C4C4C"/>
                <w:sz w:val="18"/>
              </w:rPr>
              <w:t>(1)(7)</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416" w:type="dxa"/>
            <w:tcBorders/>
            <w:shd w:fill="BAE2F8" w:val="clear"/>
            <w:vAlign w:val="center"/>
          </w:tcPr>
          <w:p>
            <w:pPr>
              <w:pStyle w:val="TableContents"/>
              <w:bidi w:val="0"/>
              <w:spacing w:before="0" w:after="283"/>
              <w:ind w:left="335" w:right="0" w:hanging="0"/>
              <w:jc w:val="left"/>
              <w:rPr>
                <w:rFonts w:ascii="Arial;Helvetica;sans-serif" w:hAnsi="Arial;Helvetica;sans-serif"/>
                <w:color w:val="4C4C4C"/>
                <w:sz w:val="18"/>
              </w:rPr>
            </w:pPr>
            <w:r>
              <w:rPr>
                <w:rFonts w:ascii="Arial;Helvetica;sans-serif" w:hAnsi="Arial;Helvetica;sans-serif"/>
                <w:color w:val="4C4C4C"/>
                <w:sz w:val="18"/>
              </w:rPr>
              <w:t>58,333</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539" w:type="dxa"/>
            <w:tcBorders/>
            <w:shd w:fill="BAE2F8" w:val="clear"/>
            <w:vAlign w:val="center"/>
          </w:tcPr>
          <w:p>
            <w:pPr>
              <w:pStyle w:val="TableContents"/>
              <w:bidi w:val="0"/>
              <w:spacing w:before="0" w:after="283"/>
              <w:ind w:left="403" w:right="0" w:hanging="0"/>
              <w:jc w:val="left"/>
              <w:rPr>
                <w:rFonts w:ascii="Arial;Helvetica;sans-serif" w:hAnsi="Arial;Helvetica;sans-serif"/>
                <w:color w:val="4C4C4C"/>
                <w:sz w:val="18"/>
              </w:rPr>
            </w:pPr>
            <w:r>
              <w:rPr>
                <w:rFonts w:ascii="Arial;Helvetica;sans-serif" w:hAnsi="Arial;Helvetica;sans-serif"/>
                <w:color w:val="4C4C4C"/>
                <w:sz w:val="18"/>
              </w:rPr>
              <w:t>41,667</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223" w:type="dxa"/>
            <w:tcBorders/>
            <w:shd w:fill="BAE2F8" w:val="clear"/>
            <w:vAlign w:val="center"/>
          </w:tcPr>
          <w:p>
            <w:pPr>
              <w:pStyle w:val="TableContents"/>
              <w:bidi w:val="0"/>
              <w:spacing w:before="0" w:after="283"/>
              <w:ind w:left="246" w:right="0" w:hanging="0"/>
              <w:jc w:val="left"/>
              <w:rPr>
                <w:color w:val="4C4C4C"/>
              </w:rPr>
            </w:pPr>
            <w:r>
              <w:rPr>
                <w:color w:val="4C4C4C"/>
              </w:rPr>
              <w:t>—</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958" w:type="dxa"/>
            <w:tcBorders/>
            <w:shd w:fill="BAE2F8" w:val="clear"/>
            <w:vAlign w:val="center"/>
          </w:tcPr>
          <w:p>
            <w:pPr>
              <w:pStyle w:val="TableContents"/>
              <w:bidi w:val="0"/>
              <w:spacing w:before="0" w:after="283"/>
              <w:ind w:left="313" w:right="0" w:hanging="0"/>
              <w:jc w:val="left"/>
              <w:rPr>
                <w:rFonts w:ascii="Arial;Helvetica;sans-serif" w:hAnsi="Arial;Helvetica;sans-serif"/>
                <w:color w:val="4C4C4C"/>
                <w:sz w:val="18"/>
              </w:rPr>
            </w:pPr>
            <w:r>
              <w:rPr>
                <w:rFonts w:ascii="Arial;Helvetica;sans-serif" w:hAnsi="Arial;Helvetica;sans-serif"/>
                <w:color w:val="4C4C4C"/>
                <w:sz w:val="18"/>
              </w:rPr>
              <w:t>19.49</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108" w:type="dxa"/>
            <w:tcBorders/>
            <w:shd w:fill="BAE2F8" w:val="clear"/>
            <w:vAlign w:val="center"/>
          </w:tcPr>
          <w:p>
            <w:pPr>
              <w:pStyle w:val="TableContents"/>
              <w:bidi w:val="0"/>
              <w:spacing w:before="0" w:after="283"/>
              <w:ind w:left="158" w:right="0" w:hanging="0"/>
              <w:jc w:val="left"/>
              <w:rPr>
                <w:rFonts w:ascii="Arial;Helvetica;sans-serif" w:hAnsi="Arial;Helvetica;sans-serif"/>
                <w:color w:val="4C4C4C"/>
                <w:sz w:val="18"/>
              </w:rPr>
            </w:pPr>
            <w:r>
              <w:rPr>
                <w:rFonts w:ascii="Arial;Helvetica;sans-serif" w:hAnsi="Arial;Helvetica;sans-serif"/>
                <w:color w:val="4C4C4C"/>
                <w:sz w:val="18"/>
              </w:rPr>
              <w:t>08/11/2032</w:t>
            </w:r>
          </w:p>
        </w:tc>
        <w:tc>
          <w:tcPr>
            <w:tcW w:w="217" w:type="dxa"/>
            <w:tcBorders/>
            <w:shd w:fill="BAE2F8" w:val="clear"/>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1151" w:type="dxa"/>
            <w:tcBorders/>
            <w:shd w:fill="BAE2F8" w:val="clear"/>
            <w:vAlign w:val="center"/>
          </w:tcPr>
          <w:p>
            <w:pPr>
              <w:pStyle w:val="TableContents"/>
              <w:bidi w:val="0"/>
              <w:spacing w:before="0" w:after="283"/>
              <w:ind w:left="20" w:right="0" w:hanging="0"/>
              <w:jc w:val="left"/>
              <w:rPr>
                <w:color w:val="4C4C4C"/>
              </w:rPr>
            </w:pPr>
            <w:r>
              <w:rPr>
                <w:color w:val="4C4C4C"/>
              </w:rPr>
              <w:t>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368" w:type="dxa"/>
            <w:tcBorders/>
            <w:shd w:fill="BAE2F8" w:val="clear"/>
            <w:vAlign w:val="center"/>
          </w:tcPr>
          <w:p>
            <w:pPr>
              <w:pStyle w:val="TableContents"/>
              <w:bidi w:val="0"/>
              <w:spacing w:before="0" w:after="283"/>
              <w:jc w:val="center"/>
              <w:rPr>
                <w:rFonts w:ascii="Arial;Helvetica;sans-serif" w:hAnsi="Arial;Helvetica;sans-serif"/>
                <w:color w:val="4C4C4C"/>
                <w:sz w:val="18"/>
              </w:rPr>
            </w:pPr>
            <w:r>
              <w:rPr>
                <w:rFonts w:ascii="Arial;Helvetica;sans-serif" w:hAnsi="Arial;Helvetica;sans-serif"/>
                <w:color w:val="4C4C4C"/>
                <w:sz w:val="18"/>
              </w:rPr>
              <w:t>(1)(5)</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416" w:type="dxa"/>
            <w:tcBorders/>
            <w:shd w:fill="BAE2F8" w:val="clear"/>
            <w:vAlign w:val="center"/>
          </w:tcPr>
          <w:p>
            <w:pPr>
              <w:pStyle w:val="TableContents"/>
              <w:bidi w:val="0"/>
              <w:spacing w:before="0" w:after="283"/>
              <w:ind w:left="335" w:right="0" w:hanging="0"/>
              <w:jc w:val="left"/>
              <w:rPr>
                <w:rFonts w:ascii="Arial;Helvetica;sans-serif" w:hAnsi="Arial;Helvetica;sans-serif"/>
                <w:color w:val="4C4C4C"/>
                <w:sz w:val="18"/>
              </w:rPr>
            </w:pPr>
            <w:r>
              <w:rPr>
                <w:rFonts w:ascii="Arial;Helvetica;sans-serif" w:hAnsi="Arial;Helvetica;sans-serif"/>
                <w:color w:val="4C4C4C"/>
                <w:sz w:val="18"/>
              </w:rPr>
              <w:t>100,000</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539" w:type="dxa"/>
            <w:tcBorders/>
            <w:shd w:fill="BAE2F8" w:val="clear"/>
            <w:vAlign w:val="center"/>
          </w:tcPr>
          <w:p>
            <w:pPr>
              <w:pStyle w:val="TableContents"/>
              <w:bidi w:val="0"/>
              <w:spacing w:before="0" w:after="283"/>
              <w:ind w:left="403" w:right="0" w:hanging="0"/>
              <w:jc w:val="left"/>
              <w:rPr>
                <w:rFonts w:ascii="Arial;Helvetica;sans-serif" w:hAnsi="Arial;Helvetica;sans-serif"/>
                <w:color w:val="4C4C4C"/>
                <w:sz w:val="18"/>
              </w:rPr>
            </w:pPr>
            <w:r>
              <w:rPr>
                <w:rFonts w:ascii="Arial;Helvetica;sans-serif" w:hAnsi="Arial;Helvetica;sans-serif"/>
                <w:color w:val="4C4C4C"/>
                <w:sz w:val="18"/>
              </w:rPr>
              <w:t>200,000</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223" w:type="dxa"/>
            <w:tcBorders/>
            <w:shd w:fill="BAE2F8" w:val="clear"/>
            <w:vAlign w:val="center"/>
          </w:tcPr>
          <w:p>
            <w:pPr>
              <w:pStyle w:val="TableContents"/>
              <w:bidi w:val="0"/>
              <w:spacing w:before="0" w:after="283"/>
              <w:ind w:left="246" w:right="0" w:hanging="0"/>
              <w:jc w:val="left"/>
              <w:rPr>
                <w:color w:val="4C4C4C"/>
              </w:rPr>
            </w:pPr>
            <w:r>
              <w:rPr>
                <w:color w:val="4C4C4C"/>
              </w:rPr>
              <w:t>—</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958" w:type="dxa"/>
            <w:tcBorders/>
            <w:shd w:fill="BAE2F8" w:val="clear"/>
            <w:vAlign w:val="center"/>
          </w:tcPr>
          <w:p>
            <w:pPr>
              <w:pStyle w:val="TableContents"/>
              <w:bidi w:val="0"/>
              <w:spacing w:before="0" w:after="283"/>
              <w:ind w:left="313" w:right="0" w:hanging="0"/>
              <w:jc w:val="left"/>
              <w:rPr>
                <w:rFonts w:ascii="Arial;Helvetica;sans-serif" w:hAnsi="Arial;Helvetica;sans-serif"/>
                <w:color w:val="4C4C4C"/>
                <w:sz w:val="18"/>
              </w:rPr>
            </w:pPr>
            <w:r>
              <w:rPr>
                <w:rFonts w:ascii="Arial;Helvetica;sans-serif" w:hAnsi="Arial;Helvetica;sans-serif"/>
                <w:color w:val="4C4C4C"/>
                <w:sz w:val="18"/>
              </w:rPr>
              <w:t>13.89</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108" w:type="dxa"/>
            <w:tcBorders/>
            <w:shd w:fill="BAE2F8" w:val="clear"/>
            <w:vAlign w:val="center"/>
          </w:tcPr>
          <w:p>
            <w:pPr>
              <w:pStyle w:val="TableContents"/>
              <w:bidi w:val="0"/>
              <w:spacing w:before="0" w:after="283"/>
              <w:ind w:left="158" w:right="0" w:hanging="0"/>
              <w:jc w:val="left"/>
              <w:rPr>
                <w:rFonts w:ascii="Arial;Helvetica;sans-serif" w:hAnsi="Arial;Helvetica;sans-serif"/>
                <w:color w:val="4C4C4C"/>
                <w:sz w:val="18"/>
              </w:rPr>
            </w:pPr>
            <w:r>
              <w:rPr>
                <w:rFonts w:ascii="Arial;Helvetica;sans-serif" w:hAnsi="Arial;Helvetica;sans-serif"/>
                <w:color w:val="4C4C4C"/>
                <w:sz w:val="18"/>
              </w:rPr>
              <w:t>08/09/2033</w:t>
            </w:r>
          </w:p>
        </w:tc>
        <w:tc>
          <w:tcPr>
            <w:tcW w:w="217" w:type="dxa"/>
            <w:tcBorders/>
            <w:shd w:fill="BAE2F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51" w:type="dxa"/>
            <w:tcBorders/>
            <w:vAlign w:val="center"/>
          </w:tcPr>
          <w:p>
            <w:pPr>
              <w:pStyle w:val="TableContents"/>
              <w:bidi w:val="0"/>
              <w:spacing w:before="0" w:after="283"/>
              <w:ind w:left="20" w:right="0" w:hanging="0"/>
              <w:jc w:val="left"/>
              <w:rPr>
                <w:rFonts w:ascii="Arial;Helvetica;sans-serif" w:hAnsi="Arial;Helvetica;sans-serif"/>
                <w:color w:val="4C4C4C"/>
                <w:sz w:val="18"/>
              </w:rPr>
            </w:pPr>
            <w:r>
              <w:rPr>
                <w:rFonts w:ascii="Arial;Helvetica;sans-serif" w:hAnsi="Arial;Helvetica;sans-serif"/>
                <w:color w:val="4C4C4C"/>
                <w:sz w:val="18"/>
              </w:rPr>
              <w:t>Jian Wang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8" w:type="dxa"/>
            <w:tcBorders/>
            <w:vAlign w:val="center"/>
          </w:tcPr>
          <w:p>
            <w:pPr>
              <w:pStyle w:val="TableContents"/>
              <w:bidi w:val="0"/>
              <w:spacing w:before="0" w:after="283"/>
              <w:jc w:val="center"/>
              <w:rPr>
                <w:rFonts w:ascii="Arial;Helvetica;sans-serif" w:hAnsi="Arial;Helvetica;sans-serif"/>
                <w:color w:val="4C4C4C"/>
                <w:sz w:val="18"/>
              </w:rPr>
            </w:pPr>
            <w:r>
              <w:rPr>
                <w:rFonts w:ascii="Arial;Helvetica;sans-serif" w:hAnsi="Arial;Helvetica;sans-serif"/>
                <w:color w:val="4C4C4C"/>
                <w:sz w:val="18"/>
              </w:rPr>
              <w:t>(1)(3)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6" w:type="dxa"/>
            <w:tcBorders/>
            <w:vAlign w:val="center"/>
          </w:tcPr>
          <w:p>
            <w:pPr>
              <w:pStyle w:val="TableContents"/>
              <w:bidi w:val="0"/>
              <w:spacing w:before="0" w:after="283"/>
              <w:ind w:left="335" w:right="0" w:hanging="0"/>
              <w:jc w:val="left"/>
              <w:rPr>
                <w:rFonts w:ascii="Arial;Helvetica;sans-serif" w:hAnsi="Arial;Helvetica;sans-serif"/>
                <w:color w:val="4C4C4C"/>
                <w:sz w:val="18"/>
              </w:rPr>
            </w:pPr>
            <w:r>
              <w:rPr>
                <w:rFonts w:ascii="Arial;Helvetica;sans-serif" w:hAnsi="Arial;Helvetica;sans-serif"/>
                <w:color w:val="4C4C4C"/>
                <w:sz w:val="18"/>
              </w:rPr>
              <w:t>90,000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9" w:type="dxa"/>
            <w:tcBorders/>
            <w:vAlign w:val="center"/>
          </w:tcPr>
          <w:p>
            <w:pPr>
              <w:pStyle w:val="TableContents"/>
              <w:bidi w:val="0"/>
              <w:spacing w:before="0" w:after="283"/>
              <w:ind w:left="403" w:right="0" w:hanging="0"/>
              <w:jc w:val="left"/>
              <w:rPr>
                <w:color w:val="4C4C4C"/>
              </w:rPr>
            </w:pPr>
            <w:r>
              <w:rPr>
                <w:color w:val="4C4C4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3" w:type="dxa"/>
            <w:tcBorders/>
            <w:vAlign w:val="center"/>
          </w:tcPr>
          <w:p>
            <w:pPr>
              <w:pStyle w:val="TableContents"/>
              <w:bidi w:val="0"/>
              <w:spacing w:before="0" w:after="283"/>
              <w:ind w:left="246" w:right="0" w:hanging="0"/>
              <w:jc w:val="left"/>
              <w:rPr>
                <w:color w:val="4C4C4C"/>
              </w:rPr>
            </w:pPr>
            <w:r>
              <w:rPr>
                <w:color w:val="4C4C4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8" w:type="dxa"/>
            <w:tcBorders/>
            <w:vAlign w:val="center"/>
          </w:tcPr>
          <w:p>
            <w:pPr>
              <w:pStyle w:val="TableContents"/>
              <w:bidi w:val="0"/>
              <w:spacing w:before="0" w:after="283"/>
              <w:ind w:left="313" w:right="0" w:hanging="0"/>
              <w:jc w:val="left"/>
              <w:rPr>
                <w:rFonts w:ascii="Arial;Helvetica;sans-serif" w:hAnsi="Arial;Helvetica;sans-serif"/>
                <w:color w:val="4C4C4C"/>
                <w:sz w:val="18"/>
              </w:rPr>
            </w:pPr>
            <w:r>
              <w:rPr>
                <w:rFonts w:ascii="Arial;Helvetica;sans-serif" w:hAnsi="Arial;Helvetica;sans-serif"/>
                <w:color w:val="4C4C4C"/>
                <w:sz w:val="18"/>
              </w:rPr>
              <w:t>5.60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8" w:type="dxa"/>
            <w:tcBorders/>
            <w:vAlign w:val="center"/>
          </w:tcPr>
          <w:p>
            <w:pPr>
              <w:pStyle w:val="TableContents"/>
              <w:bidi w:val="0"/>
              <w:spacing w:before="0" w:after="283"/>
              <w:ind w:left="158" w:right="0" w:hanging="0"/>
              <w:jc w:val="left"/>
              <w:rPr>
                <w:rFonts w:ascii="Arial;Helvetica;sans-serif" w:hAnsi="Arial;Helvetica;sans-serif"/>
                <w:color w:val="4C4C4C"/>
                <w:sz w:val="18"/>
              </w:rPr>
            </w:pPr>
            <w:r>
              <w:rPr>
                <w:rFonts w:ascii="Arial;Helvetica;sans-serif" w:hAnsi="Arial;Helvetica;sans-serif"/>
                <w:color w:val="4C4C4C"/>
                <w:sz w:val="18"/>
              </w:rPr>
              <w:t>4/22/2029</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51" w:type="dxa"/>
            <w:tcBorders/>
            <w:vAlign w:val="center"/>
          </w:tcPr>
          <w:p>
            <w:pPr>
              <w:pStyle w:val="TableContents"/>
              <w:bidi w:val="0"/>
              <w:spacing w:before="0" w:after="0"/>
              <w:jc w:val="left"/>
              <w:rPr>
                <w:color w:val="4C4C4C"/>
              </w:rPr>
            </w:pPr>
            <w:r>
              <w:rPr>
                <w:color w:val="4C4C4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8" w:type="dxa"/>
            <w:tcBorders/>
            <w:vAlign w:val="center"/>
          </w:tcPr>
          <w:p>
            <w:pPr>
              <w:pStyle w:val="TableContents"/>
              <w:bidi w:val="0"/>
              <w:spacing w:before="0" w:after="283"/>
              <w:jc w:val="center"/>
              <w:rPr>
                <w:rFonts w:ascii="Arial;Helvetica;sans-serif" w:hAnsi="Arial;Helvetica;sans-serif"/>
                <w:color w:val="4C4C4C"/>
                <w:sz w:val="18"/>
              </w:rPr>
            </w:pPr>
            <w:r>
              <w:rPr>
                <w:rFonts w:ascii="Arial;Helvetica;sans-serif" w:hAnsi="Arial;Helvetica;sans-serif"/>
                <w:color w:val="4C4C4C"/>
                <w:sz w:val="18"/>
              </w:rPr>
              <w:t>(1)(3)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6" w:type="dxa"/>
            <w:tcBorders/>
            <w:vAlign w:val="center"/>
          </w:tcPr>
          <w:p>
            <w:pPr>
              <w:pStyle w:val="TableContents"/>
              <w:bidi w:val="0"/>
              <w:spacing w:before="0" w:after="283"/>
              <w:ind w:left="335" w:right="0" w:hanging="0"/>
              <w:jc w:val="left"/>
              <w:rPr>
                <w:rFonts w:ascii="Arial;Helvetica;sans-serif" w:hAnsi="Arial;Helvetica;sans-serif"/>
                <w:color w:val="4C4C4C"/>
                <w:sz w:val="18"/>
              </w:rPr>
            </w:pPr>
            <w:r>
              <w:rPr>
                <w:rFonts w:ascii="Arial;Helvetica;sans-serif" w:hAnsi="Arial;Helvetica;sans-serif"/>
                <w:color w:val="4C4C4C"/>
                <w:sz w:val="18"/>
              </w:rPr>
              <w:t>15,000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9" w:type="dxa"/>
            <w:tcBorders/>
            <w:vAlign w:val="center"/>
          </w:tcPr>
          <w:p>
            <w:pPr>
              <w:pStyle w:val="TableContents"/>
              <w:bidi w:val="0"/>
              <w:spacing w:before="0" w:after="283"/>
              <w:ind w:left="403" w:right="0" w:hanging="0"/>
              <w:jc w:val="left"/>
              <w:rPr>
                <w:color w:val="4C4C4C"/>
              </w:rPr>
            </w:pPr>
            <w:r>
              <w:rPr>
                <w:color w:val="4C4C4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3" w:type="dxa"/>
            <w:tcBorders/>
            <w:vAlign w:val="center"/>
          </w:tcPr>
          <w:p>
            <w:pPr>
              <w:pStyle w:val="TableContents"/>
              <w:bidi w:val="0"/>
              <w:spacing w:before="0" w:after="283"/>
              <w:ind w:left="246" w:right="0" w:hanging="0"/>
              <w:jc w:val="left"/>
              <w:rPr>
                <w:color w:val="4C4C4C"/>
              </w:rPr>
            </w:pPr>
            <w:r>
              <w:rPr>
                <w:color w:val="4C4C4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8" w:type="dxa"/>
            <w:tcBorders/>
            <w:vAlign w:val="center"/>
          </w:tcPr>
          <w:p>
            <w:pPr>
              <w:pStyle w:val="TableContents"/>
              <w:bidi w:val="0"/>
              <w:spacing w:before="0" w:after="283"/>
              <w:ind w:left="313" w:right="0" w:hanging="0"/>
              <w:jc w:val="left"/>
              <w:rPr>
                <w:rFonts w:ascii="Arial;Helvetica;sans-serif" w:hAnsi="Arial;Helvetica;sans-serif"/>
                <w:color w:val="4C4C4C"/>
                <w:sz w:val="18"/>
              </w:rPr>
            </w:pPr>
            <w:r>
              <w:rPr>
                <w:rFonts w:ascii="Arial;Helvetica;sans-serif" w:hAnsi="Arial;Helvetica;sans-serif"/>
                <w:color w:val="4C4C4C"/>
                <w:sz w:val="18"/>
              </w:rPr>
              <w:t>25.45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8" w:type="dxa"/>
            <w:tcBorders/>
            <w:vAlign w:val="center"/>
          </w:tcPr>
          <w:p>
            <w:pPr>
              <w:pStyle w:val="TableContents"/>
              <w:bidi w:val="0"/>
              <w:spacing w:before="0" w:after="283"/>
              <w:ind w:left="158" w:right="0" w:hanging="0"/>
              <w:jc w:val="left"/>
              <w:rPr>
                <w:rFonts w:ascii="Arial;Helvetica;sans-serif" w:hAnsi="Arial;Helvetica;sans-serif"/>
                <w:color w:val="4C4C4C"/>
                <w:sz w:val="18"/>
              </w:rPr>
            </w:pPr>
            <w:r>
              <w:rPr>
                <w:rFonts w:ascii="Arial;Helvetica;sans-serif" w:hAnsi="Arial;Helvetica;sans-serif"/>
                <w:color w:val="4C4C4C"/>
                <w:sz w:val="18"/>
              </w:rPr>
              <w:t>3/3/2032</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51" w:type="dxa"/>
            <w:tcBorders/>
            <w:vAlign w:val="center"/>
          </w:tcPr>
          <w:p>
            <w:pPr>
              <w:pStyle w:val="TableContents"/>
              <w:bidi w:val="0"/>
              <w:spacing w:before="0" w:after="0"/>
              <w:jc w:val="left"/>
              <w:rPr>
                <w:color w:val="4C4C4C"/>
              </w:rPr>
            </w:pPr>
            <w:r>
              <w:rPr>
                <w:color w:val="4C4C4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8" w:type="dxa"/>
            <w:tcBorders/>
            <w:vAlign w:val="center"/>
          </w:tcPr>
          <w:p>
            <w:pPr>
              <w:pStyle w:val="TableContents"/>
              <w:bidi w:val="0"/>
              <w:spacing w:before="0" w:after="283"/>
              <w:jc w:val="center"/>
              <w:rPr>
                <w:rFonts w:ascii="Arial;Helvetica;sans-serif" w:hAnsi="Arial;Helvetica;sans-serif"/>
                <w:color w:val="4C4C4C"/>
                <w:sz w:val="18"/>
              </w:rPr>
            </w:pPr>
            <w:r>
              <w:rPr>
                <w:rFonts w:ascii="Arial;Helvetica;sans-serif" w:hAnsi="Arial;Helvetica;sans-serif"/>
                <w:color w:val="4C4C4C"/>
                <w:sz w:val="18"/>
              </w:rPr>
              <w:t>(2)(6)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6" w:type="dxa"/>
            <w:tcBorders/>
            <w:vAlign w:val="center"/>
          </w:tcPr>
          <w:p>
            <w:pPr>
              <w:pStyle w:val="TableContents"/>
              <w:bidi w:val="0"/>
              <w:spacing w:before="0" w:after="283"/>
              <w:ind w:left="335" w:right="0" w:hanging="0"/>
              <w:jc w:val="left"/>
              <w:rPr>
                <w:rFonts w:ascii="Arial;Helvetica;sans-serif" w:hAnsi="Arial;Helvetica;sans-serif"/>
                <w:color w:val="4C4C4C"/>
                <w:sz w:val="18"/>
              </w:rPr>
            </w:pPr>
            <w:r>
              <w:rPr>
                <w:rFonts w:ascii="Arial;Helvetica;sans-serif" w:hAnsi="Arial;Helvetica;sans-serif"/>
                <w:color w:val="4C4C4C"/>
                <w:sz w:val="18"/>
              </w:rPr>
              <w:t>232,500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9" w:type="dxa"/>
            <w:tcBorders/>
            <w:vAlign w:val="center"/>
          </w:tcPr>
          <w:p>
            <w:pPr>
              <w:pStyle w:val="TableContents"/>
              <w:bidi w:val="0"/>
              <w:spacing w:before="0" w:after="283"/>
              <w:ind w:left="403" w:right="0" w:hanging="0"/>
              <w:jc w:val="left"/>
              <w:rPr>
                <w:rFonts w:ascii="Arial;Helvetica;sans-serif" w:hAnsi="Arial;Helvetica;sans-serif"/>
                <w:color w:val="4C4C4C"/>
                <w:sz w:val="18"/>
              </w:rPr>
            </w:pPr>
            <w:r>
              <w:rPr>
                <w:rFonts w:ascii="Arial;Helvetica;sans-serif" w:hAnsi="Arial;Helvetica;sans-serif"/>
                <w:color w:val="4C4C4C"/>
                <w:sz w:val="18"/>
              </w:rPr>
              <w:t>697,500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3" w:type="dxa"/>
            <w:tcBorders/>
            <w:vAlign w:val="center"/>
          </w:tcPr>
          <w:p>
            <w:pPr>
              <w:pStyle w:val="TableContents"/>
              <w:bidi w:val="0"/>
              <w:spacing w:before="0" w:after="0"/>
              <w:jc w:val="center"/>
              <w:rPr>
                <w:color w:val="4C4C4C"/>
              </w:rPr>
            </w:pPr>
            <w:r>
              <w:rPr>
                <w:color w:val="4C4C4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8" w:type="dxa"/>
            <w:tcBorders/>
            <w:vAlign w:val="center"/>
          </w:tcPr>
          <w:p>
            <w:pPr>
              <w:pStyle w:val="TableContents"/>
              <w:bidi w:val="0"/>
              <w:spacing w:before="0" w:after="283"/>
              <w:ind w:left="313" w:right="0" w:hanging="0"/>
              <w:jc w:val="left"/>
              <w:rPr>
                <w:rFonts w:ascii="Arial;Helvetica;sans-serif" w:hAnsi="Arial;Helvetica;sans-serif"/>
                <w:color w:val="4C4C4C"/>
                <w:sz w:val="18"/>
              </w:rPr>
            </w:pPr>
            <w:r>
              <w:rPr>
                <w:rFonts w:ascii="Arial;Helvetica;sans-serif" w:hAnsi="Arial;Helvetica;sans-serif"/>
                <w:color w:val="4C4C4C"/>
                <w:sz w:val="18"/>
              </w:rPr>
              <w:t>7.06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8" w:type="dxa"/>
            <w:tcBorders/>
            <w:vAlign w:val="center"/>
          </w:tcPr>
          <w:p>
            <w:pPr>
              <w:pStyle w:val="TableContents"/>
              <w:bidi w:val="0"/>
              <w:spacing w:before="0" w:after="283"/>
              <w:ind w:left="158" w:right="0" w:hanging="0"/>
              <w:jc w:val="left"/>
              <w:rPr>
                <w:rFonts w:ascii="Arial;Helvetica;sans-serif" w:hAnsi="Arial;Helvetica;sans-serif"/>
                <w:color w:val="4C4C4C"/>
                <w:sz w:val="18"/>
              </w:rPr>
            </w:pPr>
            <w:r>
              <w:rPr>
                <w:rFonts w:ascii="Arial;Helvetica;sans-serif" w:hAnsi="Arial;Helvetica;sans-serif"/>
                <w:color w:val="4C4C4C"/>
                <w:sz w:val="18"/>
              </w:rPr>
              <w:t>8/2/2028</w:t>
            </w:r>
          </w:p>
        </w:tc>
        <w:tc>
          <w:tcPr>
            <w:tcW w:w="217" w:type="dxa"/>
            <w:tcBorders/>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1151" w:type="dxa"/>
            <w:tcBorders/>
            <w:shd w:fill="BAE2F8" w:val="clear"/>
            <w:vAlign w:val="center"/>
          </w:tcPr>
          <w:p>
            <w:pPr>
              <w:pStyle w:val="TableContents"/>
              <w:bidi w:val="0"/>
              <w:spacing w:before="0" w:after="283"/>
              <w:ind w:left="20" w:right="0" w:hanging="0"/>
              <w:jc w:val="left"/>
              <w:rPr>
                <w:rFonts w:ascii="Arial;Helvetica;sans-serif" w:hAnsi="Arial;Helvetica;sans-serif"/>
                <w:color w:val="4C4C4C"/>
                <w:sz w:val="18"/>
              </w:rPr>
            </w:pPr>
            <w:r>
              <w:rPr>
                <w:rFonts w:ascii="Arial;Helvetica;sans-serif" w:hAnsi="Arial;Helvetica;sans-serif"/>
                <w:color w:val="4C4C4C"/>
                <w:sz w:val="18"/>
              </w:rPr>
              <w:t>Lisa Feng</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368" w:type="dxa"/>
            <w:tcBorders/>
            <w:shd w:fill="BAE2F8" w:val="clear"/>
            <w:vAlign w:val="center"/>
          </w:tcPr>
          <w:p>
            <w:pPr>
              <w:pStyle w:val="TableContents"/>
              <w:bidi w:val="0"/>
              <w:spacing w:before="0" w:after="283"/>
              <w:jc w:val="center"/>
              <w:rPr>
                <w:rFonts w:ascii="Arial;Helvetica;sans-serif" w:hAnsi="Arial;Helvetica;sans-serif"/>
                <w:color w:val="4C4C4C"/>
                <w:sz w:val="18"/>
              </w:rPr>
            </w:pPr>
            <w:r>
              <w:rPr>
                <w:rFonts w:ascii="Arial;Helvetica;sans-serif" w:hAnsi="Arial;Helvetica;sans-serif"/>
                <w:color w:val="4C4C4C"/>
                <w:sz w:val="18"/>
              </w:rPr>
              <w:t>(1)(3)</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416" w:type="dxa"/>
            <w:tcBorders/>
            <w:shd w:fill="BAE2F8" w:val="clear"/>
            <w:vAlign w:val="center"/>
          </w:tcPr>
          <w:p>
            <w:pPr>
              <w:pStyle w:val="TableContents"/>
              <w:bidi w:val="0"/>
              <w:spacing w:before="0" w:after="283"/>
              <w:ind w:left="335" w:right="0" w:hanging="0"/>
              <w:jc w:val="left"/>
              <w:rPr>
                <w:rFonts w:ascii="Arial;Helvetica;sans-serif" w:hAnsi="Arial;Helvetica;sans-serif"/>
                <w:color w:val="4C4C4C"/>
                <w:sz w:val="18"/>
              </w:rPr>
            </w:pPr>
            <w:r>
              <w:rPr>
                <w:rFonts w:ascii="Arial;Helvetica;sans-serif" w:hAnsi="Arial;Helvetica;sans-serif"/>
                <w:color w:val="4C4C4C"/>
                <w:sz w:val="18"/>
              </w:rPr>
              <w:t>60,000</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539" w:type="dxa"/>
            <w:tcBorders/>
            <w:shd w:fill="BAE2F8" w:val="clear"/>
            <w:vAlign w:val="center"/>
          </w:tcPr>
          <w:p>
            <w:pPr>
              <w:pStyle w:val="TableContents"/>
              <w:bidi w:val="0"/>
              <w:spacing w:before="0" w:after="283"/>
              <w:ind w:left="403" w:right="0" w:hanging="0"/>
              <w:jc w:val="left"/>
              <w:rPr>
                <w:color w:val="4C4C4C"/>
              </w:rPr>
            </w:pPr>
            <w:r>
              <w:rPr>
                <w:color w:val="4C4C4C"/>
              </w:rPr>
              <w:t>—</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223" w:type="dxa"/>
            <w:tcBorders/>
            <w:shd w:fill="BAE2F8" w:val="clear"/>
            <w:vAlign w:val="center"/>
          </w:tcPr>
          <w:p>
            <w:pPr>
              <w:pStyle w:val="TableContents"/>
              <w:bidi w:val="0"/>
              <w:spacing w:before="0" w:after="283"/>
              <w:ind w:left="246" w:right="0" w:hanging="0"/>
              <w:jc w:val="left"/>
              <w:rPr>
                <w:color w:val="4C4C4C"/>
              </w:rPr>
            </w:pPr>
            <w:r>
              <w:rPr>
                <w:color w:val="4C4C4C"/>
              </w:rPr>
              <w:t>—</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958" w:type="dxa"/>
            <w:tcBorders/>
            <w:shd w:fill="BAE2F8" w:val="clear"/>
            <w:vAlign w:val="center"/>
          </w:tcPr>
          <w:p>
            <w:pPr>
              <w:pStyle w:val="TableContents"/>
              <w:bidi w:val="0"/>
              <w:spacing w:before="0" w:after="283"/>
              <w:ind w:left="313" w:right="0" w:hanging="0"/>
              <w:jc w:val="left"/>
              <w:rPr>
                <w:rFonts w:ascii="Arial;Helvetica;sans-serif" w:hAnsi="Arial;Helvetica;sans-serif"/>
                <w:color w:val="4C4C4C"/>
                <w:sz w:val="18"/>
              </w:rPr>
            </w:pPr>
            <w:r>
              <w:rPr>
                <w:rFonts w:ascii="Arial;Helvetica;sans-serif" w:hAnsi="Arial;Helvetica;sans-serif"/>
                <w:color w:val="4C4C4C"/>
                <w:sz w:val="18"/>
              </w:rPr>
              <w:t>5.60</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108" w:type="dxa"/>
            <w:tcBorders/>
            <w:shd w:fill="BAE2F8" w:val="clear"/>
            <w:vAlign w:val="center"/>
          </w:tcPr>
          <w:p>
            <w:pPr>
              <w:pStyle w:val="TableContents"/>
              <w:bidi w:val="0"/>
              <w:spacing w:before="0" w:after="283"/>
              <w:ind w:left="158" w:right="0" w:hanging="0"/>
              <w:jc w:val="left"/>
              <w:rPr>
                <w:rFonts w:ascii="Arial;Helvetica;sans-serif" w:hAnsi="Arial;Helvetica;sans-serif"/>
                <w:color w:val="4C4C4C"/>
                <w:sz w:val="18"/>
              </w:rPr>
            </w:pPr>
            <w:r>
              <w:rPr>
                <w:rFonts w:ascii="Arial;Helvetica;sans-serif" w:hAnsi="Arial;Helvetica;sans-serif"/>
                <w:color w:val="4C4C4C"/>
                <w:sz w:val="18"/>
              </w:rPr>
              <w:t>04/22/2029</w:t>
            </w:r>
          </w:p>
        </w:tc>
        <w:tc>
          <w:tcPr>
            <w:tcW w:w="217" w:type="dxa"/>
            <w:tcBorders/>
            <w:shd w:fill="BAE2F8" w:val="clear"/>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1151" w:type="dxa"/>
            <w:tcBorders/>
            <w:shd w:fill="BAE2F8" w:val="clear"/>
            <w:vAlign w:val="center"/>
          </w:tcPr>
          <w:p>
            <w:pPr>
              <w:pStyle w:val="TableContents"/>
              <w:bidi w:val="0"/>
              <w:spacing w:before="0" w:after="283"/>
              <w:ind w:left="20" w:right="0" w:hanging="0"/>
              <w:jc w:val="left"/>
              <w:rPr>
                <w:color w:val="4C4C4C"/>
              </w:rPr>
            </w:pPr>
            <w:r>
              <w:rPr>
                <w:color w:val="4C4C4C"/>
              </w:rPr>
              <w:t>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368" w:type="dxa"/>
            <w:tcBorders/>
            <w:shd w:fill="BAE2F8" w:val="clear"/>
            <w:vAlign w:val="center"/>
          </w:tcPr>
          <w:p>
            <w:pPr>
              <w:pStyle w:val="TableContents"/>
              <w:bidi w:val="0"/>
              <w:spacing w:before="0" w:after="283"/>
              <w:jc w:val="center"/>
              <w:rPr>
                <w:rFonts w:ascii="Arial;Helvetica;sans-serif" w:hAnsi="Arial;Helvetica;sans-serif"/>
                <w:color w:val="4C4C4C"/>
                <w:sz w:val="18"/>
              </w:rPr>
            </w:pPr>
            <w:r>
              <w:rPr>
                <w:rFonts w:ascii="Arial;Helvetica;sans-serif" w:hAnsi="Arial;Helvetica;sans-serif"/>
                <w:color w:val="4C4C4C"/>
                <w:sz w:val="18"/>
              </w:rPr>
              <w:t>(1)(3)</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416" w:type="dxa"/>
            <w:tcBorders/>
            <w:shd w:fill="BAE2F8" w:val="clear"/>
            <w:vAlign w:val="center"/>
          </w:tcPr>
          <w:p>
            <w:pPr>
              <w:pStyle w:val="TableContents"/>
              <w:bidi w:val="0"/>
              <w:spacing w:before="0" w:after="283"/>
              <w:ind w:left="335" w:right="0" w:hanging="0"/>
              <w:jc w:val="left"/>
              <w:rPr>
                <w:rFonts w:ascii="Arial;Helvetica;sans-serif" w:hAnsi="Arial;Helvetica;sans-serif"/>
                <w:color w:val="4C4C4C"/>
                <w:sz w:val="18"/>
              </w:rPr>
            </w:pPr>
            <w:r>
              <w:rPr>
                <w:rFonts w:ascii="Arial;Helvetica;sans-serif" w:hAnsi="Arial;Helvetica;sans-serif"/>
                <w:color w:val="4C4C4C"/>
                <w:sz w:val="18"/>
              </w:rPr>
              <w:t>30,000</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539" w:type="dxa"/>
            <w:tcBorders/>
            <w:shd w:fill="BAE2F8" w:val="clear"/>
            <w:vAlign w:val="center"/>
          </w:tcPr>
          <w:p>
            <w:pPr>
              <w:pStyle w:val="TableContents"/>
              <w:bidi w:val="0"/>
              <w:spacing w:before="0" w:after="283"/>
              <w:ind w:left="403" w:right="0" w:hanging="0"/>
              <w:jc w:val="left"/>
              <w:rPr>
                <w:color w:val="4C4C4C"/>
              </w:rPr>
            </w:pPr>
            <w:r>
              <w:rPr>
                <w:color w:val="4C4C4C"/>
              </w:rPr>
              <w:t>—</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223" w:type="dxa"/>
            <w:tcBorders/>
            <w:shd w:fill="BAE2F8" w:val="clear"/>
            <w:vAlign w:val="center"/>
          </w:tcPr>
          <w:p>
            <w:pPr>
              <w:pStyle w:val="TableContents"/>
              <w:bidi w:val="0"/>
              <w:spacing w:before="0" w:after="283"/>
              <w:ind w:left="246" w:right="0" w:hanging="0"/>
              <w:jc w:val="left"/>
              <w:rPr>
                <w:color w:val="4C4C4C"/>
              </w:rPr>
            </w:pPr>
            <w:r>
              <w:rPr>
                <w:color w:val="4C4C4C"/>
              </w:rPr>
              <w:t>—</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958" w:type="dxa"/>
            <w:tcBorders/>
            <w:shd w:fill="BAE2F8" w:val="clear"/>
            <w:vAlign w:val="center"/>
          </w:tcPr>
          <w:p>
            <w:pPr>
              <w:pStyle w:val="TableContents"/>
              <w:bidi w:val="0"/>
              <w:spacing w:before="0" w:after="283"/>
              <w:ind w:left="313" w:right="0" w:hanging="0"/>
              <w:jc w:val="left"/>
              <w:rPr>
                <w:rFonts w:ascii="Arial;Helvetica;sans-serif" w:hAnsi="Arial;Helvetica;sans-serif"/>
                <w:color w:val="4C4C4C"/>
                <w:sz w:val="18"/>
              </w:rPr>
            </w:pPr>
            <w:r>
              <w:rPr>
                <w:rFonts w:ascii="Arial;Helvetica;sans-serif" w:hAnsi="Arial;Helvetica;sans-serif"/>
                <w:color w:val="4C4C4C"/>
                <w:sz w:val="18"/>
              </w:rPr>
              <w:t>4.55</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108" w:type="dxa"/>
            <w:tcBorders/>
            <w:shd w:fill="BAE2F8" w:val="clear"/>
            <w:vAlign w:val="center"/>
          </w:tcPr>
          <w:p>
            <w:pPr>
              <w:pStyle w:val="TableContents"/>
              <w:bidi w:val="0"/>
              <w:spacing w:before="0" w:after="283"/>
              <w:ind w:left="158" w:right="0" w:hanging="0"/>
              <w:jc w:val="left"/>
              <w:rPr>
                <w:rFonts w:ascii="Arial;Helvetica;sans-serif" w:hAnsi="Arial;Helvetica;sans-serif"/>
                <w:color w:val="4C4C4C"/>
                <w:sz w:val="18"/>
              </w:rPr>
            </w:pPr>
            <w:r>
              <w:rPr>
                <w:rFonts w:ascii="Arial;Helvetica;sans-serif" w:hAnsi="Arial;Helvetica;sans-serif"/>
                <w:color w:val="4C4C4C"/>
                <w:sz w:val="18"/>
              </w:rPr>
              <w:t>11/03/2029</w:t>
            </w:r>
          </w:p>
        </w:tc>
        <w:tc>
          <w:tcPr>
            <w:tcW w:w="217" w:type="dxa"/>
            <w:tcBorders/>
            <w:shd w:fill="BAE2F8" w:val="clear"/>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1151" w:type="dxa"/>
            <w:tcBorders/>
            <w:shd w:fill="BAE2F8" w:val="clear"/>
            <w:vAlign w:val="center"/>
          </w:tcPr>
          <w:p>
            <w:pPr>
              <w:pStyle w:val="TableContents"/>
              <w:bidi w:val="0"/>
              <w:spacing w:before="0" w:after="283"/>
              <w:ind w:left="20" w:right="0" w:hanging="0"/>
              <w:jc w:val="left"/>
              <w:rPr>
                <w:color w:val="4C4C4C"/>
              </w:rPr>
            </w:pPr>
            <w:r>
              <w:rPr>
                <w:color w:val="4C4C4C"/>
              </w:rPr>
              <w:t>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368" w:type="dxa"/>
            <w:tcBorders/>
            <w:shd w:fill="BAE2F8" w:val="clear"/>
            <w:vAlign w:val="center"/>
          </w:tcPr>
          <w:p>
            <w:pPr>
              <w:pStyle w:val="TableContents"/>
              <w:bidi w:val="0"/>
              <w:spacing w:before="0" w:after="283"/>
              <w:jc w:val="center"/>
              <w:rPr>
                <w:rFonts w:ascii="Arial;Helvetica;sans-serif" w:hAnsi="Arial;Helvetica;sans-serif"/>
                <w:color w:val="4C4C4C"/>
                <w:sz w:val="18"/>
              </w:rPr>
            </w:pPr>
            <w:r>
              <w:rPr>
                <w:rFonts w:ascii="Arial;Helvetica;sans-serif" w:hAnsi="Arial;Helvetica;sans-serif"/>
                <w:color w:val="4C4C4C"/>
                <w:sz w:val="18"/>
              </w:rPr>
              <w:t>(1)(3)</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416" w:type="dxa"/>
            <w:tcBorders/>
            <w:shd w:fill="BAE2F8" w:val="clear"/>
            <w:vAlign w:val="center"/>
          </w:tcPr>
          <w:p>
            <w:pPr>
              <w:pStyle w:val="TableContents"/>
              <w:bidi w:val="0"/>
              <w:spacing w:before="0" w:after="283"/>
              <w:ind w:left="335" w:right="0" w:hanging="0"/>
              <w:jc w:val="left"/>
              <w:rPr>
                <w:rFonts w:ascii="Arial;Helvetica;sans-serif" w:hAnsi="Arial;Helvetica;sans-serif"/>
                <w:color w:val="4C4C4C"/>
                <w:sz w:val="18"/>
              </w:rPr>
            </w:pPr>
            <w:r>
              <w:rPr>
                <w:rFonts w:ascii="Arial;Helvetica;sans-serif" w:hAnsi="Arial;Helvetica;sans-serif"/>
                <w:color w:val="4C4C4C"/>
                <w:sz w:val="18"/>
              </w:rPr>
              <w:t>30,000</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539" w:type="dxa"/>
            <w:tcBorders/>
            <w:shd w:fill="BAE2F8" w:val="clear"/>
            <w:vAlign w:val="center"/>
          </w:tcPr>
          <w:p>
            <w:pPr>
              <w:pStyle w:val="TableContents"/>
              <w:bidi w:val="0"/>
              <w:spacing w:before="0" w:after="283"/>
              <w:ind w:left="403" w:right="0" w:hanging="0"/>
              <w:jc w:val="left"/>
              <w:rPr>
                <w:color w:val="4C4C4C"/>
              </w:rPr>
            </w:pPr>
            <w:r>
              <w:rPr>
                <w:color w:val="4C4C4C"/>
              </w:rPr>
              <w:t>—</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223" w:type="dxa"/>
            <w:tcBorders/>
            <w:shd w:fill="BAE2F8" w:val="clear"/>
            <w:vAlign w:val="center"/>
          </w:tcPr>
          <w:p>
            <w:pPr>
              <w:pStyle w:val="TableContents"/>
              <w:bidi w:val="0"/>
              <w:spacing w:before="0" w:after="283"/>
              <w:ind w:left="246" w:right="0" w:hanging="0"/>
              <w:jc w:val="left"/>
              <w:rPr>
                <w:color w:val="4C4C4C"/>
              </w:rPr>
            </w:pPr>
            <w:r>
              <w:rPr>
                <w:color w:val="4C4C4C"/>
              </w:rPr>
              <w:t>—</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958" w:type="dxa"/>
            <w:tcBorders/>
            <w:shd w:fill="BAE2F8" w:val="clear"/>
            <w:vAlign w:val="center"/>
          </w:tcPr>
          <w:p>
            <w:pPr>
              <w:pStyle w:val="TableContents"/>
              <w:bidi w:val="0"/>
              <w:spacing w:before="0" w:after="283"/>
              <w:ind w:left="313" w:right="0" w:hanging="0"/>
              <w:jc w:val="left"/>
              <w:rPr>
                <w:rFonts w:ascii="Arial;Helvetica;sans-serif" w:hAnsi="Arial;Helvetica;sans-serif"/>
                <w:color w:val="4C4C4C"/>
                <w:sz w:val="18"/>
              </w:rPr>
            </w:pPr>
            <w:r>
              <w:rPr>
                <w:rFonts w:ascii="Arial;Helvetica;sans-serif" w:hAnsi="Arial;Helvetica;sans-serif"/>
                <w:color w:val="4C4C4C"/>
                <w:sz w:val="18"/>
              </w:rPr>
              <w:t>12.75</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108" w:type="dxa"/>
            <w:tcBorders/>
            <w:shd w:fill="BAE2F8" w:val="clear"/>
            <w:vAlign w:val="center"/>
          </w:tcPr>
          <w:p>
            <w:pPr>
              <w:pStyle w:val="TableContents"/>
              <w:bidi w:val="0"/>
              <w:spacing w:before="0" w:after="283"/>
              <w:ind w:left="158" w:right="0" w:hanging="0"/>
              <w:jc w:val="left"/>
              <w:rPr>
                <w:rFonts w:ascii="Arial;Helvetica;sans-serif" w:hAnsi="Arial;Helvetica;sans-serif"/>
                <w:color w:val="4C4C4C"/>
                <w:sz w:val="18"/>
              </w:rPr>
            </w:pPr>
            <w:r>
              <w:rPr>
                <w:rFonts w:ascii="Arial;Helvetica;sans-serif" w:hAnsi="Arial;Helvetica;sans-serif"/>
                <w:color w:val="4C4C4C"/>
                <w:sz w:val="18"/>
              </w:rPr>
              <w:t>04/27/2030</w:t>
            </w:r>
          </w:p>
        </w:tc>
        <w:tc>
          <w:tcPr>
            <w:tcW w:w="217" w:type="dxa"/>
            <w:tcBorders/>
            <w:shd w:fill="BAE2F8" w:val="clear"/>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1151" w:type="dxa"/>
            <w:tcBorders/>
            <w:shd w:fill="BAE2F8" w:val="clear"/>
            <w:vAlign w:val="center"/>
          </w:tcPr>
          <w:p>
            <w:pPr>
              <w:pStyle w:val="TableContents"/>
              <w:bidi w:val="0"/>
              <w:spacing w:before="0" w:after="283"/>
              <w:ind w:left="20" w:right="0" w:hanging="0"/>
              <w:jc w:val="left"/>
              <w:rPr>
                <w:color w:val="4C4C4C"/>
              </w:rPr>
            </w:pPr>
            <w:r>
              <w:rPr>
                <w:color w:val="4C4C4C"/>
              </w:rPr>
              <w:t>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368" w:type="dxa"/>
            <w:tcBorders/>
            <w:shd w:fill="BAE2F8" w:val="clear"/>
            <w:vAlign w:val="center"/>
          </w:tcPr>
          <w:p>
            <w:pPr>
              <w:pStyle w:val="TableContents"/>
              <w:bidi w:val="0"/>
              <w:spacing w:before="0" w:after="283"/>
              <w:jc w:val="center"/>
              <w:rPr>
                <w:rFonts w:ascii="Arial;Helvetica;sans-serif" w:hAnsi="Arial;Helvetica;sans-serif"/>
                <w:color w:val="4C4C4C"/>
                <w:sz w:val="18"/>
              </w:rPr>
            </w:pPr>
            <w:r>
              <w:rPr>
                <w:rFonts w:ascii="Arial;Helvetica;sans-serif" w:hAnsi="Arial;Helvetica;sans-serif"/>
                <w:color w:val="4C4C4C"/>
                <w:sz w:val="18"/>
              </w:rPr>
              <w:t>(1)(3)</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416" w:type="dxa"/>
            <w:tcBorders/>
            <w:shd w:fill="BAE2F8" w:val="clear"/>
            <w:vAlign w:val="center"/>
          </w:tcPr>
          <w:p>
            <w:pPr>
              <w:pStyle w:val="TableContents"/>
              <w:bidi w:val="0"/>
              <w:spacing w:before="0" w:after="283"/>
              <w:ind w:left="335" w:right="0" w:hanging="0"/>
              <w:jc w:val="left"/>
              <w:rPr>
                <w:rFonts w:ascii="Arial;Helvetica;sans-serif" w:hAnsi="Arial;Helvetica;sans-serif"/>
                <w:color w:val="4C4C4C"/>
                <w:sz w:val="18"/>
              </w:rPr>
            </w:pPr>
            <w:r>
              <w:rPr>
                <w:rFonts w:ascii="Arial;Helvetica;sans-serif" w:hAnsi="Arial;Helvetica;sans-serif"/>
                <w:color w:val="4C4C4C"/>
                <w:sz w:val="18"/>
              </w:rPr>
              <w:t>22,500</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539" w:type="dxa"/>
            <w:tcBorders/>
            <w:shd w:fill="BAE2F8" w:val="clear"/>
            <w:vAlign w:val="center"/>
          </w:tcPr>
          <w:p>
            <w:pPr>
              <w:pStyle w:val="TableContents"/>
              <w:bidi w:val="0"/>
              <w:spacing w:before="0" w:after="283"/>
              <w:ind w:left="403" w:right="0" w:hanging="0"/>
              <w:jc w:val="left"/>
              <w:rPr>
                <w:color w:val="4C4C4C"/>
              </w:rPr>
            </w:pPr>
            <w:r>
              <w:rPr>
                <w:color w:val="4C4C4C"/>
              </w:rPr>
              <w:t>—</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223" w:type="dxa"/>
            <w:tcBorders/>
            <w:shd w:fill="BAE2F8" w:val="clear"/>
            <w:vAlign w:val="center"/>
          </w:tcPr>
          <w:p>
            <w:pPr>
              <w:pStyle w:val="TableContents"/>
              <w:bidi w:val="0"/>
              <w:spacing w:before="0" w:after="283"/>
              <w:ind w:left="246" w:right="0" w:hanging="0"/>
              <w:jc w:val="left"/>
              <w:rPr>
                <w:color w:val="4C4C4C"/>
              </w:rPr>
            </w:pPr>
            <w:r>
              <w:rPr>
                <w:color w:val="4C4C4C"/>
              </w:rPr>
              <w:t>—</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958" w:type="dxa"/>
            <w:tcBorders/>
            <w:shd w:fill="BAE2F8" w:val="clear"/>
            <w:vAlign w:val="center"/>
          </w:tcPr>
          <w:p>
            <w:pPr>
              <w:pStyle w:val="TableContents"/>
              <w:bidi w:val="0"/>
              <w:spacing w:before="0" w:after="283"/>
              <w:ind w:left="313" w:right="0" w:hanging="0"/>
              <w:jc w:val="left"/>
              <w:rPr>
                <w:rFonts w:ascii="Arial;Helvetica;sans-serif" w:hAnsi="Arial;Helvetica;sans-serif"/>
                <w:color w:val="4C4C4C"/>
                <w:sz w:val="18"/>
              </w:rPr>
            </w:pPr>
            <w:r>
              <w:rPr>
                <w:rFonts w:ascii="Arial;Helvetica;sans-serif" w:hAnsi="Arial;Helvetica;sans-serif"/>
                <w:color w:val="4C4C4C"/>
                <w:sz w:val="18"/>
              </w:rPr>
              <w:t>25.45</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108" w:type="dxa"/>
            <w:tcBorders/>
            <w:shd w:fill="BAE2F8" w:val="clear"/>
            <w:vAlign w:val="center"/>
          </w:tcPr>
          <w:p>
            <w:pPr>
              <w:pStyle w:val="TableContents"/>
              <w:bidi w:val="0"/>
              <w:spacing w:before="0" w:after="283"/>
              <w:ind w:left="158" w:right="0" w:hanging="0"/>
              <w:jc w:val="left"/>
              <w:rPr>
                <w:rFonts w:ascii="Arial;Helvetica;sans-serif" w:hAnsi="Arial;Helvetica;sans-serif"/>
                <w:color w:val="4C4C4C"/>
                <w:sz w:val="18"/>
              </w:rPr>
            </w:pPr>
            <w:r>
              <w:rPr>
                <w:rFonts w:ascii="Arial;Helvetica;sans-serif" w:hAnsi="Arial;Helvetica;sans-serif"/>
                <w:color w:val="4C4C4C"/>
                <w:sz w:val="18"/>
              </w:rPr>
              <w:t>03/03/2032</w:t>
            </w:r>
          </w:p>
        </w:tc>
        <w:tc>
          <w:tcPr>
            <w:tcW w:w="217" w:type="dxa"/>
            <w:tcBorders/>
            <w:shd w:fill="BAE2F8" w:val="clear"/>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1151" w:type="dxa"/>
            <w:tcBorders/>
            <w:shd w:fill="BAE2F8" w:val="clear"/>
            <w:vAlign w:val="center"/>
          </w:tcPr>
          <w:p>
            <w:pPr>
              <w:pStyle w:val="TableContents"/>
              <w:bidi w:val="0"/>
              <w:spacing w:before="0" w:after="283"/>
              <w:ind w:left="20" w:right="0" w:hanging="0"/>
              <w:jc w:val="left"/>
              <w:rPr>
                <w:color w:val="4C4C4C"/>
              </w:rPr>
            </w:pPr>
            <w:r>
              <w:rPr>
                <w:color w:val="4C4C4C"/>
              </w:rPr>
              <w:t>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368" w:type="dxa"/>
            <w:tcBorders/>
            <w:shd w:fill="BAE2F8" w:val="clear"/>
            <w:vAlign w:val="center"/>
          </w:tcPr>
          <w:p>
            <w:pPr>
              <w:pStyle w:val="TableContents"/>
              <w:bidi w:val="0"/>
              <w:spacing w:before="0" w:after="283"/>
              <w:jc w:val="center"/>
              <w:rPr>
                <w:rFonts w:ascii="Arial;Helvetica;sans-serif" w:hAnsi="Arial;Helvetica;sans-serif"/>
                <w:color w:val="4C4C4C"/>
                <w:sz w:val="18"/>
              </w:rPr>
            </w:pPr>
            <w:r>
              <w:rPr>
                <w:rFonts w:ascii="Arial;Helvetica;sans-serif" w:hAnsi="Arial;Helvetica;sans-serif"/>
                <w:color w:val="4C4C4C"/>
                <w:sz w:val="18"/>
              </w:rPr>
              <w:t>(1)(5)</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416" w:type="dxa"/>
            <w:tcBorders/>
            <w:shd w:fill="BAE2F8" w:val="clear"/>
            <w:vAlign w:val="center"/>
          </w:tcPr>
          <w:p>
            <w:pPr>
              <w:pStyle w:val="TableContents"/>
              <w:bidi w:val="0"/>
              <w:spacing w:before="0" w:after="283"/>
              <w:ind w:left="335" w:right="0" w:hanging="0"/>
              <w:jc w:val="left"/>
              <w:rPr>
                <w:rFonts w:ascii="Arial;Helvetica;sans-serif" w:hAnsi="Arial;Helvetica;sans-serif"/>
                <w:color w:val="4C4C4C"/>
                <w:sz w:val="18"/>
              </w:rPr>
            </w:pPr>
            <w:r>
              <w:rPr>
                <w:rFonts w:ascii="Arial;Helvetica;sans-serif" w:hAnsi="Arial;Helvetica;sans-serif"/>
                <w:color w:val="4C4C4C"/>
                <w:sz w:val="18"/>
              </w:rPr>
              <w:t>33,333</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539" w:type="dxa"/>
            <w:tcBorders/>
            <w:shd w:fill="BAE2F8" w:val="clear"/>
            <w:vAlign w:val="center"/>
          </w:tcPr>
          <w:p>
            <w:pPr>
              <w:pStyle w:val="TableContents"/>
              <w:bidi w:val="0"/>
              <w:spacing w:before="0" w:after="283"/>
              <w:ind w:left="403" w:right="0" w:hanging="0"/>
              <w:jc w:val="left"/>
              <w:rPr>
                <w:rFonts w:ascii="Arial;Helvetica;sans-serif" w:hAnsi="Arial;Helvetica;sans-serif"/>
                <w:color w:val="4C4C4C"/>
                <w:sz w:val="18"/>
              </w:rPr>
            </w:pPr>
            <w:r>
              <w:rPr>
                <w:rFonts w:ascii="Arial;Helvetica;sans-serif" w:hAnsi="Arial;Helvetica;sans-serif"/>
                <w:color w:val="4C4C4C"/>
                <w:sz w:val="18"/>
              </w:rPr>
              <w:t>66,667</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223" w:type="dxa"/>
            <w:tcBorders/>
            <w:shd w:fill="BAE2F8" w:val="clear"/>
            <w:vAlign w:val="center"/>
          </w:tcPr>
          <w:p>
            <w:pPr>
              <w:pStyle w:val="TableContents"/>
              <w:bidi w:val="0"/>
              <w:spacing w:before="0" w:after="283"/>
              <w:ind w:left="246" w:right="0" w:hanging="0"/>
              <w:jc w:val="left"/>
              <w:rPr>
                <w:color w:val="4C4C4C"/>
              </w:rPr>
            </w:pPr>
            <w:r>
              <w:rPr>
                <w:color w:val="4C4C4C"/>
              </w:rPr>
              <w:t>—</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958" w:type="dxa"/>
            <w:tcBorders/>
            <w:shd w:fill="BAE2F8" w:val="clear"/>
            <w:vAlign w:val="center"/>
          </w:tcPr>
          <w:p>
            <w:pPr>
              <w:pStyle w:val="TableContents"/>
              <w:bidi w:val="0"/>
              <w:spacing w:before="0" w:after="283"/>
              <w:ind w:left="313" w:right="0" w:hanging="0"/>
              <w:jc w:val="left"/>
              <w:rPr>
                <w:rFonts w:ascii="Arial;Helvetica;sans-serif" w:hAnsi="Arial;Helvetica;sans-serif"/>
                <w:color w:val="4C4C4C"/>
                <w:sz w:val="18"/>
              </w:rPr>
            </w:pPr>
            <w:r>
              <w:rPr>
                <w:rFonts w:ascii="Arial;Helvetica;sans-serif" w:hAnsi="Arial;Helvetica;sans-serif"/>
                <w:color w:val="4C4C4C"/>
                <w:sz w:val="18"/>
              </w:rPr>
              <w:t>13.89</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108" w:type="dxa"/>
            <w:tcBorders/>
            <w:shd w:fill="BAE2F8" w:val="clear"/>
            <w:vAlign w:val="center"/>
          </w:tcPr>
          <w:p>
            <w:pPr>
              <w:pStyle w:val="TableContents"/>
              <w:bidi w:val="0"/>
              <w:spacing w:before="0" w:after="283"/>
              <w:ind w:left="158" w:right="0" w:hanging="0"/>
              <w:jc w:val="left"/>
              <w:rPr>
                <w:rFonts w:ascii="Arial;Helvetica;sans-serif" w:hAnsi="Arial;Helvetica;sans-serif"/>
                <w:color w:val="4C4C4C"/>
                <w:sz w:val="18"/>
              </w:rPr>
            </w:pPr>
            <w:r>
              <w:rPr>
                <w:rFonts w:ascii="Arial;Helvetica;sans-serif" w:hAnsi="Arial;Helvetica;sans-serif"/>
                <w:color w:val="4C4C4C"/>
                <w:sz w:val="18"/>
              </w:rPr>
              <w:t>08/09/2033</w:t>
            </w:r>
          </w:p>
        </w:tc>
        <w:tc>
          <w:tcPr>
            <w:tcW w:w="217" w:type="dxa"/>
            <w:tcBorders/>
            <w:shd w:fill="BAE2F8" w:val="clear"/>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1151" w:type="dxa"/>
            <w:tcBorders/>
            <w:shd w:fill="BAE2F8" w:val="clear"/>
            <w:vAlign w:val="center"/>
          </w:tcPr>
          <w:p>
            <w:pPr>
              <w:pStyle w:val="TableContents"/>
              <w:bidi w:val="0"/>
              <w:spacing w:before="0" w:after="283"/>
              <w:ind w:left="20" w:right="0" w:hanging="0"/>
              <w:jc w:val="left"/>
              <w:rPr>
                <w:color w:val="4C4C4C"/>
              </w:rPr>
            </w:pPr>
            <w:r>
              <w:rPr>
                <w:color w:val="4C4C4C"/>
              </w:rPr>
              <w:t>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368" w:type="dxa"/>
            <w:tcBorders/>
            <w:shd w:fill="BAE2F8" w:val="clear"/>
            <w:vAlign w:val="center"/>
          </w:tcPr>
          <w:p>
            <w:pPr>
              <w:pStyle w:val="TableContents"/>
              <w:bidi w:val="0"/>
              <w:spacing w:before="0" w:after="283"/>
              <w:jc w:val="center"/>
              <w:rPr>
                <w:rFonts w:ascii="Arial;Helvetica;sans-serif" w:hAnsi="Arial;Helvetica;sans-serif"/>
                <w:color w:val="4C4C4C"/>
                <w:sz w:val="18"/>
              </w:rPr>
            </w:pPr>
            <w:r>
              <w:rPr>
                <w:rFonts w:ascii="Arial;Helvetica;sans-serif" w:hAnsi="Arial;Helvetica;sans-serif"/>
                <w:color w:val="4C4C4C"/>
                <w:sz w:val="18"/>
              </w:rPr>
              <w:t>(2)(6)</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416" w:type="dxa"/>
            <w:tcBorders/>
            <w:shd w:fill="BAE2F8" w:val="clear"/>
            <w:vAlign w:val="center"/>
          </w:tcPr>
          <w:p>
            <w:pPr>
              <w:pStyle w:val="TableContents"/>
              <w:bidi w:val="0"/>
              <w:spacing w:before="0" w:after="283"/>
              <w:ind w:left="335" w:right="0" w:hanging="0"/>
              <w:jc w:val="left"/>
              <w:rPr>
                <w:rFonts w:ascii="Arial;Helvetica;sans-serif" w:hAnsi="Arial;Helvetica;sans-serif"/>
                <w:color w:val="4C4C4C"/>
                <w:sz w:val="18"/>
              </w:rPr>
            </w:pPr>
            <w:r>
              <w:rPr>
                <w:rFonts w:ascii="Arial;Helvetica;sans-serif" w:hAnsi="Arial;Helvetica;sans-serif"/>
                <w:color w:val="4C4C4C"/>
                <w:sz w:val="18"/>
              </w:rPr>
              <w:t>77,500</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539" w:type="dxa"/>
            <w:tcBorders/>
            <w:shd w:fill="BAE2F8" w:val="clear"/>
            <w:vAlign w:val="center"/>
          </w:tcPr>
          <w:p>
            <w:pPr>
              <w:pStyle w:val="TableContents"/>
              <w:bidi w:val="0"/>
              <w:spacing w:before="0" w:after="283"/>
              <w:ind w:left="403" w:right="0" w:hanging="0"/>
              <w:jc w:val="left"/>
              <w:rPr>
                <w:rFonts w:ascii="Arial;Helvetica;sans-serif" w:hAnsi="Arial;Helvetica;sans-serif"/>
                <w:color w:val="4C4C4C"/>
                <w:sz w:val="18"/>
              </w:rPr>
            </w:pPr>
            <w:r>
              <w:rPr>
                <w:rFonts w:ascii="Arial;Helvetica;sans-serif" w:hAnsi="Arial;Helvetica;sans-serif"/>
                <w:color w:val="4C4C4C"/>
                <w:sz w:val="18"/>
              </w:rPr>
              <w:t>232,500</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223" w:type="dxa"/>
            <w:tcBorders/>
            <w:shd w:fill="BAE2F8" w:val="clear"/>
            <w:vAlign w:val="center"/>
          </w:tcPr>
          <w:p>
            <w:pPr>
              <w:pStyle w:val="TableContents"/>
              <w:bidi w:val="0"/>
              <w:spacing w:before="0" w:after="283"/>
              <w:ind w:left="246" w:right="0" w:hanging="0"/>
              <w:jc w:val="left"/>
              <w:rPr>
                <w:color w:val="4C4C4C"/>
              </w:rPr>
            </w:pPr>
            <w:r>
              <w:rPr>
                <w:color w:val="4C4C4C"/>
              </w:rPr>
              <w:t> </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958" w:type="dxa"/>
            <w:tcBorders/>
            <w:shd w:fill="BAE2F8" w:val="clear"/>
            <w:vAlign w:val="center"/>
          </w:tcPr>
          <w:p>
            <w:pPr>
              <w:pStyle w:val="TableContents"/>
              <w:bidi w:val="0"/>
              <w:spacing w:before="0" w:after="283"/>
              <w:ind w:left="313" w:right="0" w:hanging="0"/>
              <w:jc w:val="left"/>
              <w:rPr>
                <w:rFonts w:ascii="Arial;Helvetica;sans-serif" w:hAnsi="Arial;Helvetica;sans-serif"/>
                <w:color w:val="4C4C4C"/>
                <w:sz w:val="18"/>
              </w:rPr>
            </w:pPr>
            <w:r>
              <w:rPr>
                <w:rFonts w:ascii="Arial;Helvetica;sans-serif" w:hAnsi="Arial;Helvetica;sans-serif"/>
                <w:color w:val="4C4C4C"/>
                <w:sz w:val="18"/>
              </w:rPr>
              <w:t>7.06</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108" w:type="dxa"/>
            <w:tcBorders/>
            <w:shd w:fill="BAE2F8" w:val="clear"/>
            <w:vAlign w:val="center"/>
          </w:tcPr>
          <w:p>
            <w:pPr>
              <w:pStyle w:val="TableContents"/>
              <w:bidi w:val="0"/>
              <w:spacing w:before="0" w:after="283"/>
              <w:ind w:left="158" w:right="0" w:hanging="0"/>
              <w:jc w:val="left"/>
              <w:rPr>
                <w:rFonts w:ascii="Arial;Helvetica;sans-serif" w:hAnsi="Arial;Helvetica;sans-serif"/>
                <w:color w:val="4C4C4C"/>
                <w:sz w:val="18"/>
              </w:rPr>
            </w:pPr>
            <w:r>
              <w:rPr>
                <w:rFonts w:ascii="Arial;Helvetica;sans-serif" w:hAnsi="Arial;Helvetica;sans-serif"/>
                <w:color w:val="4C4C4C"/>
                <w:sz w:val="18"/>
              </w:rPr>
              <w:t>08/02/2028</w:t>
            </w:r>
          </w:p>
        </w:tc>
        <w:tc>
          <w:tcPr>
            <w:tcW w:w="217" w:type="dxa"/>
            <w:tcBorders/>
            <w:shd w:fill="BAE2F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51" w:type="dxa"/>
            <w:tcBorders/>
            <w:vAlign w:val="center"/>
          </w:tcPr>
          <w:p>
            <w:pPr>
              <w:pStyle w:val="TableContents"/>
              <w:bidi w:val="0"/>
              <w:spacing w:before="0" w:after="283"/>
              <w:ind w:left="20" w:right="0" w:hanging="0"/>
              <w:jc w:val="left"/>
              <w:rPr>
                <w:rFonts w:ascii="Arial;Helvetica;sans-serif" w:hAnsi="Arial;Helvetica;sans-serif"/>
                <w:color w:val="4C4C4C"/>
                <w:sz w:val="18"/>
              </w:rPr>
            </w:pPr>
            <w:r>
              <w:rPr>
                <w:rFonts w:ascii="Arial;Helvetica;sans-serif" w:hAnsi="Arial;Helvetica;sans-serif"/>
                <w:color w:val="4C4C4C"/>
                <w:sz w:val="18"/>
              </w:rPr>
              <w:t>Fuping Chen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8" w:type="dxa"/>
            <w:tcBorders/>
            <w:vAlign w:val="center"/>
          </w:tcPr>
          <w:p>
            <w:pPr>
              <w:pStyle w:val="TableContents"/>
              <w:bidi w:val="0"/>
              <w:spacing w:before="0" w:after="283"/>
              <w:jc w:val="center"/>
              <w:rPr>
                <w:rFonts w:ascii="Arial;Helvetica;sans-serif" w:hAnsi="Arial;Helvetica;sans-serif"/>
                <w:color w:val="4C4C4C"/>
                <w:sz w:val="18"/>
              </w:rPr>
            </w:pPr>
            <w:r>
              <w:rPr>
                <w:rFonts w:ascii="Arial;Helvetica;sans-serif" w:hAnsi="Arial;Helvetica;sans-serif"/>
                <w:color w:val="4C4C4C"/>
                <w:sz w:val="18"/>
              </w:rPr>
              <w:t>(1)(3)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6" w:type="dxa"/>
            <w:tcBorders/>
            <w:vAlign w:val="center"/>
          </w:tcPr>
          <w:p>
            <w:pPr>
              <w:pStyle w:val="TableContents"/>
              <w:bidi w:val="0"/>
              <w:spacing w:before="0" w:after="283"/>
              <w:ind w:left="335" w:right="0" w:hanging="0"/>
              <w:jc w:val="left"/>
              <w:rPr>
                <w:rFonts w:ascii="Arial;Helvetica;sans-serif" w:hAnsi="Arial;Helvetica;sans-serif"/>
                <w:color w:val="4C4C4C"/>
                <w:sz w:val="18"/>
              </w:rPr>
            </w:pPr>
            <w:r>
              <w:rPr>
                <w:rFonts w:ascii="Arial;Helvetica;sans-serif" w:hAnsi="Arial;Helvetica;sans-serif"/>
                <w:color w:val="4C4C4C"/>
                <w:sz w:val="18"/>
              </w:rPr>
              <w:t>141,165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9" w:type="dxa"/>
            <w:tcBorders/>
            <w:vAlign w:val="center"/>
          </w:tcPr>
          <w:p>
            <w:pPr>
              <w:pStyle w:val="TableContents"/>
              <w:bidi w:val="0"/>
              <w:spacing w:before="0" w:after="283"/>
              <w:ind w:left="403" w:right="0" w:hanging="0"/>
              <w:jc w:val="left"/>
              <w:rPr>
                <w:color w:val="4C4C4C"/>
              </w:rPr>
            </w:pPr>
            <w:r>
              <w:rPr>
                <w:color w:val="4C4C4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3" w:type="dxa"/>
            <w:tcBorders/>
            <w:vAlign w:val="center"/>
          </w:tcPr>
          <w:p>
            <w:pPr>
              <w:pStyle w:val="TableContents"/>
              <w:bidi w:val="0"/>
              <w:spacing w:before="0" w:after="283"/>
              <w:ind w:left="246" w:right="0" w:hanging="0"/>
              <w:jc w:val="left"/>
              <w:rPr>
                <w:color w:val="4C4C4C"/>
              </w:rPr>
            </w:pPr>
            <w:r>
              <w:rPr>
                <w:color w:val="4C4C4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8" w:type="dxa"/>
            <w:tcBorders/>
            <w:vAlign w:val="center"/>
          </w:tcPr>
          <w:p>
            <w:pPr>
              <w:pStyle w:val="TableContents"/>
              <w:bidi w:val="0"/>
              <w:spacing w:before="0" w:after="283"/>
              <w:ind w:left="313" w:right="0" w:hanging="0"/>
              <w:jc w:val="left"/>
              <w:rPr>
                <w:rFonts w:ascii="Arial;Helvetica;sans-serif" w:hAnsi="Arial;Helvetica;sans-serif"/>
                <w:color w:val="4C4C4C"/>
                <w:sz w:val="18"/>
              </w:rPr>
            </w:pPr>
            <w:r>
              <w:rPr>
                <w:rFonts w:ascii="Arial;Helvetica;sans-serif" w:hAnsi="Arial;Helvetica;sans-serif"/>
                <w:color w:val="4C4C4C"/>
                <w:sz w:val="18"/>
              </w:rPr>
              <w:t>1.77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8" w:type="dxa"/>
            <w:tcBorders/>
            <w:vAlign w:val="center"/>
          </w:tcPr>
          <w:p>
            <w:pPr>
              <w:pStyle w:val="TableContents"/>
              <w:bidi w:val="0"/>
              <w:spacing w:before="0" w:after="283"/>
              <w:ind w:left="158" w:right="0" w:hanging="0"/>
              <w:jc w:val="left"/>
              <w:rPr>
                <w:rFonts w:ascii="Arial;Helvetica;sans-serif" w:hAnsi="Arial;Helvetica;sans-serif"/>
                <w:color w:val="4C4C4C"/>
                <w:sz w:val="18"/>
              </w:rPr>
            </w:pPr>
            <w:r>
              <w:rPr>
                <w:rFonts w:ascii="Arial;Helvetica;sans-serif" w:hAnsi="Arial;Helvetica;sans-serif"/>
                <w:color w:val="4C4C4C"/>
                <w:sz w:val="18"/>
              </w:rPr>
              <w:t>1/24/2028</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51" w:type="dxa"/>
            <w:tcBorders/>
            <w:vAlign w:val="center"/>
          </w:tcPr>
          <w:p>
            <w:pPr>
              <w:pStyle w:val="TableContents"/>
              <w:bidi w:val="0"/>
              <w:spacing w:before="0" w:after="0"/>
              <w:jc w:val="left"/>
              <w:rPr>
                <w:color w:val="4C4C4C"/>
              </w:rPr>
            </w:pPr>
            <w:r>
              <w:rPr>
                <w:color w:val="4C4C4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8" w:type="dxa"/>
            <w:tcBorders/>
            <w:vAlign w:val="center"/>
          </w:tcPr>
          <w:p>
            <w:pPr>
              <w:pStyle w:val="TableContents"/>
              <w:bidi w:val="0"/>
              <w:spacing w:before="0" w:after="283"/>
              <w:jc w:val="center"/>
              <w:rPr>
                <w:rFonts w:ascii="Arial;Helvetica;sans-serif" w:hAnsi="Arial;Helvetica;sans-serif"/>
                <w:color w:val="4C4C4C"/>
                <w:sz w:val="18"/>
              </w:rPr>
            </w:pPr>
            <w:r>
              <w:rPr>
                <w:rFonts w:ascii="Arial;Helvetica;sans-serif" w:hAnsi="Arial;Helvetica;sans-serif"/>
                <w:color w:val="4C4C4C"/>
                <w:sz w:val="18"/>
              </w:rPr>
              <w:t>(1)(3)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6" w:type="dxa"/>
            <w:tcBorders/>
            <w:vAlign w:val="center"/>
          </w:tcPr>
          <w:p>
            <w:pPr>
              <w:pStyle w:val="TableContents"/>
              <w:bidi w:val="0"/>
              <w:spacing w:before="0" w:after="283"/>
              <w:ind w:left="335" w:right="0" w:hanging="0"/>
              <w:jc w:val="left"/>
              <w:rPr>
                <w:rFonts w:ascii="Arial;Helvetica;sans-serif" w:hAnsi="Arial;Helvetica;sans-serif"/>
                <w:color w:val="4C4C4C"/>
                <w:sz w:val="18"/>
              </w:rPr>
            </w:pPr>
            <w:r>
              <w:rPr>
                <w:rFonts w:ascii="Arial;Helvetica;sans-serif" w:hAnsi="Arial;Helvetica;sans-serif"/>
                <w:color w:val="4C4C4C"/>
                <w:sz w:val="18"/>
              </w:rPr>
              <w:t>30,000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9" w:type="dxa"/>
            <w:tcBorders/>
            <w:vAlign w:val="center"/>
          </w:tcPr>
          <w:p>
            <w:pPr>
              <w:pStyle w:val="TableContents"/>
              <w:bidi w:val="0"/>
              <w:spacing w:before="0" w:after="283"/>
              <w:ind w:left="403" w:right="0" w:hanging="0"/>
              <w:jc w:val="left"/>
              <w:rPr>
                <w:color w:val="4C4C4C"/>
              </w:rPr>
            </w:pPr>
            <w:r>
              <w:rPr>
                <w:color w:val="4C4C4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3" w:type="dxa"/>
            <w:tcBorders/>
            <w:vAlign w:val="center"/>
          </w:tcPr>
          <w:p>
            <w:pPr>
              <w:pStyle w:val="TableContents"/>
              <w:bidi w:val="0"/>
              <w:spacing w:before="0" w:after="283"/>
              <w:ind w:left="246" w:right="0" w:hanging="0"/>
              <w:jc w:val="left"/>
              <w:rPr>
                <w:color w:val="4C4C4C"/>
              </w:rPr>
            </w:pPr>
            <w:r>
              <w:rPr>
                <w:color w:val="4C4C4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8" w:type="dxa"/>
            <w:tcBorders/>
            <w:vAlign w:val="center"/>
          </w:tcPr>
          <w:p>
            <w:pPr>
              <w:pStyle w:val="TableContents"/>
              <w:bidi w:val="0"/>
              <w:spacing w:before="0" w:after="283"/>
              <w:ind w:left="313" w:right="0" w:hanging="0"/>
              <w:jc w:val="left"/>
              <w:rPr>
                <w:rFonts w:ascii="Arial;Helvetica;sans-serif" w:hAnsi="Arial;Helvetica;sans-serif"/>
                <w:color w:val="4C4C4C"/>
                <w:sz w:val="18"/>
              </w:rPr>
            </w:pPr>
            <w:r>
              <w:rPr>
                <w:rFonts w:ascii="Arial;Helvetica;sans-serif" w:hAnsi="Arial;Helvetica;sans-serif"/>
                <w:color w:val="4C4C4C"/>
                <w:sz w:val="18"/>
              </w:rPr>
              <w:t>5.33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8" w:type="dxa"/>
            <w:tcBorders/>
            <w:vAlign w:val="center"/>
          </w:tcPr>
          <w:p>
            <w:pPr>
              <w:pStyle w:val="TableContents"/>
              <w:bidi w:val="0"/>
              <w:spacing w:before="0" w:after="283"/>
              <w:ind w:left="158" w:right="0" w:hanging="0"/>
              <w:jc w:val="left"/>
              <w:rPr>
                <w:rFonts w:ascii="Arial;Helvetica;sans-serif" w:hAnsi="Arial;Helvetica;sans-serif"/>
                <w:color w:val="4C4C4C"/>
                <w:sz w:val="18"/>
              </w:rPr>
            </w:pPr>
            <w:r>
              <w:rPr>
                <w:rFonts w:ascii="Arial;Helvetica;sans-serif" w:hAnsi="Arial;Helvetica;sans-serif"/>
                <w:color w:val="4C4C4C"/>
                <w:sz w:val="18"/>
              </w:rPr>
              <w:t>8/3/2029</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51" w:type="dxa"/>
            <w:tcBorders/>
            <w:vAlign w:val="center"/>
          </w:tcPr>
          <w:p>
            <w:pPr>
              <w:pStyle w:val="TableContents"/>
              <w:bidi w:val="0"/>
              <w:spacing w:before="0" w:after="0"/>
              <w:jc w:val="left"/>
              <w:rPr>
                <w:color w:val="4C4C4C"/>
              </w:rPr>
            </w:pPr>
            <w:r>
              <w:rPr>
                <w:color w:val="4C4C4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8" w:type="dxa"/>
            <w:tcBorders/>
            <w:vAlign w:val="center"/>
          </w:tcPr>
          <w:p>
            <w:pPr>
              <w:pStyle w:val="TableContents"/>
              <w:bidi w:val="0"/>
              <w:spacing w:before="0" w:after="283"/>
              <w:jc w:val="center"/>
              <w:rPr>
                <w:rFonts w:ascii="Arial;Helvetica;sans-serif" w:hAnsi="Arial;Helvetica;sans-serif"/>
                <w:color w:val="4C4C4C"/>
                <w:sz w:val="18"/>
              </w:rPr>
            </w:pPr>
            <w:r>
              <w:rPr>
                <w:rFonts w:ascii="Arial;Helvetica;sans-serif" w:hAnsi="Arial;Helvetica;sans-serif"/>
                <w:color w:val="4C4C4C"/>
                <w:sz w:val="18"/>
              </w:rPr>
              <w:t>(1)(8)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6" w:type="dxa"/>
            <w:tcBorders/>
            <w:vAlign w:val="center"/>
          </w:tcPr>
          <w:p>
            <w:pPr>
              <w:pStyle w:val="TableContents"/>
              <w:bidi w:val="0"/>
              <w:spacing w:before="0" w:after="283"/>
              <w:ind w:left="335" w:right="0" w:hanging="0"/>
              <w:jc w:val="left"/>
              <w:rPr>
                <w:rFonts w:ascii="Arial;Helvetica;sans-serif" w:hAnsi="Arial;Helvetica;sans-serif"/>
                <w:color w:val="4C4C4C"/>
                <w:sz w:val="18"/>
              </w:rPr>
            </w:pPr>
            <w:r>
              <w:rPr>
                <w:rFonts w:ascii="Arial;Helvetica;sans-serif" w:hAnsi="Arial;Helvetica;sans-serif"/>
                <w:color w:val="4C4C4C"/>
                <w:sz w:val="18"/>
              </w:rPr>
              <w:t>30,000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9" w:type="dxa"/>
            <w:tcBorders/>
            <w:vAlign w:val="center"/>
          </w:tcPr>
          <w:p>
            <w:pPr>
              <w:pStyle w:val="TableContents"/>
              <w:bidi w:val="0"/>
              <w:spacing w:before="0" w:after="283"/>
              <w:ind w:left="403" w:right="0" w:hanging="0"/>
              <w:jc w:val="left"/>
              <w:rPr>
                <w:color w:val="4C4C4C"/>
              </w:rPr>
            </w:pPr>
            <w:r>
              <w:rPr>
                <w:color w:val="4C4C4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3" w:type="dxa"/>
            <w:tcBorders/>
            <w:vAlign w:val="center"/>
          </w:tcPr>
          <w:p>
            <w:pPr>
              <w:pStyle w:val="TableContents"/>
              <w:bidi w:val="0"/>
              <w:spacing w:before="0" w:after="283"/>
              <w:ind w:left="246" w:right="0" w:hanging="0"/>
              <w:jc w:val="left"/>
              <w:rPr>
                <w:rFonts w:ascii="Arial;Helvetica;sans-serif" w:hAnsi="Arial;Helvetica;sans-serif"/>
                <w:color w:val="4C4C4C"/>
                <w:sz w:val="18"/>
              </w:rPr>
            </w:pPr>
            <w:r>
              <w:rPr>
                <w:rFonts w:ascii="Arial;Helvetica;sans-serif" w:hAnsi="Arial;Helvetica;sans-serif"/>
                <w:color w:val="4C4C4C"/>
                <w:sz w:val="18"/>
              </w:rPr>
              <w:t>30,000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8" w:type="dxa"/>
            <w:tcBorders/>
            <w:vAlign w:val="center"/>
          </w:tcPr>
          <w:p>
            <w:pPr>
              <w:pStyle w:val="TableContents"/>
              <w:bidi w:val="0"/>
              <w:spacing w:before="0" w:after="283"/>
              <w:ind w:left="313" w:right="0" w:hanging="0"/>
              <w:jc w:val="left"/>
              <w:rPr>
                <w:rFonts w:ascii="Arial;Helvetica;sans-serif" w:hAnsi="Arial;Helvetica;sans-serif"/>
                <w:color w:val="4C4C4C"/>
                <w:sz w:val="18"/>
              </w:rPr>
            </w:pPr>
            <w:r>
              <w:rPr>
                <w:rFonts w:ascii="Arial;Helvetica;sans-serif" w:hAnsi="Arial;Helvetica;sans-serif"/>
                <w:color w:val="4C4C4C"/>
                <w:sz w:val="18"/>
              </w:rPr>
              <w:t>28.42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8" w:type="dxa"/>
            <w:tcBorders/>
            <w:vAlign w:val="center"/>
          </w:tcPr>
          <w:p>
            <w:pPr>
              <w:pStyle w:val="TableContents"/>
              <w:bidi w:val="0"/>
              <w:spacing w:before="0" w:after="283"/>
              <w:ind w:left="158" w:right="0" w:hanging="0"/>
              <w:jc w:val="left"/>
              <w:rPr>
                <w:rFonts w:ascii="Arial;Helvetica;sans-serif" w:hAnsi="Arial;Helvetica;sans-serif"/>
                <w:color w:val="4C4C4C"/>
                <w:sz w:val="18"/>
              </w:rPr>
            </w:pPr>
            <w:r>
              <w:rPr>
                <w:rFonts w:ascii="Arial;Helvetica;sans-serif" w:hAnsi="Arial;Helvetica;sans-serif"/>
                <w:color w:val="4C4C4C"/>
                <w:sz w:val="18"/>
              </w:rPr>
              <w:t>7/27/2030</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51" w:type="dxa"/>
            <w:tcBorders/>
            <w:vAlign w:val="center"/>
          </w:tcPr>
          <w:p>
            <w:pPr>
              <w:pStyle w:val="TableContents"/>
              <w:bidi w:val="0"/>
              <w:spacing w:before="0" w:after="0"/>
              <w:jc w:val="left"/>
              <w:rPr>
                <w:color w:val="4C4C4C"/>
              </w:rPr>
            </w:pPr>
            <w:r>
              <w:rPr>
                <w:color w:val="4C4C4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8" w:type="dxa"/>
            <w:tcBorders/>
            <w:vAlign w:val="center"/>
          </w:tcPr>
          <w:p>
            <w:pPr>
              <w:pStyle w:val="TableContents"/>
              <w:bidi w:val="0"/>
              <w:spacing w:before="0" w:after="283"/>
              <w:jc w:val="center"/>
              <w:rPr>
                <w:rFonts w:ascii="Arial;Helvetica;sans-serif" w:hAnsi="Arial;Helvetica;sans-serif"/>
                <w:color w:val="4C4C4C"/>
                <w:sz w:val="18"/>
              </w:rPr>
            </w:pPr>
            <w:r>
              <w:rPr>
                <w:rFonts w:ascii="Arial;Helvetica;sans-serif" w:hAnsi="Arial;Helvetica;sans-serif"/>
                <w:color w:val="4C4C4C"/>
                <w:sz w:val="18"/>
              </w:rPr>
              <w:t>(1)(3)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6" w:type="dxa"/>
            <w:tcBorders/>
            <w:vAlign w:val="center"/>
          </w:tcPr>
          <w:p>
            <w:pPr>
              <w:pStyle w:val="TableContents"/>
              <w:bidi w:val="0"/>
              <w:spacing w:before="0" w:after="283"/>
              <w:ind w:left="335" w:right="0" w:hanging="0"/>
              <w:jc w:val="left"/>
              <w:rPr>
                <w:rFonts w:ascii="Arial;Helvetica;sans-serif" w:hAnsi="Arial;Helvetica;sans-serif"/>
                <w:color w:val="4C4C4C"/>
                <w:sz w:val="18"/>
              </w:rPr>
            </w:pPr>
            <w:r>
              <w:rPr>
                <w:rFonts w:ascii="Arial;Helvetica;sans-serif" w:hAnsi="Arial;Helvetica;sans-serif"/>
                <w:color w:val="4C4C4C"/>
                <w:sz w:val="18"/>
              </w:rPr>
              <w:t>3,000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9" w:type="dxa"/>
            <w:tcBorders/>
            <w:vAlign w:val="center"/>
          </w:tcPr>
          <w:p>
            <w:pPr>
              <w:pStyle w:val="TableContents"/>
              <w:bidi w:val="0"/>
              <w:spacing w:before="0" w:after="283"/>
              <w:ind w:left="403" w:right="0" w:hanging="0"/>
              <w:jc w:val="left"/>
              <w:rPr>
                <w:color w:val="4C4C4C"/>
              </w:rPr>
            </w:pPr>
            <w:r>
              <w:rPr>
                <w:color w:val="4C4C4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3" w:type="dxa"/>
            <w:tcBorders/>
            <w:vAlign w:val="center"/>
          </w:tcPr>
          <w:p>
            <w:pPr>
              <w:pStyle w:val="TableContents"/>
              <w:bidi w:val="0"/>
              <w:spacing w:before="0" w:after="283"/>
              <w:ind w:left="246" w:right="0" w:hanging="0"/>
              <w:jc w:val="left"/>
              <w:rPr>
                <w:color w:val="4C4C4C"/>
              </w:rPr>
            </w:pPr>
            <w:r>
              <w:rPr>
                <w:color w:val="4C4C4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8" w:type="dxa"/>
            <w:tcBorders/>
            <w:vAlign w:val="center"/>
          </w:tcPr>
          <w:p>
            <w:pPr>
              <w:pStyle w:val="TableContents"/>
              <w:bidi w:val="0"/>
              <w:spacing w:before="0" w:after="283"/>
              <w:ind w:left="313" w:right="0" w:hanging="0"/>
              <w:jc w:val="left"/>
              <w:rPr>
                <w:rFonts w:ascii="Arial;Helvetica;sans-serif" w:hAnsi="Arial;Helvetica;sans-serif"/>
                <w:color w:val="4C4C4C"/>
                <w:sz w:val="18"/>
              </w:rPr>
            </w:pPr>
            <w:r>
              <w:rPr>
                <w:rFonts w:ascii="Arial;Helvetica;sans-serif" w:hAnsi="Arial;Helvetica;sans-serif"/>
                <w:color w:val="4C4C4C"/>
                <w:sz w:val="18"/>
              </w:rPr>
              <w:t>25.45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8" w:type="dxa"/>
            <w:tcBorders/>
            <w:vAlign w:val="center"/>
          </w:tcPr>
          <w:p>
            <w:pPr>
              <w:pStyle w:val="TableContents"/>
              <w:bidi w:val="0"/>
              <w:spacing w:before="0" w:after="283"/>
              <w:ind w:left="158" w:right="0" w:hanging="0"/>
              <w:jc w:val="left"/>
              <w:rPr>
                <w:rFonts w:ascii="Arial;Helvetica;sans-serif" w:hAnsi="Arial;Helvetica;sans-serif"/>
                <w:color w:val="4C4C4C"/>
                <w:sz w:val="18"/>
              </w:rPr>
            </w:pPr>
            <w:r>
              <w:rPr>
                <w:rFonts w:ascii="Arial;Helvetica;sans-serif" w:hAnsi="Arial;Helvetica;sans-serif"/>
                <w:color w:val="4C4C4C"/>
                <w:sz w:val="18"/>
              </w:rPr>
              <w:t>3/3/2032</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51" w:type="dxa"/>
            <w:tcBorders/>
            <w:vAlign w:val="center"/>
          </w:tcPr>
          <w:p>
            <w:pPr>
              <w:pStyle w:val="TableContents"/>
              <w:bidi w:val="0"/>
              <w:spacing w:before="0" w:after="0"/>
              <w:jc w:val="left"/>
              <w:rPr>
                <w:color w:val="4C4C4C"/>
              </w:rPr>
            </w:pPr>
            <w:r>
              <w:rPr>
                <w:color w:val="4C4C4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8" w:type="dxa"/>
            <w:tcBorders/>
            <w:vAlign w:val="center"/>
          </w:tcPr>
          <w:p>
            <w:pPr>
              <w:pStyle w:val="TableContents"/>
              <w:bidi w:val="0"/>
              <w:spacing w:before="0" w:after="283"/>
              <w:jc w:val="center"/>
              <w:rPr>
                <w:rFonts w:ascii="Arial;Helvetica;sans-serif" w:hAnsi="Arial;Helvetica;sans-serif"/>
                <w:color w:val="4C4C4C"/>
                <w:sz w:val="18"/>
              </w:rPr>
            </w:pPr>
            <w:r>
              <w:rPr>
                <w:rFonts w:ascii="Arial;Helvetica;sans-serif" w:hAnsi="Arial;Helvetica;sans-serif"/>
                <w:color w:val="4C4C4C"/>
                <w:sz w:val="18"/>
              </w:rPr>
              <w:t>(2)(6)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6" w:type="dxa"/>
            <w:tcBorders/>
            <w:vAlign w:val="center"/>
          </w:tcPr>
          <w:p>
            <w:pPr>
              <w:pStyle w:val="TableContents"/>
              <w:bidi w:val="0"/>
              <w:spacing w:before="0" w:after="283"/>
              <w:ind w:left="335" w:right="0" w:hanging="0"/>
              <w:jc w:val="left"/>
              <w:rPr>
                <w:rFonts w:ascii="Arial;Helvetica;sans-serif" w:hAnsi="Arial;Helvetica;sans-serif"/>
                <w:color w:val="4C4C4C"/>
                <w:sz w:val="18"/>
              </w:rPr>
            </w:pPr>
            <w:r>
              <w:rPr>
                <w:rFonts w:ascii="Arial;Helvetica;sans-serif" w:hAnsi="Arial;Helvetica;sans-serif"/>
                <w:color w:val="4C4C4C"/>
                <w:sz w:val="18"/>
              </w:rPr>
              <w:t>180,000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9" w:type="dxa"/>
            <w:tcBorders/>
            <w:vAlign w:val="center"/>
          </w:tcPr>
          <w:p>
            <w:pPr>
              <w:pStyle w:val="TableContents"/>
              <w:bidi w:val="0"/>
              <w:spacing w:before="0" w:after="283"/>
              <w:ind w:left="403" w:right="0" w:hanging="0"/>
              <w:jc w:val="left"/>
              <w:rPr>
                <w:rFonts w:ascii="Arial;Helvetica;sans-serif" w:hAnsi="Arial;Helvetica;sans-serif"/>
                <w:color w:val="4C4C4C"/>
                <w:sz w:val="18"/>
              </w:rPr>
            </w:pPr>
            <w:r>
              <w:rPr>
                <w:rFonts w:ascii="Arial;Helvetica;sans-serif" w:hAnsi="Arial;Helvetica;sans-serif"/>
                <w:color w:val="4C4C4C"/>
                <w:sz w:val="18"/>
              </w:rPr>
              <w:t>540,000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3" w:type="dxa"/>
            <w:tcBorders/>
            <w:vAlign w:val="center"/>
          </w:tcPr>
          <w:p>
            <w:pPr>
              <w:pStyle w:val="TableContents"/>
              <w:bidi w:val="0"/>
              <w:spacing w:before="0" w:after="0"/>
              <w:jc w:val="center"/>
              <w:rPr>
                <w:color w:val="4C4C4C"/>
              </w:rPr>
            </w:pPr>
            <w:r>
              <w:rPr>
                <w:color w:val="4C4C4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8" w:type="dxa"/>
            <w:tcBorders/>
            <w:vAlign w:val="center"/>
          </w:tcPr>
          <w:p>
            <w:pPr>
              <w:pStyle w:val="TableContents"/>
              <w:bidi w:val="0"/>
              <w:spacing w:before="0" w:after="283"/>
              <w:ind w:left="313" w:right="0" w:hanging="0"/>
              <w:jc w:val="left"/>
              <w:rPr>
                <w:rFonts w:ascii="Arial;Helvetica;sans-serif" w:hAnsi="Arial;Helvetica;sans-serif"/>
                <w:color w:val="4C4C4C"/>
                <w:sz w:val="18"/>
              </w:rPr>
            </w:pPr>
            <w:r>
              <w:rPr>
                <w:rFonts w:ascii="Arial;Helvetica;sans-serif" w:hAnsi="Arial;Helvetica;sans-serif"/>
                <w:color w:val="4C4C4C"/>
                <w:sz w:val="18"/>
              </w:rPr>
              <w:t>7.06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8" w:type="dxa"/>
            <w:tcBorders/>
            <w:vAlign w:val="center"/>
          </w:tcPr>
          <w:p>
            <w:pPr>
              <w:pStyle w:val="TableContents"/>
              <w:bidi w:val="0"/>
              <w:spacing w:before="0" w:after="283"/>
              <w:ind w:left="158" w:right="0" w:hanging="0"/>
              <w:jc w:val="left"/>
              <w:rPr>
                <w:rFonts w:ascii="Arial;Helvetica;sans-serif" w:hAnsi="Arial;Helvetica;sans-serif"/>
                <w:color w:val="4C4C4C"/>
                <w:sz w:val="18"/>
              </w:rPr>
            </w:pPr>
            <w:r>
              <w:rPr>
                <w:rFonts w:ascii="Arial;Helvetica;sans-serif" w:hAnsi="Arial;Helvetica;sans-serif"/>
                <w:color w:val="4C4C4C"/>
                <w:sz w:val="18"/>
              </w:rPr>
              <w:t>8/2/2028</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5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8"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tbl>
      <w:tblPr>
        <w:tblW w:w="3160" w:type="dxa"/>
        <w:jc w:val="left"/>
        <w:tblInd w:w="0" w:type="dxa"/>
        <w:tblLayout w:type="fixed"/>
        <w:tblCellMar>
          <w:top w:w="0" w:type="dxa"/>
          <w:left w:w="0" w:type="dxa"/>
          <w:bottom w:w="0" w:type="dxa"/>
          <w:right w:w="0" w:type="dxa"/>
        </w:tblCellMar>
      </w:tblPr>
      <w:tblGrid>
        <w:gridCol w:w="260"/>
        <w:gridCol w:w="2900"/>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290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Option covers Class A common stock.</w:t>
            </w:r>
          </w:p>
        </w:tc>
      </w:tr>
    </w:tbl>
    <w:tbl>
      <w:tblPr>
        <w:tblW w:w="3850" w:type="dxa"/>
        <w:jc w:val="left"/>
        <w:tblInd w:w="0" w:type="dxa"/>
        <w:tblLayout w:type="fixed"/>
        <w:tblCellMar>
          <w:top w:w="0" w:type="dxa"/>
          <w:left w:w="0" w:type="dxa"/>
          <w:bottom w:w="0" w:type="dxa"/>
          <w:right w:w="0" w:type="dxa"/>
        </w:tblCellMar>
      </w:tblPr>
      <w:tblGrid>
        <w:gridCol w:w="260"/>
        <w:gridCol w:w="3590"/>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359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Option covers common stock of ACM Shanghai.</w:t>
            </w:r>
          </w:p>
        </w:tc>
      </w:tr>
    </w:tbl>
    <w:tbl>
      <w:tblPr>
        <w:tblW w:w="1900" w:type="dxa"/>
        <w:jc w:val="left"/>
        <w:tblInd w:w="0" w:type="dxa"/>
        <w:tblLayout w:type="fixed"/>
        <w:tblCellMar>
          <w:top w:w="0" w:type="dxa"/>
          <w:left w:w="0" w:type="dxa"/>
          <w:bottom w:w="0" w:type="dxa"/>
          <w:right w:w="0" w:type="dxa"/>
        </w:tblCellMar>
      </w:tblPr>
      <w:tblGrid>
        <w:gridCol w:w="260"/>
        <w:gridCol w:w="1640"/>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164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Option is fully vested.</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(4)</w:t>
            </w:r>
          </w:p>
        </w:tc>
        <w:tc>
          <w:tcPr>
            <w:tcW w:w="9988"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Option was granted on March 20, 2020. An initial 545,397 shares vested and became exercisable on August 5, 2020, which was the first trading day as of which our market capitalization equaled or exceeded $1,553,383,586. The remaining shares will vest and become exercise in two equal installments upon the first trading days, if any, on which our market capitalization equals or exceeds $2,553,383,586 and $3,553,383,586, respectively.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(5)</w:t>
            </w:r>
          </w:p>
        </w:tc>
        <w:tc>
          <w:tcPr>
            <w:tcW w:w="9986"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Option was granted on August 10, 2023 One quarter of the option shall vest and become exercisable on the first anniversary of the grant date, with the remaining three-quarters vesting and becoming exercisable in equal monthly installments over the following 36 months, subject to continued service through each vesting date. Option accelerates vesting upon a defined change in control of ACM.</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(6)</w:t>
            </w:r>
          </w:p>
        </w:tc>
        <w:tc>
          <w:tcPr>
            <w:tcW w:w="9979"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Option was granted on August 3, 2023 One quarter of the option shall vest and become exercisable on the each of the first four anniversaries of the grant date, subject to continued service through each vesting date. Option accelerates vesting upon a defined change in control of ACM Shanghai.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(7)</w:t>
            </w:r>
          </w:p>
        </w:tc>
        <w:tc>
          <w:tcPr>
            <w:tcW w:w="9986"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Option was granted on August 12, 2022. One quarter of the option shall vest and become exercisable on the first anniversary of the grant date, with the remaining three-quarters vesting and becoming exercisable in equal monthly installments over the following 36 months, subject to continued service through each vesting date. Option accelerates vesting upon a defined change in control of ACM.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(8)</w:t>
            </w:r>
          </w:p>
        </w:tc>
        <w:tc>
          <w:tcPr>
            <w:tcW w:w="9986"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Option was granted on July 28, 2020. Performance-based option award pursuant to which one-half of the shares subject to the award vested and became exercisable upon our receipt of our first demo tool order from a specified semiconductor company and the other half vests and becomes exercisable upon the qualification of our first demo tool for such semiconductor company.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37</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6" w:name="ny20042784x1_def14a_114-comp_pg4"/>
        <w:bookmarkEnd w:id="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color w:val="4C4C4C"/>
          <w:sz w:val="20"/>
        </w:rPr>
      </w:pPr>
      <w:r>
        <w:rPr>
          <w:rFonts w:ascii="Arial;Helvetica;sans-serif" w:hAnsi="Arial;Helvetica;sans-serif"/>
          <w:color w:val="4C4C4C"/>
          <w:sz w:val="20"/>
        </w:rPr>
        <w:t>For information regarding the vesting acceleration provisions applicable to the options held by our NEOs, please see “Compensation Discussion and Analysis—Potential Change in Control Benefits” above.</w:t>
      </w:r>
    </w:p>
    <w:p>
      <w:pPr>
        <w:pStyle w:val="TextBody"/>
        <w:bidi w:val="0"/>
        <w:spacing w:before="290" w:after="283"/>
        <w:ind w:left="0" w:right="0" w:hanging="0"/>
        <w:jc w:val="left"/>
        <w:rPr>
          <w:rFonts w:ascii="Arial;Helvetica;sans-serif" w:hAnsi="Arial;Helvetica;sans-serif"/>
          <w:b/>
          <w:color w:val="0079C1"/>
          <w:sz w:val="24"/>
        </w:rPr>
      </w:pPr>
      <w:bookmarkStart w:id="77" w:name="tEAE"/>
      <w:bookmarkEnd w:id="77"/>
      <w:r>
        <w:rPr>
          <w:rFonts w:ascii="Arial;Helvetica;sans-serif" w:hAnsi="Arial;Helvetica;sans-serif"/>
          <w:b/>
          <w:color w:val="0079C1"/>
          <w:sz w:val="24"/>
        </w:rPr>
        <w:t>2024 Option Exercises and Stock Vested</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following table provides information regarding the exercise by the NEOs of vested options during the year ended December 31, 2024. All options were exercised for Class A common stock.</w:t>
      </w:r>
    </w:p>
    <w:tbl>
      <w:tblPr>
        <w:tblW w:w="5385" w:type="dxa"/>
        <w:jc w:val="left"/>
        <w:tblInd w:w="0" w:type="dxa"/>
        <w:tblLayout w:type="fixed"/>
        <w:tblCellMar>
          <w:top w:w="0" w:type="dxa"/>
          <w:left w:w="0" w:type="dxa"/>
          <w:bottom w:w="0" w:type="dxa"/>
          <w:right w:w="0" w:type="dxa"/>
        </w:tblCellMar>
      </w:tblPr>
      <w:tblGrid>
        <w:gridCol w:w="185"/>
        <w:gridCol w:w="1520"/>
        <w:gridCol w:w="170"/>
        <w:gridCol w:w="170"/>
        <w:gridCol w:w="1355"/>
        <w:gridCol w:w="170"/>
        <w:gridCol w:w="170"/>
        <w:gridCol w:w="1430"/>
        <w:gridCol w:w="215"/>
      </w:tblGrid>
      <w:tr>
        <w:trPr/>
        <w:tc>
          <w:tcPr>
            <w:tcW w:w="185" w:type="dxa"/>
            <w:tcBorders/>
            <w:shd w:fill="0D3F64" w:val="clear"/>
            <w:vAlign w:val="center"/>
          </w:tcPr>
          <w:p>
            <w:pPr>
              <w:pStyle w:val="TableContents"/>
              <w:bidi w:val="0"/>
              <w:spacing w:before="0" w:after="0"/>
              <w:jc w:val="left"/>
              <w:rPr/>
            </w:pPr>
            <w:r>
              <w:rPr/>
              <w:t> </w:t>
            </w:r>
          </w:p>
        </w:tc>
        <w:tc>
          <w:tcPr>
            <w:tcW w:w="152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3125" w:type="dxa"/>
            <w:gridSpan w:val="4"/>
            <w:tcBorders/>
            <w:shd w:fill="0D3F64" w:val="clear"/>
            <w:vAlign w:val="center"/>
          </w:tcPr>
          <w:p>
            <w:pPr>
              <w:pStyle w:val="TableContents"/>
              <w:bidi w:val="0"/>
              <w:spacing w:before="0" w:after="0"/>
              <w:jc w:val="left"/>
              <w:rPr/>
            </w:pPr>
            <w:r>
              <w:rPr/>
              <w:t> </w:t>
            </w:r>
          </w:p>
        </w:tc>
        <w:tc>
          <w:tcPr>
            <w:tcW w:w="215" w:type="dxa"/>
            <w:tcBorders/>
            <w:shd w:fill="0D3F64" w:val="clear"/>
            <w:vAlign w:val="center"/>
          </w:tcPr>
          <w:p>
            <w:pPr>
              <w:pStyle w:val="TableContents"/>
              <w:bidi w:val="0"/>
              <w:spacing w:before="0" w:after="0"/>
              <w:jc w:val="left"/>
              <w:rPr/>
            </w:pPr>
            <w:r>
              <w:rPr/>
              <w:t> </w:t>
            </w:r>
          </w:p>
        </w:tc>
      </w:tr>
      <w:tr>
        <w:trPr/>
        <w:tc>
          <w:tcPr>
            <w:tcW w:w="185" w:type="dxa"/>
            <w:tcBorders/>
            <w:shd w:fill="0D3F64" w:val="clear"/>
            <w:vAlign w:val="center"/>
          </w:tcPr>
          <w:p>
            <w:pPr>
              <w:pStyle w:val="TableContents"/>
              <w:bidi w:val="0"/>
              <w:spacing w:before="0" w:after="0"/>
              <w:jc w:val="left"/>
              <w:rPr/>
            </w:pPr>
            <w:r>
              <w:rPr/>
              <w:t> </w:t>
            </w:r>
          </w:p>
        </w:tc>
        <w:tc>
          <w:tcPr>
            <w:tcW w:w="1520" w:type="dxa"/>
            <w:tcBorders/>
            <w:shd w:fill="0D3F64" w:val="clear"/>
            <w:vAlign w:val="center"/>
          </w:tcPr>
          <w:p>
            <w:pPr>
              <w:pStyle w:val="TableContents"/>
              <w:bidi w:val="0"/>
              <w:spacing w:before="20" w:after="283"/>
              <w:ind w:left="20" w:right="0" w:hanging="0"/>
              <w:jc w:val="left"/>
              <w:rPr>
                <w:color w:val="FFFFFF"/>
              </w:rPr>
            </w:pPr>
            <w:r>
              <w:rPr>
                <w:color w:val="FFFFFF"/>
              </w:rPr>
              <w:t> </w:t>
            </w:r>
          </w:p>
        </w:tc>
        <w:tc>
          <w:tcPr>
            <w:tcW w:w="170" w:type="dxa"/>
            <w:tcBorders/>
            <w:shd w:fill="0D3F64" w:val="clear"/>
            <w:vAlign w:val="center"/>
          </w:tcPr>
          <w:p>
            <w:pPr>
              <w:pStyle w:val="TableContents"/>
              <w:bidi w:val="0"/>
              <w:spacing w:before="0" w:after="0"/>
              <w:jc w:val="left"/>
              <w:rPr/>
            </w:pPr>
            <w:r>
              <w:rPr/>
              <w:t> </w:t>
            </w:r>
          </w:p>
        </w:tc>
        <w:tc>
          <w:tcPr>
            <w:tcW w:w="170" w:type="dxa"/>
            <w:tcBorders>
              <w:bottom w:val="single" w:sz="8" w:space="0" w:color="FFFFFF"/>
            </w:tcBorders>
            <w:shd w:fill="0D3F64" w:val="clear"/>
            <w:tcMar>
              <w:bottom w:w="28" w:type="dxa"/>
            </w:tcMar>
            <w:vAlign w:val="center"/>
          </w:tcPr>
          <w:p>
            <w:pPr>
              <w:pStyle w:val="TableContents"/>
              <w:bidi w:val="0"/>
              <w:spacing w:before="0" w:after="0"/>
              <w:jc w:val="left"/>
              <w:rPr/>
            </w:pPr>
            <w:r>
              <w:rPr/>
              <w:t> </w:t>
            </w:r>
          </w:p>
        </w:tc>
        <w:tc>
          <w:tcPr>
            <w:tcW w:w="3125" w:type="dxa"/>
            <w:gridSpan w:val="4"/>
            <w:tcBorders>
              <w:bottom w:val="single" w:sz="8" w:space="0" w:color="FFFFFF"/>
            </w:tcBorders>
            <w:shd w:fill="0D3F64" w:val="clear"/>
            <w:tcMar>
              <w:bottom w:w="33" w:type="dxa"/>
            </w:tcM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Option Awards</w:t>
            </w:r>
          </w:p>
        </w:tc>
        <w:tc>
          <w:tcPr>
            <w:tcW w:w="215" w:type="dxa"/>
            <w:tcBorders>
              <w:bottom w:val="single" w:sz="8" w:space="0" w:color="FFFFFF"/>
            </w:tcBorders>
            <w:shd w:fill="0D3F64" w:val="clear"/>
            <w:tcMar>
              <w:bottom w:w="28" w:type="dxa"/>
            </w:tcMar>
            <w:vAlign w:val="center"/>
          </w:tcPr>
          <w:p>
            <w:pPr>
              <w:pStyle w:val="TableContents"/>
              <w:bidi w:val="0"/>
              <w:spacing w:before="0" w:after="0"/>
              <w:jc w:val="left"/>
              <w:rPr/>
            </w:pPr>
            <w:r>
              <w:rPr/>
              <w:t> </w:t>
            </w:r>
          </w:p>
        </w:tc>
      </w:tr>
      <w:tr>
        <w:trPr/>
        <w:tc>
          <w:tcPr>
            <w:tcW w:w="185" w:type="dxa"/>
            <w:tcBorders/>
            <w:shd w:fill="0D3F64" w:val="clear"/>
            <w:vAlign w:val="center"/>
          </w:tcPr>
          <w:p>
            <w:pPr>
              <w:pStyle w:val="TableContents"/>
              <w:bidi w:val="0"/>
              <w:spacing w:before="0" w:after="0"/>
              <w:jc w:val="left"/>
              <w:rPr/>
            </w:pPr>
            <w:r>
              <w:rPr/>
              <w:t> </w:t>
            </w:r>
          </w:p>
        </w:tc>
        <w:tc>
          <w:tcPr>
            <w:tcW w:w="1520" w:type="dxa"/>
            <w:tcBorders/>
            <w:shd w:fill="0D3F64" w:val="clear"/>
            <w:vAlign w:val="center"/>
          </w:tcPr>
          <w:p>
            <w:pPr>
              <w:pStyle w:val="TableContents"/>
              <w:bidi w:val="0"/>
              <w:spacing w:before="20" w:after="283"/>
              <w:ind w:left="2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355"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Number of</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Shares Acquired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on Exercise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430"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Value Realized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on Exercise ($)(1)</w:t>
            </w:r>
          </w:p>
        </w:tc>
        <w:tc>
          <w:tcPr>
            <w:tcW w:w="215" w:type="dxa"/>
            <w:tcBorders/>
            <w:shd w:fill="0D3F6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David Wang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372" w:right="0" w:hanging="0"/>
              <w:jc w:val="left"/>
              <w:rPr>
                <w:rFonts w:ascii="Arial;Helvetica;sans-serif" w:hAnsi="Arial;Helvetica;sans-serif"/>
                <w:color w:val="4C4C4C"/>
                <w:sz w:val="20"/>
              </w:rPr>
            </w:pPr>
            <w:r>
              <w:rPr>
                <w:rFonts w:ascii="Arial;Helvetica;sans-serif" w:hAnsi="Arial;Helvetica;sans-serif"/>
                <w:color w:val="4C4C4C"/>
                <w:sz w:val="20"/>
              </w:rPr>
              <w:t>630,000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196" w:right="0" w:hanging="0"/>
              <w:jc w:val="left"/>
              <w:rPr>
                <w:rFonts w:ascii="Arial;Helvetica;sans-serif" w:hAnsi="Arial;Helvetica;sans-serif"/>
                <w:color w:val="4C4C4C"/>
                <w:sz w:val="20"/>
              </w:rPr>
            </w:pPr>
            <w:r>
              <w:rPr>
                <w:rFonts w:ascii="Arial;Helvetica;sans-serif" w:hAnsi="Arial;Helvetica;sans-serif"/>
                <w:color w:val="4C4C4C"/>
                <w:sz w:val="20"/>
              </w:rPr>
              <w:t>$14,413,500</w:t>
            </w:r>
          </w:p>
        </w:tc>
        <w:tc>
          <w:tcPr>
            <w:tcW w:w="215" w:type="dxa"/>
            <w:tcBorders/>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1520" w:type="dxa"/>
            <w:tcBorders/>
            <w:shd w:fill="BAE2F8" w:val="clear"/>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Mark McKechnie</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355" w:type="dxa"/>
            <w:tcBorders/>
            <w:shd w:fill="BAE2F8" w:val="clear"/>
            <w:vAlign w:val="center"/>
          </w:tcPr>
          <w:p>
            <w:pPr>
              <w:pStyle w:val="TableContents"/>
              <w:bidi w:val="0"/>
              <w:spacing w:before="0" w:after="283"/>
              <w:ind w:left="372" w:right="0" w:hanging="0"/>
              <w:jc w:val="left"/>
              <w:rPr>
                <w:rFonts w:ascii="Arial;Helvetica;sans-serif" w:hAnsi="Arial;Helvetica;sans-serif"/>
                <w:color w:val="4C4C4C"/>
                <w:sz w:val="20"/>
              </w:rPr>
            </w:pPr>
            <w:r>
              <w:rPr>
                <w:rFonts w:ascii="Arial;Helvetica;sans-serif" w:hAnsi="Arial;Helvetica;sans-serif"/>
                <w:color w:val="4C4C4C"/>
                <w:sz w:val="20"/>
              </w:rPr>
              <w:t>46,516</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430" w:type="dxa"/>
            <w:tcBorders/>
            <w:shd w:fill="BAE2F8" w:val="clear"/>
            <w:vAlign w:val="center"/>
          </w:tcPr>
          <w:p>
            <w:pPr>
              <w:pStyle w:val="TableContents"/>
              <w:bidi w:val="0"/>
              <w:spacing w:before="0" w:after="283"/>
              <w:ind w:left="196" w:right="0" w:hanging="0"/>
              <w:jc w:val="left"/>
              <w:rPr>
                <w:rFonts w:ascii="Arial;Helvetica;sans-serif" w:hAnsi="Arial;Helvetica;sans-serif"/>
                <w:color w:val="4C4C4C"/>
                <w:sz w:val="20"/>
              </w:rPr>
            </w:pPr>
            <w:r>
              <w:rPr>
                <w:rFonts w:ascii="Arial;Helvetica;sans-serif" w:hAnsi="Arial;Helvetica;sans-serif"/>
                <w:color w:val="4C4C4C"/>
                <w:sz w:val="20"/>
              </w:rPr>
              <w:t>$</w:t>
            </w:r>
            <w:r>
              <w:rPr>
                <w:rFonts w:ascii="Arial;Helvetica;sans-serif" w:hAnsi="Arial;Helvetica;sans-serif"/>
                <w:color w:val="4C4C4C"/>
                <w:sz w:val="20"/>
              </w:rPr>
              <w:t>800,859</w:t>
            </w:r>
          </w:p>
        </w:tc>
        <w:tc>
          <w:tcPr>
            <w:tcW w:w="215" w:type="dxa"/>
            <w:tcBorders/>
            <w:shd w:fill="BAE2F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Lisa Feng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372" w:right="0" w:hanging="0"/>
              <w:jc w:val="left"/>
              <w:rPr>
                <w:rFonts w:ascii="Arial;Helvetica;sans-serif" w:hAnsi="Arial;Helvetica;sans-serif"/>
                <w:color w:val="4C4C4C"/>
                <w:sz w:val="20"/>
              </w:rPr>
            </w:pPr>
            <w:r>
              <w:rPr>
                <w:rFonts w:ascii="Arial;Helvetica;sans-serif" w:hAnsi="Arial;Helvetica;sans-serif"/>
                <w:color w:val="4C4C4C"/>
                <w:sz w:val="20"/>
              </w:rPr>
              <w:t>7,500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196" w:right="0" w:hanging="0"/>
              <w:jc w:val="left"/>
              <w:rPr>
                <w:rFonts w:ascii="Arial;Helvetica;sans-serif" w:hAnsi="Arial;Helvetica;sans-serif"/>
                <w:color w:val="4C4C4C"/>
                <w:sz w:val="20"/>
              </w:rPr>
            </w:pPr>
            <w:r>
              <w:rPr>
                <w:rFonts w:ascii="Arial;Helvetica;sans-serif" w:hAnsi="Arial;Helvetica;sans-serif"/>
                <w:color w:val="4C4C4C"/>
                <w:sz w:val="20"/>
              </w:rPr>
              <w:t>$</w:t>
            </w:r>
            <w:r>
              <w:rPr>
                <w:rFonts w:ascii="Arial;Helvetica;sans-serif" w:hAnsi="Arial;Helvetica;sans-serif"/>
                <w:color w:val="4C4C4C"/>
                <w:sz w:val="20"/>
              </w:rPr>
              <w:t>188,100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9964"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The value realized on vesting is calculated by multiplying the number of shares of stock by the market value of the underlying shares on each exercise date, minus the aggregate exercise price.</w:t>
            </w:r>
          </w:p>
        </w:tc>
      </w:tr>
    </w:tbl>
    <w:p>
      <w:pPr>
        <w:pStyle w:val="TextBody"/>
        <w:bidi w:val="0"/>
        <w:spacing w:before="270" w:after="283"/>
        <w:ind w:left="0" w:right="0" w:hanging="0"/>
        <w:jc w:val="left"/>
        <w:rPr>
          <w:rFonts w:ascii="Arial;Helvetica;sans-serif" w:hAnsi="Arial;Helvetica;sans-serif"/>
          <w:b/>
          <w:color w:val="0079C1"/>
          <w:sz w:val="24"/>
        </w:rPr>
      </w:pPr>
      <w:r>
        <w:rPr>
          <w:rFonts w:ascii="Arial;Helvetica;sans-serif" w:hAnsi="Arial;Helvetica;sans-serif"/>
          <w:b/>
          <w:color w:val="0079C1"/>
          <w:sz w:val="24"/>
        </w:rPr>
        <w:t>Potential Payments Upon Termination or Change in Control</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In addition to PRC statutorily required cash severance, our option awards granted under our 2016 Plan to employees, including NEOs, provide for acceleration upon a change in control, excluding the performance-based stock option granted to David Wang on March 20, 2020. Except for those option arrangements, none of our NEOs is party to a currently effective contract or other arrangement that provides for the acceleration or payment of any benefits in the event of a change in control of our company or the termination of the NEO’s employment, whether or not the termination occurs within a specified time period after the occurrence of a change in control. NEOs based in the PRC, who include all NEOs other than U.S.-based Mark McKechnie, may be entitled to statutory severance as required by applicable law, as disclosed in the table below. The amounts below assume a triggering event occurred on December 31, 2024, and the value shown is calculated by multiplying the number of shares of stock that would accelerate by the market value of the underlying shares on December 31, 2024 ($15.10), minus the aggregate exercise price.</w:t>
      </w:r>
    </w:p>
    <w:p>
      <w:pPr>
        <w:pStyle w:val="TextBody"/>
        <w:bidi w:val="0"/>
        <w:spacing w:before="250" w:after="283"/>
        <w:ind w:left="0" w:right="0" w:hanging="0"/>
        <w:jc w:val="left"/>
        <w:rPr>
          <w:rFonts w:ascii="Arial;Helvetica;sans-serif" w:hAnsi="Arial;Helvetica;sans-serif"/>
          <w:color w:val="4C4C4C"/>
          <w:sz w:val="20"/>
        </w:rPr>
      </w:pPr>
      <w:r>
        <w:rPr>
          <w:rFonts w:ascii="Arial;Helvetica;sans-serif" w:hAnsi="Arial;Helvetica;sans-serif"/>
          <w:color w:val="4C4C4C"/>
          <w:sz w:val="20"/>
        </w:rPr>
        <w:t>For purposes of the 2016 Plan, “change in control” generally means the occurrence of any of the following:</w:t>
      </w:r>
    </w:p>
    <w:p>
      <w:pPr>
        <w:pStyle w:val="TextBody"/>
        <w:bidi w:val="0"/>
        <w:spacing w:before="0" w:after="283"/>
        <w:ind w:left="0" w:right="0" w:hanging="0"/>
        <w:jc w:val="both"/>
        <w:rPr>
          <w:rFonts w:ascii="Arial;Helvetica;sans-serif" w:hAnsi="Arial;Helvetica;sans-serif"/>
          <w:color w:val="4C4C4C"/>
          <w:sz w:val="20"/>
        </w:rPr>
      </w:pPr>
      <w:r>
        <w:rPr>
          <w:rFonts w:ascii="Arial;Helvetica;sans-serif" w:hAnsi="Arial;Helvetica;sans-serif"/>
          <w:color w:val="4C4C4C"/>
          <w:sz w:val="20"/>
        </w:rPr>
        <w:t>Any person becomes the owner of securities in the Company representing more than fifty percent of the combined voting power of the Company, other than as a result of a merger, consolidation or similar transaction;</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color w:val="000000"/>
              </w:rPr>
            </w:pPr>
            <w:r>
              <w:rPr>
                <w:color w:val="000000"/>
              </w:rPr>
              <w:t>○</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Consummation of a merger, consolidation or similar transaction of the Company and after such transaction the stockholders of the Company no longer own 50% of the combined outstanding voting power of the surviving entity or the parent of the surviving entity, in substantially the same proportions as their ownership prior to such transaction;</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color w:val="000000"/>
              </w:rPr>
            </w:pPr>
            <w:r>
              <w:rPr>
                <w:color w:val="000000"/>
              </w:rPr>
              <w:t>○</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A sale, lease, exclusive license or other disposition of all or substantially of the assets of the Company and the subsidiary; and</w:t>
            </w:r>
          </w:p>
        </w:tc>
      </w:tr>
    </w:tbl>
    <w:tbl>
      <w:tblPr>
        <w:tblW w:w="9565" w:type="dxa"/>
        <w:jc w:val="left"/>
        <w:tblInd w:w="0" w:type="dxa"/>
        <w:tblLayout w:type="fixed"/>
        <w:tblCellMar>
          <w:top w:w="0" w:type="dxa"/>
          <w:left w:w="0" w:type="dxa"/>
          <w:bottom w:w="0" w:type="dxa"/>
          <w:right w:w="0" w:type="dxa"/>
        </w:tblCellMar>
      </w:tblPr>
      <w:tblGrid>
        <w:gridCol w:w="200"/>
        <w:gridCol w:w="9365"/>
      </w:tblGrid>
      <w:tr>
        <w:trPr/>
        <w:tc>
          <w:tcPr>
            <w:tcW w:w="200" w:type="dxa"/>
            <w:tcBorders/>
            <w:vAlign w:val="center"/>
          </w:tcPr>
          <w:p>
            <w:pPr>
              <w:pStyle w:val="TableContents"/>
              <w:bidi w:val="0"/>
              <w:spacing w:before="0" w:after="0"/>
              <w:jc w:val="left"/>
              <w:rPr>
                <w:color w:val="000000"/>
              </w:rPr>
            </w:pPr>
            <w:r>
              <w:rPr>
                <w:color w:val="000000"/>
              </w:rPr>
              <w:t>○</w:t>
            </w:r>
          </w:p>
        </w:tc>
        <w:tc>
          <w:tcPr>
            <w:tcW w:w="93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The incumbent board ceases to constitute, for any reason, at least a majority of the members of the board.</w:t>
            </w:r>
          </w:p>
        </w:tc>
      </w:tr>
    </w:tbl>
    <w:tbl>
      <w:tblPr>
        <w:tblW w:w="4020" w:type="dxa"/>
        <w:jc w:val="left"/>
        <w:tblInd w:w="0" w:type="dxa"/>
        <w:tblLayout w:type="fixed"/>
        <w:tblCellMar>
          <w:top w:w="0" w:type="dxa"/>
          <w:left w:w="0" w:type="dxa"/>
          <w:bottom w:w="0" w:type="dxa"/>
          <w:right w:w="0" w:type="dxa"/>
        </w:tblCellMar>
      </w:tblPr>
      <w:tblGrid>
        <w:gridCol w:w="185"/>
        <w:gridCol w:w="1520"/>
        <w:gridCol w:w="170"/>
        <w:gridCol w:w="170"/>
        <w:gridCol w:w="1760"/>
        <w:gridCol w:w="215"/>
      </w:tblGrid>
      <w:tr>
        <w:trPr/>
        <w:tc>
          <w:tcPr>
            <w:tcW w:w="185" w:type="dxa"/>
            <w:tcBorders/>
            <w:shd w:fill="0D3F64" w:val="clear"/>
            <w:vAlign w:val="center"/>
          </w:tcPr>
          <w:p>
            <w:pPr>
              <w:pStyle w:val="TableContents"/>
              <w:bidi w:val="0"/>
              <w:spacing w:before="0" w:after="0"/>
              <w:jc w:val="left"/>
              <w:rPr/>
            </w:pPr>
            <w:r>
              <w:rPr/>
              <w:t> </w:t>
            </w:r>
          </w:p>
        </w:tc>
        <w:tc>
          <w:tcPr>
            <w:tcW w:w="152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60" w:type="dxa"/>
            <w:tcBorders/>
            <w:shd w:fill="0D3F64" w:val="clear"/>
            <w:vAlign w:val="center"/>
          </w:tcPr>
          <w:p>
            <w:pPr>
              <w:pStyle w:val="TableContents"/>
              <w:bidi w:val="0"/>
              <w:spacing w:before="0" w:after="0"/>
              <w:jc w:val="left"/>
              <w:rPr/>
            </w:pPr>
            <w:r>
              <w:rPr/>
              <w:t> </w:t>
            </w:r>
          </w:p>
        </w:tc>
        <w:tc>
          <w:tcPr>
            <w:tcW w:w="215" w:type="dxa"/>
            <w:tcBorders/>
            <w:shd w:fill="0D3F64" w:val="clear"/>
            <w:vAlign w:val="center"/>
          </w:tcPr>
          <w:p>
            <w:pPr>
              <w:pStyle w:val="TableContents"/>
              <w:bidi w:val="0"/>
              <w:spacing w:before="0" w:after="0"/>
              <w:jc w:val="left"/>
              <w:rPr/>
            </w:pPr>
            <w:r>
              <w:rPr/>
              <w:t> </w:t>
            </w:r>
          </w:p>
        </w:tc>
      </w:tr>
      <w:tr>
        <w:trPr/>
        <w:tc>
          <w:tcPr>
            <w:tcW w:w="185" w:type="dxa"/>
            <w:tcBorders/>
            <w:shd w:fill="0D3F64" w:val="clear"/>
            <w:vAlign w:val="center"/>
          </w:tcPr>
          <w:p>
            <w:pPr>
              <w:pStyle w:val="TableContents"/>
              <w:bidi w:val="0"/>
              <w:spacing w:before="0" w:after="0"/>
              <w:jc w:val="left"/>
              <w:rPr/>
            </w:pPr>
            <w:r>
              <w:rPr/>
              <w:t> </w:t>
            </w:r>
          </w:p>
        </w:tc>
        <w:tc>
          <w:tcPr>
            <w:tcW w:w="1520" w:type="dxa"/>
            <w:tcBorders/>
            <w:shd w:fill="0D3F64" w:val="clear"/>
            <w:vAlign w:val="center"/>
          </w:tcPr>
          <w:p>
            <w:pPr>
              <w:pStyle w:val="TableContents"/>
              <w:bidi w:val="0"/>
              <w:spacing w:before="20" w:after="283"/>
              <w:ind w:left="2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60"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Vesting upon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Change in Control ($)</w:t>
            </w:r>
          </w:p>
        </w:tc>
        <w:tc>
          <w:tcPr>
            <w:tcW w:w="215" w:type="dxa"/>
            <w:tcBorders/>
            <w:shd w:fill="0D3F6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David H. Wang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283"/>
              <w:ind w:left="246" w:right="0" w:hanging="0"/>
              <w:jc w:val="left"/>
              <w:rPr>
                <w:rFonts w:ascii="Arial;Helvetica;sans-serif" w:hAnsi="Arial;Helvetica;sans-serif"/>
                <w:color w:val="4C4C4C"/>
                <w:sz w:val="20"/>
              </w:rPr>
            </w:pPr>
            <w:r>
              <w:rPr>
                <w:rFonts w:ascii="Arial;Helvetica;sans-serif" w:hAnsi="Arial;Helvetica;sans-serif"/>
                <w:color w:val="4C4C4C"/>
                <w:sz w:val="20"/>
              </w:rPr>
              <w:t>$6,102,000</w:t>
            </w:r>
          </w:p>
        </w:tc>
        <w:tc>
          <w:tcPr>
            <w:tcW w:w="215" w:type="dxa"/>
            <w:tcBorders/>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1520" w:type="dxa"/>
            <w:tcBorders/>
            <w:shd w:fill="BAE2F8" w:val="clear"/>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Mark McKechnie</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760" w:type="dxa"/>
            <w:tcBorders/>
            <w:shd w:fill="BAE2F8" w:val="clear"/>
            <w:vAlign w:val="center"/>
          </w:tcPr>
          <w:p>
            <w:pPr>
              <w:pStyle w:val="TableContents"/>
              <w:bidi w:val="0"/>
              <w:spacing w:before="0" w:after="283"/>
              <w:ind w:left="246" w:right="0" w:hanging="0"/>
              <w:jc w:val="left"/>
              <w:rPr>
                <w:rFonts w:ascii="Arial;Helvetica;sans-serif" w:hAnsi="Arial;Helvetica;sans-serif"/>
                <w:color w:val="4C4C4C"/>
                <w:sz w:val="20"/>
              </w:rPr>
            </w:pPr>
            <w:r>
              <w:rPr>
                <w:rFonts w:ascii="Arial;Helvetica;sans-serif" w:hAnsi="Arial;Helvetica;sans-serif"/>
                <w:color w:val="4C4C4C"/>
                <w:sz w:val="20"/>
              </w:rPr>
              <w:t>1,698,333</w:t>
            </w:r>
          </w:p>
        </w:tc>
        <w:tc>
          <w:tcPr>
            <w:tcW w:w="215" w:type="dxa"/>
            <w:tcBorders/>
            <w:shd w:fill="BAE2F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Jian Wang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283"/>
              <w:ind w:left="246" w:right="0" w:hanging="0"/>
              <w:jc w:val="left"/>
              <w:rPr>
                <w:color w:val="4C4C4C"/>
              </w:rPr>
            </w:pPr>
            <w:r>
              <w:rPr>
                <w:color w:val="4C4C4C"/>
              </w:rPr>
              <w:t>—</w:t>
            </w:r>
          </w:p>
        </w:tc>
        <w:tc>
          <w:tcPr>
            <w:tcW w:w="215" w:type="dxa"/>
            <w:tcBorders/>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1520" w:type="dxa"/>
            <w:tcBorders/>
            <w:shd w:fill="BAE2F8" w:val="clear"/>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Lisa Feng</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760" w:type="dxa"/>
            <w:tcBorders/>
            <w:shd w:fill="BAE2F8" w:val="clear"/>
            <w:vAlign w:val="center"/>
          </w:tcPr>
          <w:p>
            <w:pPr>
              <w:pStyle w:val="TableContents"/>
              <w:bidi w:val="0"/>
              <w:spacing w:before="0" w:after="283"/>
              <w:ind w:left="246" w:right="0" w:hanging="0"/>
              <w:jc w:val="left"/>
              <w:rPr>
                <w:rFonts w:ascii="Arial;Helvetica;sans-serif" w:hAnsi="Arial;Helvetica;sans-serif"/>
                <w:color w:val="4C4C4C"/>
                <w:sz w:val="20"/>
              </w:rPr>
            </w:pPr>
            <w:r>
              <w:rPr>
                <w:rFonts w:ascii="Arial;Helvetica;sans-serif" w:hAnsi="Arial;Helvetica;sans-serif"/>
                <w:color w:val="4C4C4C"/>
                <w:sz w:val="20"/>
              </w:rPr>
              <w:t>581,989</w:t>
            </w:r>
          </w:p>
        </w:tc>
        <w:tc>
          <w:tcPr>
            <w:tcW w:w="215" w:type="dxa"/>
            <w:tcBorders/>
            <w:shd w:fill="BAE2F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Fuping Chen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283"/>
              <w:ind w:left="246" w:right="0" w:hanging="0"/>
              <w:jc w:val="left"/>
              <w:rPr>
                <w:rFonts w:ascii="Arial;Helvetica;sans-serif" w:hAnsi="Arial;Helvetica;sans-serif"/>
                <w:color w:val="4C4C4C"/>
                <w:sz w:val="20"/>
              </w:rPr>
            </w:pPr>
            <w:r>
              <w:rPr>
                <w:rFonts w:ascii="Arial;Helvetica;sans-serif" w:hAnsi="Arial;Helvetica;sans-serif"/>
                <w:color w:val="4C4C4C"/>
                <w:sz w:val="20"/>
              </w:rPr>
              <w:t>$</w:t>
            </w:r>
            <w:r>
              <w:rPr>
                <w:rFonts w:ascii="Arial;Helvetica;sans-serif" w:hAnsi="Arial;Helvetica;sans-serif"/>
                <w:color w:val="4C4C4C"/>
                <w:sz w:val="20"/>
              </w:rPr>
              <w:t>—</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38</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8" w:name="ny20042784x1_def14a_114-comp_pg5"/>
        <w:bookmarkEnd w:id="78"/>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079C1"/>
          <w:sz w:val="24"/>
        </w:rPr>
      </w:pPr>
      <w:bookmarkStart w:id="79" w:name="tECP"/>
      <w:bookmarkEnd w:id="79"/>
      <w:r>
        <w:rPr>
          <w:rFonts w:ascii="Arial;Helvetica;sans-serif" w:hAnsi="Arial;Helvetica;sans-serif"/>
          <w:b/>
          <w:color w:val="0079C1"/>
          <w:sz w:val="24"/>
        </w:rPr>
        <w:t>Equity Compensation Plan Information</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following table provides information as of December 31, 2024 with respect to shares of Class A common stock that may be issued under our equity plans and standalone option grants:</w:t>
      </w:r>
    </w:p>
    <w:tbl>
      <w:tblPr>
        <w:tblW w:w="10205" w:type="dxa"/>
        <w:jc w:val="left"/>
        <w:tblInd w:w="0" w:type="dxa"/>
        <w:tblLayout w:type="fixed"/>
        <w:tblCellMar>
          <w:top w:w="0" w:type="dxa"/>
          <w:left w:w="0" w:type="dxa"/>
          <w:bottom w:w="0" w:type="dxa"/>
          <w:right w:w="0" w:type="dxa"/>
        </w:tblCellMar>
      </w:tblPr>
      <w:tblGrid>
        <w:gridCol w:w="185"/>
        <w:gridCol w:w="3656"/>
        <w:gridCol w:w="170"/>
        <w:gridCol w:w="170"/>
        <w:gridCol w:w="1648"/>
        <w:gridCol w:w="170"/>
        <w:gridCol w:w="170"/>
        <w:gridCol w:w="1522"/>
        <w:gridCol w:w="170"/>
        <w:gridCol w:w="170"/>
        <w:gridCol w:w="1957"/>
        <w:gridCol w:w="217"/>
      </w:tblGrid>
      <w:tr>
        <w:trPr/>
        <w:tc>
          <w:tcPr>
            <w:tcW w:w="185" w:type="dxa"/>
            <w:tcBorders/>
            <w:shd w:fill="0D3F64" w:val="clear"/>
            <w:vAlign w:val="center"/>
          </w:tcPr>
          <w:p>
            <w:pPr>
              <w:pStyle w:val="TableContents"/>
              <w:bidi w:val="0"/>
              <w:spacing w:before="0" w:after="0"/>
              <w:jc w:val="left"/>
              <w:rPr/>
            </w:pPr>
            <w:r>
              <w:rPr/>
              <w:t> </w:t>
            </w:r>
          </w:p>
        </w:tc>
        <w:tc>
          <w:tcPr>
            <w:tcW w:w="3656"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648"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522"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957" w:type="dxa"/>
            <w:tcBorders/>
            <w:shd w:fill="0D3F64" w:val="clear"/>
            <w:vAlign w:val="center"/>
          </w:tcPr>
          <w:p>
            <w:pPr>
              <w:pStyle w:val="TableContents"/>
              <w:bidi w:val="0"/>
              <w:spacing w:before="0" w:after="0"/>
              <w:jc w:val="left"/>
              <w:rPr/>
            </w:pPr>
            <w:r>
              <w:rPr/>
              <w:t> </w:t>
            </w:r>
          </w:p>
        </w:tc>
        <w:tc>
          <w:tcPr>
            <w:tcW w:w="217" w:type="dxa"/>
            <w:tcBorders/>
            <w:shd w:fill="0D3F64" w:val="clear"/>
            <w:vAlign w:val="center"/>
          </w:tcPr>
          <w:p>
            <w:pPr>
              <w:pStyle w:val="TableContents"/>
              <w:bidi w:val="0"/>
              <w:spacing w:before="0" w:after="0"/>
              <w:jc w:val="left"/>
              <w:rPr/>
            </w:pPr>
            <w:r>
              <w:rPr/>
              <w:t> </w:t>
            </w:r>
          </w:p>
        </w:tc>
      </w:tr>
      <w:tr>
        <w:trPr/>
        <w:tc>
          <w:tcPr>
            <w:tcW w:w="185" w:type="dxa"/>
            <w:tcBorders/>
            <w:shd w:fill="0D3F64" w:val="clear"/>
            <w:vAlign w:val="center"/>
          </w:tcPr>
          <w:p>
            <w:pPr>
              <w:pStyle w:val="TableContents"/>
              <w:bidi w:val="0"/>
              <w:spacing w:before="0" w:after="0"/>
              <w:jc w:val="left"/>
              <w:rPr/>
            </w:pPr>
            <w:r>
              <w:rPr/>
              <w:t> </w:t>
            </w:r>
          </w:p>
        </w:tc>
        <w:tc>
          <w:tcPr>
            <w:tcW w:w="3656" w:type="dxa"/>
            <w:tcBorders/>
            <w:shd w:fill="0D3F64" w:val="clear"/>
            <w:vAlign w:val="center"/>
          </w:tcPr>
          <w:p>
            <w:pPr>
              <w:pStyle w:val="TableContents"/>
              <w:bidi w:val="0"/>
              <w:spacing w:before="20" w:after="283"/>
              <w:ind w:left="20" w:right="0" w:hanging="0"/>
              <w:jc w:val="left"/>
              <w:rPr>
                <w:rFonts w:ascii="Arial;Helvetica;sans-serif" w:hAnsi="Arial;Helvetica;sans-serif"/>
                <w:b/>
                <w:color w:val="FFFFFF"/>
                <w:sz w:val="16"/>
              </w:rPr>
            </w:pPr>
            <w:r>
              <w:rPr>
                <w:rFonts w:ascii="Arial;Helvetica;sans-serif" w:hAnsi="Arial;Helvetica;sans-serif"/>
                <w:b/>
                <w:color w:val="FFFFFF"/>
                <w:sz w:val="16"/>
              </w:rPr>
              <w:t>Plan Category</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648"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Number of Securities to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be Issued Upon Exercise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of Outstanding Options,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Warrants and Rights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522"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Weighted Average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Exercise Price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Outstanding Options,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Warrants and Rights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(b)</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957"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Number of Securities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Remaining Available for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Future Issuance Under Equity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Compensation Plans(1)</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w:t>
            </w:r>
          </w:p>
        </w:tc>
        <w:tc>
          <w:tcPr>
            <w:tcW w:w="217" w:type="dxa"/>
            <w:tcBorders/>
            <w:shd w:fill="0D3F6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656" w:type="dxa"/>
            <w:tcBorders/>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Equity compensation plans approved by stockholders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48" w:type="dxa"/>
            <w:tcBorders/>
            <w:vAlign w:val="center"/>
          </w:tcPr>
          <w:p>
            <w:pPr>
              <w:pStyle w:val="TableContents"/>
              <w:bidi w:val="0"/>
              <w:spacing w:before="0" w:after="283"/>
              <w:ind w:left="523" w:right="0" w:hanging="0"/>
              <w:jc w:val="left"/>
              <w:rPr>
                <w:rFonts w:ascii="Arial;Helvetica;sans-serif" w:hAnsi="Arial;Helvetica;sans-serif"/>
                <w:color w:val="4C4C4C"/>
                <w:sz w:val="20"/>
              </w:rPr>
            </w:pPr>
            <w:r>
              <w:rPr>
                <w:rFonts w:ascii="Arial;Helvetica;sans-serif" w:hAnsi="Arial;Helvetica;sans-serif"/>
                <w:color w:val="4C4C4C"/>
                <w:sz w:val="20"/>
              </w:rPr>
              <w:t>9,245,601(2)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2" w:type="dxa"/>
            <w:tcBorders/>
            <w:vAlign w:val="center"/>
          </w:tcPr>
          <w:p>
            <w:pPr>
              <w:pStyle w:val="TableContents"/>
              <w:bidi w:val="0"/>
              <w:spacing w:before="0" w:after="283"/>
              <w:ind w:left="727" w:right="0" w:hanging="0"/>
              <w:jc w:val="left"/>
              <w:rPr>
                <w:rFonts w:ascii="Arial;Helvetica;sans-serif" w:hAnsi="Arial;Helvetica;sans-serif"/>
                <w:color w:val="4C4C4C"/>
                <w:sz w:val="20"/>
              </w:rPr>
            </w:pPr>
            <w:r>
              <w:rPr>
                <w:rFonts w:ascii="Arial;Helvetica;sans-serif" w:hAnsi="Arial;Helvetica;sans-serif"/>
                <w:color w:val="4C4C4C"/>
                <w:sz w:val="20"/>
              </w:rPr>
              <w:t>$10.50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57" w:type="dxa"/>
            <w:tcBorders/>
            <w:vAlign w:val="center"/>
          </w:tcPr>
          <w:p>
            <w:pPr>
              <w:pStyle w:val="TableContents"/>
              <w:bidi w:val="0"/>
              <w:spacing w:before="0" w:after="283"/>
              <w:ind w:left="601" w:right="0" w:hanging="0"/>
              <w:jc w:val="left"/>
              <w:rPr>
                <w:rFonts w:ascii="Arial;Helvetica;sans-serif" w:hAnsi="Arial;Helvetica;sans-serif"/>
                <w:color w:val="4C4C4C"/>
                <w:sz w:val="20"/>
              </w:rPr>
            </w:pPr>
            <w:r>
              <w:rPr>
                <w:rFonts w:ascii="Arial;Helvetica;sans-serif" w:hAnsi="Arial;Helvetica;sans-serif"/>
                <w:color w:val="4C4C4C"/>
                <w:sz w:val="20"/>
              </w:rPr>
              <w:t>7,507,049</w:t>
            </w:r>
          </w:p>
        </w:tc>
        <w:tc>
          <w:tcPr>
            <w:tcW w:w="217" w:type="dxa"/>
            <w:tcBorders/>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3656" w:type="dxa"/>
            <w:tcBorders/>
            <w:shd w:fill="BAE2F8" w:val="clear"/>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Equity compensation plans not approved by stockholders(3)</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648" w:type="dxa"/>
            <w:tcBorders/>
            <w:shd w:fill="BAE2F8" w:val="clear"/>
            <w:vAlign w:val="center"/>
          </w:tcPr>
          <w:p>
            <w:pPr>
              <w:pStyle w:val="TableContents"/>
              <w:bidi w:val="0"/>
              <w:spacing w:before="0" w:after="283"/>
              <w:ind w:left="523" w:right="0" w:hanging="0"/>
              <w:jc w:val="left"/>
              <w:rPr>
                <w:rFonts w:ascii="Arial;Helvetica;sans-serif" w:hAnsi="Arial;Helvetica;sans-serif"/>
                <w:color w:val="4C4C4C"/>
                <w:sz w:val="20"/>
                <w:bdr w:val="single" w:sz="8" w:space="3" w:color="000000"/>
              </w:rPr>
            </w:pPr>
            <w:r>
              <w:rPr>
                <w:rFonts w:ascii="Arial;Helvetica;sans-serif" w:hAnsi="Arial;Helvetica;sans-serif"/>
                <w:color w:val="4C4C4C"/>
                <w:sz w:val="20"/>
                <w:bdr w:val="single" w:sz="8" w:space="3" w:color="000000"/>
              </w:rPr>
              <w:t>390,126</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522" w:type="dxa"/>
            <w:tcBorders/>
            <w:shd w:fill="BAE2F8" w:val="clear"/>
            <w:vAlign w:val="center"/>
          </w:tcPr>
          <w:p>
            <w:pPr>
              <w:pStyle w:val="TableContents"/>
              <w:bidi w:val="0"/>
              <w:spacing w:before="0" w:after="283"/>
              <w:ind w:left="727" w:right="0" w:hanging="0"/>
              <w:jc w:val="left"/>
              <w:rPr>
                <w:rFonts w:ascii="Arial;Helvetica;sans-serif" w:hAnsi="Arial;Helvetica;sans-serif"/>
                <w:color w:val="4C4C4C"/>
                <w:sz w:val="20"/>
                <w:bdr w:val="single" w:sz="8" w:space="3" w:color="000000"/>
              </w:rPr>
            </w:pPr>
            <w:r>
              <w:rPr>
                <w:rFonts w:ascii="Arial;Helvetica;sans-serif" w:hAnsi="Arial;Helvetica;sans-serif"/>
                <w:color w:val="4C4C4C"/>
                <w:sz w:val="20"/>
                <w:bdr w:val="single" w:sz="8" w:space="3" w:color="000000"/>
              </w:rPr>
              <w:t>0.50</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957" w:type="dxa"/>
            <w:tcBorders/>
            <w:shd w:fill="BAE2F8" w:val="clear"/>
            <w:vAlign w:val="center"/>
          </w:tcPr>
          <w:p>
            <w:pPr>
              <w:pStyle w:val="TableContents"/>
              <w:bidi w:val="0"/>
              <w:spacing w:before="0" w:after="283"/>
              <w:ind w:left="601" w:right="0" w:hanging="0"/>
              <w:jc w:val="left"/>
              <w:rPr>
                <w:color w:val="4C4C4C"/>
                <w:bdr w:val="single" w:sz="8" w:space="3" w:color="000000"/>
              </w:rPr>
            </w:pPr>
            <w:r>
              <w:rPr>
                <w:color w:val="4C4C4C"/>
                <w:bdr w:val="single" w:sz="8" w:space="3" w:color="000000"/>
              </w:rPr>
              <w:t>—</w:t>
            </w:r>
          </w:p>
        </w:tc>
        <w:tc>
          <w:tcPr>
            <w:tcW w:w="217" w:type="dxa"/>
            <w:tcBorders/>
            <w:shd w:fill="BAE2F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656" w:type="dxa"/>
            <w:tcBorders/>
            <w:vAlign w:val="center"/>
          </w:tcPr>
          <w:p>
            <w:pPr>
              <w:pStyle w:val="TableContents"/>
              <w:bidi w:val="0"/>
              <w:spacing w:before="0" w:after="283"/>
              <w:ind w:left="20" w:right="0" w:hanging="0"/>
              <w:jc w:val="left"/>
              <w:rPr>
                <w:rFonts w:ascii="Arial;Helvetica;sans-serif" w:hAnsi="Arial;Helvetica;sans-serif"/>
                <w:b/>
                <w:color w:val="4C4C4C"/>
                <w:sz w:val="20"/>
              </w:rPr>
            </w:pPr>
            <w:r>
              <w:rPr>
                <w:rFonts w:ascii="Arial;Helvetica;sans-serif" w:hAnsi="Arial;Helvetica;sans-serif"/>
                <w:b/>
                <w:color w:val="4C4C4C"/>
                <w:sz w:val="20"/>
              </w:rPr>
              <w:t>Totals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48" w:type="dxa"/>
            <w:tcBorders/>
            <w:vAlign w:val="center"/>
          </w:tcPr>
          <w:p>
            <w:pPr>
              <w:pStyle w:val="TableContents"/>
              <w:bidi w:val="0"/>
              <w:spacing w:before="0" w:after="283"/>
              <w:ind w:left="523" w:right="0" w:hanging="0"/>
              <w:jc w:val="left"/>
              <w:rPr>
                <w:rFonts w:ascii="Arial;Helvetica;sans-serif" w:hAnsi="Arial;Helvetica;sans-serif"/>
                <w:b/>
                <w:color w:val="4C4C4C"/>
                <w:sz w:val="20"/>
              </w:rPr>
            </w:pPr>
            <w:r>
              <w:rPr>
                <w:rFonts w:ascii="Arial;Helvetica;sans-serif" w:hAnsi="Arial;Helvetica;sans-serif"/>
                <w:b/>
                <w:color w:val="4C4C4C"/>
                <w:sz w:val="20"/>
              </w:rPr>
              <w:t>9,635,727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2" w:type="dxa"/>
            <w:tcBorders/>
            <w:vAlign w:val="center"/>
          </w:tcPr>
          <w:p>
            <w:pPr>
              <w:pStyle w:val="TableContents"/>
              <w:bidi w:val="0"/>
              <w:spacing w:before="0" w:after="283"/>
              <w:ind w:left="727" w:right="0" w:hanging="0"/>
              <w:jc w:val="left"/>
              <w:rPr>
                <w:rFonts w:ascii="Arial;Helvetica;sans-serif" w:hAnsi="Arial;Helvetica;sans-serif"/>
                <w:b/>
                <w:color w:val="4C4C4C"/>
                <w:sz w:val="20"/>
              </w:rPr>
            </w:pPr>
            <w:r>
              <w:rPr>
                <w:rFonts w:ascii="Arial;Helvetica;sans-serif" w:hAnsi="Arial;Helvetica;sans-serif"/>
                <w:b/>
                <w:color w:val="4C4C4C"/>
                <w:sz w:val="20"/>
              </w:rPr>
              <w:t>$10.10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57" w:type="dxa"/>
            <w:tcBorders/>
            <w:vAlign w:val="center"/>
          </w:tcPr>
          <w:p>
            <w:pPr>
              <w:pStyle w:val="TableContents"/>
              <w:bidi w:val="0"/>
              <w:spacing w:before="0" w:after="283"/>
              <w:ind w:left="601" w:right="0" w:hanging="0"/>
              <w:jc w:val="left"/>
              <w:rPr>
                <w:rFonts w:ascii="Arial;Helvetica;sans-serif" w:hAnsi="Arial;Helvetica;sans-serif"/>
                <w:b/>
                <w:color w:val="4C4C4C"/>
                <w:sz w:val="20"/>
              </w:rPr>
            </w:pPr>
            <w:r>
              <w:rPr>
                <w:rFonts w:ascii="Arial;Helvetica;sans-serif" w:hAnsi="Arial;Helvetica;sans-serif"/>
                <w:b/>
                <w:color w:val="4C4C4C"/>
                <w:sz w:val="20"/>
              </w:rPr>
              <w:t>7,507,049</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65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4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57"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9993"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Consists of shares of Class A common stock available as of December 31, 2024 for awards under our 2016 Omnibus Incentive Plan. Excludes securities reflected in column (a). Under the terms of the 2016 Omnibus Incentive Plan, an additional 2,442,319 shares became available for grant effective as of January 1, 2025. The 2016 Omnibus Incentive Plan further provides for an increase on the first day of 2026 equal to the lesser of (i) 4% of the shares outstanding (on an as converted basis) on the last day of the immediately preceding fiscal year and (ii) such smaller number of shares as may be determined by the Board</w:t>
            </w:r>
          </w:p>
        </w:tc>
      </w:tr>
    </w:tbl>
    <w:tbl>
      <w:tblPr>
        <w:tblW w:w="7150" w:type="dxa"/>
        <w:jc w:val="left"/>
        <w:tblInd w:w="0" w:type="dxa"/>
        <w:tblLayout w:type="fixed"/>
        <w:tblCellMar>
          <w:top w:w="0" w:type="dxa"/>
          <w:left w:w="0" w:type="dxa"/>
          <w:bottom w:w="0" w:type="dxa"/>
          <w:right w:w="0" w:type="dxa"/>
        </w:tblCellMar>
      </w:tblPr>
      <w:tblGrid>
        <w:gridCol w:w="260"/>
        <w:gridCol w:w="6890"/>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689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Consists of 9,245,601 shares issuable under awards under our 2016 Omnibus Incentive Plan </w:t>
            </w:r>
          </w:p>
        </w:tc>
      </w:tr>
    </w:tbl>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9981"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Consists of vested non-qualified stock option awards with $0.50 per share exercise price and ten-year expiration terms granted outside of any equity incentive plan approved by shareholders. 44,003 and 346,123 vested shares are issuable under awards granted on May 1, 2015, and September 8, 2015, respectively. </w:t>
            </w:r>
          </w:p>
        </w:tc>
      </w:tr>
    </w:tbl>
    <w:p>
      <w:pPr>
        <w:pStyle w:val="TextBody"/>
        <w:bidi w:val="0"/>
        <w:spacing w:before="270" w:after="283"/>
        <w:ind w:left="0" w:right="0" w:hanging="0"/>
        <w:jc w:val="left"/>
        <w:rPr>
          <w:rFonts w:ascii="Arial;Helvetica;sans-serif" w:hAnsi="Arial;Helvetica;sans-serif"/>
          <w:b/>
          <w:color w:val="0079C1"/>
          <w:sz w:val="24"/>
        </w:rPr>
      </w:pPr>
      <w:bookmarkStart w:id="80" w:name="tCPR"/>
      <w:bookmarkEnd w:id="80"/>
      <w:r>
        <w:rPr>
          <w:rFonts w:ascii="Arial;Helvetica;sans-serif" w:hAnsi="Arial;Helvetica;sans-serif"/>
          <w:b/>
          <w:color w:val="0079C1"/>
          <w:sz w:val="24"/>
        </w:rPr>
        <w:t xml:space="preserve">CEO Pay Ratio </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As required by applicable SEC rules, we are providing the following information about the relationship of the annual total compensation of our median compensated employee (excluding our CEO) and the annual total compensation of David Wang, our chief executive officer as of December 31, 2024, or our CEO. For 2024, our last completed fiscal year:</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C4C4C"/>
              </w:rPr>
            </w:pPr>
            <w:r>
              <w:rPr>
                <w:color w:val="4C4C4C"/>
              </w:rPr>
              <w:t>•</w:t>
            </w:r>
          </w:p>
        </w:tc>
        <w:tc>
          <w:tcPr>
            <w:tcW w:w="10065" w:type="dxa"/>
            <w:tcBorders/>
            <w:vAlign w:val="center"/>
          </w:tcPr>
          <w:p>
            <w:pPr>
              <w:pStyle w:val="TableContents"/>
              <w:bidi w:val="0"/>
              <w:spacing w:before="0" w:after="0"/>
              <w:jc w:val="both"/>
              <w:rPr>
                <w:rFonts w:ascii="Arial;Helvetica;sans-serif" w:hAnsi="Arial;Helvetica;sans-serif"/>
                <w:color w:val="4C4C4C"/>
                <w:sz w:val="20"/>
              </w:rPr>
            </w:pPr>
            <w:r>
              <w:rPr>
                <w:rFonts w:ascii="Arial;Helvetica;sans-serif" w:hAnsi="Arial;Helvetica;sans-serif"/>
                <w:color w:val="4C4C4C"/>
                <w:sz w:val="20"/>
              </w:rPr>
              <w:t>As permitted by Item 402(u) of Regulation S-K of the SEC, we are using the same median employee as we used in 2024 as there was no change in 2024 to our employee population or our compensation arrangements that we believe would have significantly impacted our pay ratio disclosure. The annual total compensation of our median compensated employee (other than our CEO) in 2024 was $33,323.</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C4C4C"/>
              </w:rPr>
            </w:pPr>
            <w:r>
              <w:rPr>
                <w:color w:val="4C4C4C"/>
              </w:rPr>
              <w:t>•</w:t>
            </w:r>
          </w:p>
        </w:tc>
        <w:tc>
          <w:tcPr>
            <w:tcW w:w="10065" w:type="dxa"/>
            <w:tcBorders/>
            <w:vAlign w:val="center"/>
          </w:tcPr>
          <w:p>
            <w:pPr>
              <w:pStyle w:val="TableContents"/>
              <w:bidi w:val="0"/>
              <w:spacing w:before="0" w:after="0"/>
              <w:jc w:val="both"/>
              <w:rPr>
                <w:rFonts w:ascii="Arial;Helvetica;sans-serif" w:hAnsi="Arial;Helvetica;sans-serif"/>
                <w:color w:val="4C4C4C"/>
                <w:sz w:val="20"/>
              </w:rPr>
            </w:pPr>
            <w:r>
              <w:rPr>
                <w:rFonts w:ascii="Arial;Helvetica;sans-serif" w:hAnsi="Arial;Helvetica;sans-serif"/>
                <w:color w:val="4C4C4C"/>
                <w:sz w:val="20"/>
              </w:rPr>
              <w:t>For our CEO’s annual total compensation, we used the amount reported in the “Total” column of the table included under “—Summary Compensation Table” above. The annual total compensation of our CEO, for the purposes of this disclosure, was $498,607.</w:t>
            </w:r>
          </w:p>
        </w:tc>
      </w:tr>
    </w:tbl>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Based on this information, for 2024 the ratio of the annual total compensation of our CEO to the annual total compensation of our median compensated employee (other than our CEO) was 15 to 1.</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We took the following steps to identify, and to determine the annual total compensation of, our median compensated employee for 2023.</w:t>
      </w:r>
    </w:p>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1.</w:t>
            </w:r>
          </w:p>
        </w:tc>
        <w:tc>
          <w:tcPr>
            <w:tcW w:w="10022" w:type="dxa"/>
            <w:tcBorders/>
            <w:vAlign w:val="center"/>
          </w:tcPr>
          <w:p>
            <w:pPr>
              <w:pStyle w:val="TableContents"/>
              <w:bidi w:val="0"/>
              <w:spacing w:before="0" w:after="0"/>
              <w:jc w:val="both"/>
              <w:rPr>
                <w:rFonts w:ascii="Arial;Helvetica;sans-serif" w:hAnsi="Arial;Helvetica;sans-serif"/>
                <w:color w:val="4C4C4C"/>
                <w:sz w:val="20"/>
              </w:rPr>
            </w:pPr>
            <w:r>
              <w:rPr>
                <w:rFonts w:ascii="Arial;Helvetica;sans-serif" w:hAnsi="Arial;Helvetica;sans-serif"/>
                <w:color w:val="4C4C4C"/>
                <w:sz w:val="20"/>
              </w:rPr>
              <w:t>We determined that, as of December 31, 2023, our employee population consisted of 1,579 individuals. This population consisted of our full-time, part-time and temporary employees employed with us as of the determination date.</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2.</w:t>
            </w:r>
          </w:p>
        </w:tc>
        <w:tc>
          <w:tcPr>
            <w:tcW w:w="10042" w:type="dxa"/>
            <w:tcBorders/>
            <w:vAlign w:val="center"/>
          </w:tcPr>
          <w:p>
            <w:pPr>
              <w:pStyle w:val="TableContents"/>
              <w:bidi w:val="0"/>
              <w:spacing w:before="0" w:after="0"/>
              <w:jc w:val="both"/>
              <w:rPr>
                <w:rFonts w:ascii="Arial;Helvetica;sans-serif" w:hAnsi="Arial;Helvetica;sans-serif"/>
                <w:color w:val="4C4C4C"/>
                <w:sz w:val="20"/>
              </w:rPr>
            </w:pPr>
            <w:r>
              <w:rPr>
                <w:rFonts w:ascii="Arial;Helvetica;sans-serif" w:hAnsi="Arial;Helvetica;sans-serif"/>
                <w:color w:val="4C4C4C"/>
                <w:sz w:val="20"/>
              </w:rPr>
              <w:t>To identify the “median employee” from our employee population, we aggregated for each applicable employee, other than our CEO, (a) annual base salary (or hourly rate multiplied by estimated work schedule, for hourly employees), (b) the bonus amount earned for 2022, which was paid in 2023, and (c) the grant date fair value of equity awards granted in 2023. Once aggregated, we ranked this compensation measure for our employees from lowest to highest and selected the median employee. Compensation amounts paid in RMB have been converted, for purposes of this pay ratio disclosure, to U.S. dollars at the average RMB per U.S. dollar exchange rate for the applicable years.</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39</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1" w:name="ny20042784x1_def14a_114-comp_pg6"/>
        <w:bookmarkEnd w:id="8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3.</w:t>
            </w:r>
          </w:p>
        </w:tc>
        <w:tc>
          <w:tcPr>
            <w:tcW w:w="10028" w:type="dxa"/>
            <w:tcBorders/>
            <w:vAlign w:val="center"/>
          </w:tcPr>
          <w:p>
            <w:pPr>
              <w:pStyle w:val="TableContents"/>
              <w:bidi w:val="0"/>
              <w:spacing w:before="0" w:after="0"/>
              <w:jc w:val="both"/>
              <w:rPr>
                <w:rFonts w:ascii="Arial;Helvetica;sans-serif" w:hAnsi="Arial;Helvetica;sans-serif"/>
                <w:color w:val="4C4C4C"/>
                <w:sz w:val="20"/>
              </w:rPr>
            </w:pPr>
            <w:r>
              <w:rPr>
                <w:rFonts w:ascii="Arial;Helvetica;sans-serif" w:hAnsi="Arial;Helvetica;sans-serif"/>
                <w:color w:val="4C4C4C"/>
                <w:sz w:val="20"/>
              </w:rPr>
              <w:t>For the annual total compensation of our median employee, we identified and calculated the elements of that employee’s compensation for 2024 in accordance with the requirements of Item 402(c)(2)(x) of Regulation S-K of the SEC, resulting in annual total compensation of $33,323.</w:t>
            </w:r>
          </w:p>
        </w:tc>
      </w:tr>
    </w:tbl>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pay ratio reported above is a reasonable estimate calculated in a manner consistent with SEC rules based on our internal records and the methodology described above. SEC rules for identifying the median compensated employee and calculating the pay ratio based on that employee’s annual total compensation allow companies to adopt a variety of methodologies, to apply certain exclusions, and to make reasonable estimates and assumptions reflecting their employee populations and compensation practices. The pay ratios reported by other companies may not be comparable to the pay ratio reported above, as those companies have different employee populations and compensation practices and may utilize different methodologies, exclusions, estimates and assumptions in calculating their pay ratios.</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40</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2" w:name="ny20042784x1_def14a_115-pvp_pg1"/>
        <w:bookmarkEnd w:id="82"/>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079C1"/>
          <w:sz w:val="24"/>
        </w:rPr>
      </w:pPr>
      <w:r>
        <w:rPr>
          <w:rFonts w:ascii="Arial;Helvetica;sans-serif" w:hAnsi="Arial;Helvetica;sans-serif"/>
          <w:b/>
          <w:color w:val="0079C1"/>
          <w:sz w:val="24"/>
        </w:rPr>
        <w:t>Pay Versus Performance</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As required by Section 953(a) of the Dodd-Frank Wall Street Reform and Consumer Protection Act, and Item 402(v) of Regulation S-K, we are providing certain information, including information about the relationship between executive compensation actually paid to certain individuals by the Company and certain financial performance of the Company. For further information concerning the Company’s pay-for-performance philosophy and how the Company aligns executive compensation with the Company’s performance, refer to the Compensation Discussion and Analysis section of this Proxy Statement.</w:t>
      </w:r>
    </w:p>
    <w:tbl>
      <w:tblPr>
        <w:tblW w:w="12090" w:type="dxa"/>
        <w:jc w:val="left"/>
        <w:tblInd w:w="0" w:type="dxa"/>
        <w:tblLayout w:type="fixed"/>
        <w:tblCellMar>
          <w:top w:w="0" w:type="dxa"/>
          <w:left w:w="0" w:type="dxa"/>
          <w:bottom w:w="0" w:type="dxa"/>
          <w:right w:w="0" w:type="dxa"/>
        </w:tblCellMar>
      </w:tblPr>
      <w:tblGrid>
        <w:gridCol w:w="185"/>
        <w:gridCol w:w="470"/>
        <w:gridCol w:w="170"/>
        <w:gridCol w:w="170"/>
        <w:gridCol w:w="1220"/>
        <w:gridCol w:w="170"/>
        <w:gridCol w:w="170"/>
        <w:gridCol w:w="1220"/>
        <w:gridCol w:w="170"/>
        <w:gridCol w:w="170"/>
        <w:gridCol w:w="1220"/>
        <w:gridCol w:w="170"/>
        <w:gridCol w:w="170"/>
        <w:gridCol w:w="1220"/>
        <w:gridCol w:w="170"/>
        <w:gridCol w:w="170"/>
        <w:gridCol w:w="1010"/>
        <w:gridCol w:w="170"/>
        <w:gridCol w:w="170"/>
        <w:gridCol w:w="1010"/>
        <w:gridCol w:w="170"/>
        <w:gridCol w:w="170"/>
        <w:gridCol w:w="800"/>
        <w:gridCol w:w="170"/>
        <w:gridCol w:w="170"/>
        <w:gridCol w:w="800"/>
        <w:gridCol w:w="215"/>
      </w:tblGrid>
      <w:tr>
        <w:trPr/>
        <w:tc>
          <w:tcPr>
            <w:tcW w:w="185" w:type="dxa"/>
            <w:tcBorders/>
            <w:shd w:fill="0D3F64" w:val="clear"/>
            <w:vAlign w:val="center"/>
          </w:tcPr>
          <w:p>
            <w:pPr>
              <w:pStyle w:val="TableContents"/>
              <w:bidi w:val="0"/>
              <w:spacing w:before="0" w:after="0"/>
              <w:jc w:val="left"/>
              <w:rPr/>
            </w:pPr>
            <w:r>
              <w:rPr/>
              <w:t> </w:t>
            </w:r>
          </w:p>
        </w:tc>
        <w:tc>
          <w:tcPr>
            <w:tcW w:w="4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22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22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22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22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2360" w:type="dxa"/>
            <w:gridSpan w:val="4"/>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80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800" w:type="dxa"/>
            <w:tcBorders/>
            <w:shd w:fill="0D3F64" w:val="clear"/>
            <w:vAlign w:val="center"/>
          </w:tcPr>
          <w:p>
            <w:pPr>
              <w:pStyle w:val="TableContents"/>
              <w:bidi w:val="0"/>
              <w:spacing w:before="0" w:after="0"/>
              <w:jc w:val="left"/>
              <w:rPr/>
            </w:pPr>
            <w:r>
              <w:rPr/>
              <w:t> </w:t>
            </w:r>
          </w:p>
        </w:tc>
        <w:tc>
          <w:tcPr>
            <w:tcW w:w="215" w:type="dxa"/>
            <w:tcBorders/>
            <w:shd w:fill="0D3F64" w:val="clear"/>
            <w:vAlign w:val="center"/>
          </w:tcPr>
          <w:p>
            <w:pPr>
              <w:pStyle w:val="TableContents"/>
              <w:bidi w:val="0"/>
              <w:spacing w:before="0" w:after="0"/>
              <w:jc w:val="left"/>
              <w:rPr/>
            </w:pPr>
            <w:r>
              <w:rPr/>
              <w:t> </w:t>
            </w:r>
          </w:p>
        </w:tc>
      </w:tr>
      <w:tr>
        <w:trPr/>
        <w:tc>
          <w:tcPr>
            <w:tcW w:w="185" w:type="dxa"/>
            <w:vMerge w:val="restart"/>
            <w:tcBorders/>
            <w:shd w:fill="0D3F64" w:val="clear"/>
            <w:vAlign w:val="center"/>
          </w:tcPr>
          <w:p>
            <w:pPr>
              <w:pStyle w:val="TableContents"/>
              <w:bidi w:val="0"/>
              <w:spacing w:before="0" w:after="0"/>
              <w:jc w:val="left"/>
              <w:rPr/>
            </w:pPr>
            <w:r>
              <w:rPr/>
              <w:t> </w:t>
            </w:r>
          </w:p>
        </w:tc>
        <w:tc>
          <w:tcPr>
            <w:tcW w:w="470" w:type="dxa"/>
            <w:vMerge w:val="restart"/>
            <w:tcBorders/>
            <w:shd w:fill="0D3F64" w:val="clear"/>
            <w:vAlign w:val="center"/>
          </w:tcPr>
          <w:p>
            <w:pPr>
              <w:pStyle w:val="TableContents"/>
              <w:bidi w:val="0"/>
              <w:spacing w:before="20" w:after="283"/>
              <w:ind w:left="20" w:right="0" w:hanging="0"/>
              <w:jc w:val="left"/>
              <w:rPr>
                <w:rFonts w:ascii="Arial;Helvetica;sans-serif" w:hAnsi="Arial;Helvetica;sans-serif"/>
                <w:b/>
                <w:color w:val="FFFFFF"/>
                <w:sz w:val="16"/>
              </w:rPr>
            </w:pPr>
            <w:r>
              <w:rPr>
                <w:rFonts w:ascii="Arial;Helvetica;sans-serif" w:hAnsi="Arial;Helvetica;sans-serif"/>
                <w:b/>
                <w:color w:val="FFFFFF"/>
                <w:sz w:val="16"/>
              </w:rPr>
              <w:t>Year</w:t>
            </w:r>
          </w:p>
        </w:tc>
        <w:tc>
          <w:tcPr>
            <w:tcW w:w="170" w:type="dxa"/>
            <w:vMerge w:val="restart"/>
            <w:tcBorders/>
            <w:shd w:fill="0D3F64" w:val="clear"/>
            <w:vAlign w:val="center"/>
          </w:tcPr>
          <w:p>
            <w:pPr>
              <w:pStyle w:val="TableContents"/>
              <w:bidi w:val="0"/>
              <w:spacing w:before="0" w:after="0"/>
              <w:jc w:val="left"/>
              <w:rPr/>
            </w:pPr>
            <w:r>
              <w:rPr/>
              <w:t> </w:t>
            </w:r>
          </w:p>
        </w:tc>
        <w:tc>
          <w:tcPr>
            <w:tcW w:w="170" w:type="dxa"/>
            <w:vMerge w:val="restart"/>
            <w:tcBorders/>
            <w:shd w:fill="0D3F64" w:val="clear"/>
            <w:vAlign w:val="center"/>
          </w:tcPr>
          <w:p>
            <w:pPr>
              <w:pStyle w:val="TableContents"/>
              <w:bidi w:val="0"/>
              <w:spacing w:before="0" w:after="0"/>
              <w:jc w:val="left"/>
              <w:rPr/>
            </w:pPr>
            <w:r>
              <w:rPr/>
              <w:t> </w:t>
            </w:r>
          </w:p>
        </w:tc>
        <w:tc>
          <w:tcPr>
            <w:tcW w:w="1220" w:type="dxa"/>
            <w:vMerge w:val="restart"/>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Summary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Table Total for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PEO1</w:t>
            </w:r>
          </w:p>
        </w:tc>
        <w:tc>
          <w:tcPr>
            <w:tcW w:w="170" w:type="dxa"/>
            <w:vMerge w:val="restart"/>
            <w:tcBorders/>
            <w:shd w:fill="0D3F64" w:val="clear"/>
            <w:vAlign w:val="center"/>
          </w:tcPr>
          <w:p>
            <w:pPr>
              <w:pStyle w:val="TableContents"/>
              <w:bidi w:val="0"/>
              <w:spacing w:before="0" w:after="0"/>
              <w:jc w:val="left"/>
              <w:rPr/>
            </w:pPr>
            <w:r>
              <w:rPr/>
              <w:t> </w:t>
            </w:r>
          </w:p>
        </w:tc>
        <w:tc>
          <w:tcPr>
            <w:tcW w:w="170" w:type="dxa"/>
            <w:vMerge w:val="restart"/>
            <w:tcBorders/>
            <w:shd w:fill="0D3F64" w:val="clear"/>
            <w:vAlign w:val="center"/>
          </w:tcPr>
          <w:p>
            <w:pPr>
              <w:pStyle w:val="TableContents"/>
              <w:bidi w:val="0"/>
              <w:spacing w:before="0" w:after="0"/>
              <w:jc w:val="left"/>
              <w:rPr/>
            </w:pPr>
            <w:r>
              <w:rPr/>
              <w:t> </w:t>
            </w:r>
          </w:p>
        </w:tc>
        <w:tc>
          <w:tcPr>
            <w:tcW w:w="1220" w:type="dxa"/>
            <w:vMerge w:val="restart"/>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Actually Paid to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PEO2</w:t>
            </w:r>
          </w:p>
        </w:tc>
        <w:tc>
          <w:tcPr>
            <w:tcW w:w="170" w:type="dxa"/>
            <w:vMerge w:val="restart"/>
            <w:tcBorders/>
            <w:shd w:fill="0D3F64" w:val="clear"/>
            <w:vAlign w:val="center"/>
          </w:tcPr>
          <w:p>
            <w:pPr>
              <w:pStyle w:val="TableContents"/>
              <w:bidi w:val="0"/>
              <w:spacing w:before="0" w:after="0"/>
              <w:jc w:val="left"/>
              <w:rPr/>
            </w:pPr>
            <w:r>
              <w:rPr/>
              <w:t> </w:t>
            </w:r>
          </w:p>
        </w:tc>
        <w:tc>
          <w:tcPr>
            <w:tcW w:w="170" w:type="dxa"/>
            <w:vMerge w:val="restart"/>
            <w:tcBorders/>
            <w:shd w:fill="0D3F64" w:val="clear"/>
            <w:vAlign w:val="center"/>
          </w:tcPr>
          <w:p>
            <w:pPr>
              <w:pStyle w:val="TableContents"/>
              <w:bidi w:val="0"/>
              <w:spacing w:before="0" w:after="0"/>
              <w:jc w:val="left"/>
              <w:rPr/>
            </w:pPr>
            <w:r>
              <w:rPr/>
              <w:t> </w:t>
            </w:r>
          </w:p>
        </w:tc>
        <w:tc>
          <w:tcPr>
            <w:tcW w:w="1220" w:type="dxa"/>
            <w:vMerge w:val="restart"/>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Average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Summary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Table Total for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Non-PEO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NEOs3</w:t>
            </w:r>
          </w:p>
        </w:tc>
        <w:tc>
          <w:tcPr>
            <w:tcW w:w="170" w:type="dxa"/>
            <w:vMerge w:val="restart"/>
            <w:tcBorders/>
            <w:shd w:fill="0D3F64" w:val="clear"/>
            <w:vAlign w:val="center"/>
          </w:tcPr>
          <w:p>
            <w:pPr>
              <w:pStyle w:val="TableContents"/>
              <w:bidi w:val="0"/>
              <w:spacing w:before="0" w:after="0"/>
              <w:jc w:val="left"/>
              <w:rPr/>
            </w:pPr>
            <w:r>
              <w:rPr/>
              <w:t> </w:t>
            </w:r>
          </w:p>
        </w:tc>
        <w:tc>
          <w:tcPr>
            <w:tcW w:w="170" w:type="dxa"/>
            <w:vMerge w:val="restart"/>
            <w:tcBorders/>
            <w:shd w:fill="0D3F64" w:val="clear"/>
            <w:vAlign w:val="center"/>
          </w:tcPr>
          <w:p>
            <w:pPr>
              <w:pStyle w:val="TableContents"/>
              <w:bidi w:val="0"/>
              <w:spacing w:before="0" w:after="0"/>
              <w:jc w:val="left"/>
              <w:rPr/>
            </w:pPr>
            <w:r>
              <w:rPr/>
              <w:t> </w:t>
            </w:r>
          </w:p>
        </w:tc>
        <w:tc>
          <w:tcPr>
            <w:tcW w:w="1220" w:type="dxa"/>
            <w:vMerge w:val="restart"/>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Average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Actually Paid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to Non-PEO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NEOs4</w:t>
            </w:r>
          </w:p>
        </w:tc>
        <w:tc>
          <w:tcPr>
            <w:tcW w:w="170" w:type="dxa"/>
            <w:vMerge w:val="restart"/>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2360" w:type="dxa"/>
            <w:gridSpan w:val="4"/>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Value of Initial Fixed $100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Investment Based On: </w:t>
            </w:r>
          </w:p>
        </w:tc>
        <w:tc>
          <w:tcPr>
            <w:tcW w:w="170" w:type="dxa"/>
            <w:tcBorders/>
            <w:shd w:fill="0D3F64" w:val="clear"/>
            <w:vAlign w:val="center"/>
          </w:tcPr>
          <w:p>
            <w:pPr>
              <w:pStyle w:val="TableContents"/>
              <w:bidi w:val="0"/>
              <w:spacing w:before="0" w:after="0"/>
              <w:jc w:val="left"/>
              <w:rPr/>
            </w:pPr>
            <w:r>
              <w:rPr/>
              <w:t> </w:t>
            </w:r>
          </w:p>
        </w:tc>
        <w:tc>
          <w:tcPr>
            <w:tcW w:w="170" w:type="dxa"/>
            <w:vMerge w:val="restart"/>
            <w:tcBorders/>
            <w:shd w:fill="0D3F64" w:val="clear"/>
            <w:vAlign w:val="center"/>
          </w:tcPr>
          <w:p>
            <w:pPr>
              <w:pStyle w:val="TableContents"/>
              <w:bidi w:val="0"/>
              <w:spacing w:before="0" w:after="0"/>
              <w:jc w:val="left"/>
              <w:rPr/>
            </w:pPr>
            <w:r>
              <w:rPr/>
              <w:t> </w:t>
            </w:r>
          </w:p>
        </w:tc>
        <w:tc>
          <w:tcPr>
            <w:tcW w:w="800" w:type="dxa"/>
            <w:vMerge w:val="restart"/>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Net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Income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(millions)7 </w:t>
            </w:r>
          </w:p>
        </w:tc>
        <w:tc>
          <w:tcPr>
            <w:tcW w:w="170" w:type="dxa"/>
            <w:vMerge w:val="restart"/>
            <w:tcBorders/>
            <w:shd w:fill="0D3F64" w:val="clear"/>
            <w:vAlign w:val="center"/>
          </w:tcPr>
          <w:p>
            <w:pPr>
              <w:pStyle w:val="TableContents"/>
              <w:bidi w:val="0"/>
              <w:spacing w:before="0" w:after="0"/>
              <w:jc w:val="left"/>
              <w:rPr/>
            </w:pPr>
            <w:r>
              <w:rPr/>
              <w:t> </w:t>
            </w:r>
          </w:p>
        </w:tc>
        <w:tc>
          <w:tcPr>
            <w:tcW w:w="170" w:type="dxa"/>
            <w:vMerge w:val="restart"/>
            <w:tcBorders/>
            <w:shd w:fill="0D3F64" w:val="clear"/>
            <w:vAlign w:val="center"/>
          </w:tcPr>
          <w:p>
            <w:pPr>
              <w:pStyle w:val="TableContents"/>
              <w:bidi w:val="0"/>
              <w:spacing w:before="0" w:after="0"/>
              <w:jc w:val="left"/>
              <w:rPr/>
            </w:pPr>
            <w:r>
              <w:rPr/>
              <w:t> </w:t>
            </w:r>
          </w:p>
        </w:tc>
        <w:tc>
          <w:tcPr>
            <w:tcW w:w="800" w:type="dxa"/>
            <w:vMerge w:val="restart"/>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Revenue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(millions)8 </w:t>
            </w:r>
          </w:p>
        </w:tc>
        <w:tc>
          <w:tcPr>
            <w:tcW w:w="215" w:type="dxa"/>
            <w:vMerge w:val="restart"/>
            <w:tcBorders/>
            <w:shd w:fill="0D3F64" w:val="clear"/>
            <w:vAlign w:val="center"/>
          </w:tcPr>
          <w:p>
            <w:pPr>
              <w:pStyle w:val="TableContents"/>
              <w:bidi w:val="0"/>
              <w:spacing w:before="0" w:after="0"/>
              <w:jc w:val="left"/>
              <w:rPr/>
            </w:pPr>
            <w:r>
              <w:rPr/>
              <w:t> </w:t>
            </w:r>
          </w:p>
        </w:tc>
      </w:tr>
      <w:tr>
        <w:trPr/>
        <w:tc>
          <w:tcPr>
            <w:tcW w:w="185" w:type="dxa"/>
            <w:vMerge w:val="continue"/>
            <w:tcBorders/>
            <w:shd w:fill="0D3F64" w:val="clear"/>
            <w:vAlign w:val="center"/>
          </w:tcPr>
          <w:p>
            <w:pPr>
              <w:pStyle w:val="Normal"/>
              <w:bidi w:val="0"/>
              <w:jc w:val="left"/>
              <w:rPr/>
            </w:pPr>
            <w:r>
              <w:rPr/>
            </w:r>
          </w:p>
        </w:tc>
        <w:tc>
          <w:tcPr>
            <w:tcW w:w="470" w:type="dxa"/>
            <w:vMerge w:val="continue"/>
            <w:tcBorders/>
            <w:shd w:fill="0D3F64" w:val="clear"/>
            <w:vAlign w:val="center"/>
          </w:tcPr>
          <w:p>
            <w:pPr>
              <w:pStyle w:val="Normal"/>
              <w:bidi w:val="0"/>
              <w:jc w:val="left"/>
              <w:rPr/>
            </w:pPr>
            <w:r>
              <w:rPr/>
            </w:r>
          </w:p>
        </w:tc>
        <w:tc>
          <w:tcPr>
            <w:tcW w:w="170" w:type="dxa"/>
            <w:vMerge w:val="continue"/>
            <w:tcBorders/>
            <w:shd w:fill="0D3F64" w:val="clear"/>
            <w:vAlign w:val="center"/>
          </w:tcPr>
          <w:p>
            <w:pPr>
              <w:pStyle w:val="Normal"/>
              <w:bidi w:val="0"/>
              <w:jc w:val="left"/>
              <w:rPr/>
            </w:pPr>
            <w:r>
              <w:rPr/>
            </w:r>
          </w:p>
        </w:tc>
        <w:tc>
          <w:tcPr>
            <w:tcW w:w="170" w:type="dxa"/>
            <w:vMerge w:val="continue"/>
            <w:tcBorders/>
            <w:shd w:fill="0D3F64" w:val="clear"/>
            <w:vAlign w:val="center"/>
          </w:tcPr>
          <w:p>
            <w:pPr>
              <w:pStyle w:val="Normal"/>
              <w:bidi w:val="0"/>
              <w:jc w:val="left"/>
              <w:rPr/>
            </w:pPr>
            <w:r>
              <w:rPr/>
            </w:r>
          </w:p>
        </w:tc>
        <w:tc>
          <w:tcPr>
            <w:tcW w:w="1220" w:type="dxa"/>
            <w:vMerge w:val="continue"/>
            <w:tcBorders/>
            <w:shd w:fill="0D3F64" w:val="clear"/>
            <w:vAlign w:val="center"/>
          </w:tcPr>
          <w:p>
            <w:pPr>
              <w:pStyle w:val="Normal"/>
              <w:bidi w:val="0"/>
              <w:jc w:val="left"/>
              <w:rPr/>
            </w:pPr>
            <w:r>
              <w:rPr/>
            </w:r>
          </w:p>
        </w:tc>
        <w:tc>
          <w:tcPr>
            <w:tcW w:w="170" w:type="dxa"/>
            <w:vMerge w:val="continue"/>
            <w:tcBorders/>
            <w:shd w:fill="0D3F64" w:val="clear"/>
            <w:vAlign w:val="center"/>
          </w:tcPr>
          <w:p>
            <w:pPr>
              <w:pStyle w:val="Normal"/>
              <w:bidi w:val="0"/>
              <w:jc w:val="left"/>
              <w:rPr/>
            </w:pPr>
            <w:r>
              <w:rPr/>
            </w:r>
          </w:p>
        </w:tc>
        <w:tc>
          <w:tcPr>
            <w:tcW w:w="170" w:type="dxa"/>
            <w:vMerge w:val="continue"/>
            <w:tcBorders/>
            <w:shd w:fill="0D3F64" w:val="clear"/>
            <w:vAlign w:val="center"/>
          </w:tcPr>
          <w:p>
            <w:pPr>
              <w:pStyle w:val="Normal"/>
              <w:bidi w:val="0"/>
              <w:jc w:val="left"/>
              <w:rPr/>
            </w:pPr>
            <w:r>
              <w:rPr/>
            </w:r>
          </w:p>
        </w:tc>
        <w:tc>
          <w:tcPr>
            <w:tcW w:w="1220" w:type="dxa"/>
            <w:vMerge w:val="continue"/>
            <w:tcBorders/>
            <w:shd w:fill="0D3F64" w:val="clear"/>
            <w:vAlign w:val="center"/>
          </w:tcPr>
          <w:p>
            <w:pPr>
              <w:pStyle w:val="Normal"/>
              <w:bidi w:val="0"/>
              <w:jc w:val="left"/>
              <w:rPr/>
            </w:pPr>
            <w:r>
              <w:rPr/>
            </w:r>
          </w:p>
        </w:tc>
        <w:tc>
          <w:tcPr>
            <w:tcW w:w="170" w:type="dxa"/>
            <w:vMerge w:val="continue"/>
            <w:tcBorders/>
            <w:shd w:fill="0D3F64" w:val="clear"/>
            <w:vAlign w:val="center"/>
          </w:tcPr>
          <w:p>
            <w:pPr>
              <w:pStyle w:val="Normal"/>
              <w:bidi w:val="0"/>
              <w:jc w:val="left"/>
              <w:rPr/>
            </w:pPr>
            <w:r>
              <w:rPr/>
            </w:r>
          </w:p>
        </w:tc>
        <w:tc>
          <w:tcPr>
            <w:tcW w:w="170" w:type="dxa"/>
            <w:vMerge w:val="continue"/>
            <w:tcBorders/>
            <w:shd w:fill="0D3F64" w:val="clear"/>
            <w:vAlign w:val="center"/>
          </w:tcPr>
          <w:p>
            <w:pPr>
              <w:pStyle w:val="Normal"/>
              <w:bidi w:val="0"/>
              <w:jc w:val="left"/>
              <w:rPr/>
            </w:pPr>
            <w:r>
              <w:rPr/>
            </w:r>
          </w:p>
        </w:tc>
        <w:tc>
          <w:tcPr>
            <w:tcW w:w="1220" w:type="dxa"/>
            <w:vMerge w:val="continue"/>
            <w:tcBorders/>
            <w:shd w:fill="0D3F64" w:val="clear"/>
            <w:vAlign w:val="center"/>
          </w:tcPr>
          <w:p>
            <w:pPr>
              <w:pStyle w:val="Normal"/>
              <w:bidi w:val="0"/>
              <w:jc w:val="left"/>
              <w:rPr/>
            </w:pPr>
            <w:r>
              <w:rPr/>
            </w:r>
          </w:p>
        </w:tc>
        <w:tc>
          <w:tcPr>
            <w:tcW w:w="170" w:type="dxa"/>
            <w:vMerge w:val="continue"/>
            <w:tcBorders/>
            <w:shd w:fill="0D3F64" w:val="clear"/>
            <w:vAlign w:val="center"/>
          </w:tcPr>
          <w:p>
            <w:pPr>
              <w:pStyle w:val="Normal"/>
              <w:bidi w:val="0"/>
              <w:jc w:val="left"/>
              <w:rPr/>
            </w:pPr>
            <w:r>
              <w:rPr/>
            </w:r>
          </w:p>
        </w:tc>
        <w:tc>
          <w:tcPr>
            <w:tcW w:w="170" w:type="dxa"/>
            <w:vMerge w:val="continue"/>
            <w:tcBorders/>
            <w:shd w:fill="0D3F64" w:val="clear"/>
            <w:vAlign w:val="center"/>
          </w:tcPr>
          <w:p>
            <w:pPr>
              <w:pStyle w:val="Normal"/>
              <w:bidi w:val="0"/>
              <w:jc w:val="left"/>
              <w:rPr/>
            </w:pPr>
            <w:r>
              <w:rPr/>
            </w:r>
          </w:p>
        </w:tc>
        <w:tc>
          <w:tcPr>
            <w:tcW w:w="1220" w:type="dxa"/>
            <w:vMerge w:val="continue"/>
            <w:tcBorders/>
            <w:shd w:fill="0D3F64" w:val="clear"/>
            <w:vAlign w:val="center"/>
          </w:tcPr>
          <w:p>
            <w:pPr>
              <w:pStyle w:val="Normal"/>
              <w:bidi w:val="0"/>
              <w:jc w:val="left"/>
              <w:rPr/>
            </w:pPr>
            <w:r>
              <w:rPr/>
            </w:r>
          </w:p>
        </w:tc>
        <w:tc>
          <w:tcPr>
            <w:tcW w:w="170" w:type="dxa"/>
            <w:vMerge w:val="continue"/>
            <w:tcBorders/>
            <w:shd w:fill="0D3F64" w:val="clear"/>
            <w:vAlign w:val="center"/>
          </w:tcPr>
          <w:p>
            <w:pPr>
              <w:pStyle w:val="Normal"/>
              <w:bidi w:val="0"/>
              <w:jc w:val="left"/>
              <w:rPr/>
            </w:pPr>
            <w:r>
              <w:rPr/>
            </w:r>
          </w:p>
        </w:tc>
        <w:tc>
          <w:tcPr>
            <w:tcW w:w="170" w:type="dxa"/>
            <w:tcBorders/>
            <w:shd w:fill="0D3F64" w:val="clear"/>
            <w:vAlign w:val="center"/>
          </w:tcPr>
          <w:p>
            <w:pPr>
              <w:pStyle w:val="TableContents"/>
              <w:bidi w:val="0"/>
              <w:spacing w:before="0" w:after="0"/>
              <w:jc w:val="left"/>
              <w:rPr/>
            </w:pPr>
            <w:r>
              <w:rPr/>
              <w:t> </w:t>
            </w:r>
          </w:p>
        </w:tc>
        <w:tc>
          <w:tcPr>
            <w:tcW w:w="1010"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Total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Stockholder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Return5</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010"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Peer Group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Total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Stockholder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Return6</w:t>
            </w:r>
          </w:p>
        </w:tc>
        <w:tc>
          <w:tcPr>
            <w:tcW w:w="170" w:type="dxa"/>
            <w:tcBorders/>
            <w:shd w:fill="0D3F64" w:val="clear"/>
            <w:vAlign w:val="center"/>
          </w:tcPr>
          <w:p>
            <w:pPr>
              <w:pStyle w:val="TableContents"/>
              <w:bidi w:val="0"/>
              <w:spacing w:before="0" w:after="0"/>
              <w:jc w:val="left"/>
              <w:rPr/>
            </w:pPr>
            <w:r>
              <w:rPr/>
              <w:t> </w:t>
            </w:r>
          </w:p>
        </w:tc>
        <w:tc>
          <w:tcPr>
            <w:tcW w:w="170" w:type="dxa"/>
            <w:vMerge w:val="continue"/>
            <w:tcBorders/>
            <w:shd w:fill="0D3F64" w:val="clear"/>
            <w:vAlign w:val="center"/>
          </w:tcPr>
          <w:p>
            <w:pPr>
              <w:pStyle w:val="Normal"/>
              <w:bidi w:val="0"/>
              <w:jc w:val="left"/>
              <w:rPr/>
            </w:pPr>
            <w:r>
              <w:rPr/>
            </w:r>
          </w:p>
        </w:tc>
        <w:tc>
          <w:tcPr>
            <w:tcW w:w="800" w:type="dxa"/>
            <w:vMerge w:val="continue"/>
            <w:tcBorders/>
            <w:shd w:fill="0D3F64" w:val="clear"/>
            <w:vAlign w:val="center"/>
          </w:tcPr>
          <w:p>
            <w:pPr>
              <w:pStyle w:val="Normal"/>
              <w:bidi w:val="0"/>
              <w:jc w:val="left"/>
              <w:rPr/>
            </w:pPr>
            <w:r>
              <w:rPr/>
            </w:r>
          </w:p>
        </w:tc>
        <w:tc>
          <w:tcPr>
            <w:tcW w:w="170" w:type="dxa"/>
            <w:vMerge w:val="continue"/>
            <w:tcBorders/>
            <w:shd w:fill="0D3F64" w:val="clear"/>
            <w:vAlign w:val="center"/>
          </w:tcPr>
          <w:p>
            <w:pPr>
              <w:pStyle w:val="Normal"/>
              <w:bidi w:val="0"/>
              <w:jc w:val="left"/>
              <w:rPr/>
            </w:pPr>
            <w:r>
              <w:rPr/>
            </w:r>
          </w:p>
        </w:tc>
        <w:tc>
          <w:tcPr>
            <w:tcW w:w="170" w:type="dxa"/>
            <w:vMerge w:val="continue"/>
            <w:tcBorders/>
            <w:shd w:fill="0D3F64" w:val="clear"/>
            <w:vAlign w:val="center"/>
          </w:tcPr>
          <w:p>
            <w:pPr>
              <w:pStyle w:val="Normal"/>
              <w:bidi w:val="0"/>
              <w:jc w:val="left"/>
              <w:rPr/>
            </w:pPr>
            <w:r>
              <w:rPr/>
            </w:r>
          </w:p>
        </w:tc>
        <w:tc>
          <w:tcPr>
            <w:tcW w:w="800" w:type="dxa"/>
            <w:vMerge w:val="continue"/>
            <w:tcBorders/>
            <w:shd w:fill="0D3F64" w:val="clear"/>
            <w:vAlign w:val="center"/>
          </w:tcPr>
          <w:p>
            <w:pPr>
              <w:pStyle w:val="Normal"/>
              <w:bidi w:val="0"/>
              <w:jc w:val="left"/>
              <w:rPr/>
            </w:pPr>
            <w:r>
              <w:rPr/>
            </w:r>
          </w:p>
        </w:tc>
        <w:tc>
          <w:tcPr>
            <w:tcW w:w="215" w:type="dxa"/>
            <w:vMerge w:val="continue"/>
            <w:tcBorders/>
            <w:shd w:fill="0D3F64" w:val="clear"/>
            <w:vAlign w:val="center"/>
          </w:tcPr>
          <w:p>
            <w:pPr>
              <w:pStyle w:val="Normal"/>
              <w:bidi w:val="0"/>
              <w:jc w:val="left"/>
              <w:rPr/>
            </w:pPr>
            <w:r>
              <w:rPr/>
            </w:r>
          </w:p>
        </w:tc>
      </w:tr>
      <w:tr>
        <w:trPr/>
        <w:tc>
          <w:tcPr>
            <w:tcW w:w="185"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w:t>
            </w:r>
            <w:r>
              <w:rPr>
                <w:rFonts w:ascii="Arial;Helvetica;sans-serif" w:hAnsi="Arial;Helvetica;sans-serif"/>
                <w:color w:val="4C4C4C"/>
                <w:sz w:val="20"/>
              </w:rPr>
              <w:t>498,607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$(13,612,486)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30" w:right="0" w:hanging="0"/>
              <w:jc w:val="left"/>
              <w:rPr>
                <w:rFonts w:ascii="Arial;Helvetica;sans-serif" w:hAnsi="Arial;Helvetica;sans-serif"/>
                <w:color w:val="4C4C4C"/>
                <w:sz w:val="20"/>
              </w:rPr>
            </w:pPr>
            <w:r>
              <w:rPr>
                <w:rFonts w:ascii="Arial;Helvetica;sans-serif" w:hAnsi="Arial;Helvetica;sans-serif"/>
                <w:color w:val="4C4C4C"/>
                <w:sz w:val="20"/>
              </w:rPr>
              <w:t>$</w:t>
            </w:r>
            <w:r>
              <w:rPr>
                <w:rFonts w:ascii="Arial;Helvetica;sans-serif" w:hAnsi="Arial;Helvetica;sans-serif"/>
                <w:color w:val="4C4C4C"/>
                <w:sz w:val="20"/>
              </w:rPr>
              <w:t>357,974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w:t>
            </w:r>
            <w:r>
              <w:rPr>
                <w:rFonts w:ascii="Arial;Helvetica;sans-serif" w:hAnsi="Arial;Helvetica;sans-serif"/>
                <w:color w:val="4C4C4C"/>
                <w:sz w:val="20"/>
              </w:rPr>
              <w:t>(938,422)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72" w:right="0" w:hanging="0"/>
              <w:jc w:val="left"/>
              <w:rPr>
                <w:rFonts w:ascii="Arial;Helvetica;sans-serif" w:hAnsi="Arial;Helvetica;sans-serif"/>
                <w:color w:val="4C4C4C"/>
                <w:sz w:val="20"/>
              </w:rPr>
            </w:pPr>
            <w:r>
              <w:rPr>
                <w:rFonts w:ascii="Arial;Helvetica;sans-serif" w:hAnsi="Arial;Helvetica;sans-serif"/>
                <w:color w:val="4C4C4C"/>
                <w:sz w:val="20"/>
              </w:rPr>
              <w:t>245.5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72" w:right="0" w:hanging="0"/>
              <w:jc w:val="left"/>
              <w:rPr>
                <w:rFonts w:ascii="Arial;Helvetica;sans-serif" w:hAnsi="Arial;Helvetica;sans-serif"/>
                <w:color w:val="4C4C4C"/>
                <w:sz w:val="20"/>
              </w:rPr>
            </w:pPr>
            <w:r>
              <w:rPr>
                <w:rFonts w:ascii="Arial;Helvetica;sans-serif" w:hAnsi="Arial;Helvetica;sans-serif"/>
                <w:color w:val="4C4C4C"/>
                <w:sz w:val="20"/>
              </w:rPr>
              <w:t>190.5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149" w:right="0" w:hanging="0"/>
              <w:jc w:val="left"/>
              <w:rPr>
                <w:rFonts w:ascii="Arial;Helvetica;sans-serif" w:hAnsi="Arial;Helvetica;sans-serif"/>
                <w:color w:val="4C4C4C"/>
                <w:sz w:val="20"/>
              </w:rPr>
            </w:pPr>
            <w:r>
              <w:rPr>
                <w:rFonts w:ascii="Arial;Helvetica;sans-serif" w:hAnsi="Arial;Helvetica;sans-serif"/>
                <w:color w:val="4C4C4C"/>
                <w:sz w:val="20"/>
              </w:rPr>
              <w:t>$131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149" w:right="0" w:hanging="0"/>
              <w:jc w:val="left"/>
              <w:rPr>
                <w:rFonts w:ascii="Arial;Helvetica;sans-serif" w:hAnsi="Arial;Helvetica;sans-serif"/>
                <w:color w:val="4C4C4C"/>
                <w:sz w:val="20"/>
              </w:rPr>
            </w:pPr>
            <w:r>
              <w:rPr>
                <w:rFonts w:ascii="Arial;Helvetica;sans-serif" w:hAnsi="Arial;Helvetica;sans-serif"/>
                <w:color w:val="4C4C4C"/>
                <w:sz w:val="20"/>
              </w:rPr>
              <w:t>$782</w:t>
            </w:r>
          </w:p>
        </w:tc>
        <w:tc>
          <w:tcPr>
            <w:tcW w:w="215" w:type="dxa"/>
            <w:tcBorders/>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470" w:type="dxa"/>
            <w:tcBorders/>
            <w:shd w:fill="BAE2F8" w:val="clear"/>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2023</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220"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$23,533,975</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220"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w:t>
            </w:r>
            <w:r>
              <w:rPr>
                <w:rFonts w:ascii="Arial;Helvetica;sans-serif" w:hAnsi="Arial;Helvetica;sans-serif"/>
                <w:color w:val="4C4C4C"/>
                <w:sz w:val="20"/>
              </w:rPr>
              <w:t>39,640,249</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220" w:type="dxa"/>
            <w:tcBorders/>
            <w:shd w:fill="BAE2F8" w:val="clear"/>
            <w:vAlign w:val="center"/>
          </w:tcPr>
          <w:p>
            <w:pPr>
              <w:pStyle w:val="TableContents"/>
              <w:bidi w:val="0"/>
              <w:spacing w:before="0" w:after="283"/>
              <w:ind w:left="30" w:right="0" w:hanging="0"/>
              <w:jc w:val="left"/>
              <w:rPr>
                <w:rFonts w:ascii="Arial;Helvetica;sans-serif" w:hAnsi="Arial;Helvetica;sans-serif"/>
                <w:color w:val="4C4C4C"/>
                <w:sz w:val="20"/>
              </w:rPr>
            </w:pPr>
            <w:r>
              <w:rPr>
                <w:rFonts w:ascii="Arial;Helvetica;sans-serif" w:hAnsi="Arial;Helvetica;sans-serif"/>
                <w:color w:val="4C4C4C"/>
                <w:sz w:val="20"/>
              </w:rPr>
              <w:t>$5,041,649</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220"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w:t>
            </w:r>
            <w:r>
              <w:rPr>
                <w:rFonts w:ascii="Arial;Helvetica;sans-serif" w:hAnsi="Arial;Helvetica;sans-serif"/>
                <w:color w:val="4C4C4C"/>
                <w:sz w:val="20"/>
              </w:rPr>
              <w:t>6,772,362</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010" w:type="dxa"/>
            <w:tcBorders/>
            <w:shd w:fill="BAE2F8" w:val="clear"/>
            <w:vAlign w:val="center"/>
          </w:tcPr>
          <w:p>
            <w:pPr>
              <w:pStyle w:val="TableContents"/>
              <w:bidi w:val="0"/>
              <w:spacing w:before="0" w:after="283"/>
              <w:ind w:left="172" w:right="0" w:hanging="0"/>
              <w:jc w:val="left"/>
              <w:rPr>
                <w:rFonts w:ascii="Arial;Helvetica;sans-serif" w:hAnsi="Arial;Helvetica;sans-serif"/>
                <w:color w:val="4C4C4C"/>
                <w:sz w:val="20"/>
              </w:rPr>
            </w:pPr>
            <w:r>
              <w:rPr>
                <w:rFonts w:ascii="Arial;Helvetica;sans-serif" w:hAnsi="Arial;Helvetica;sans-serif"/>
                <w:color w:val="4C4C4C"/>
                <w:sz w:val="20"/>
              </w:rPr>
              <w:t>317.7</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010" w:type="dxa"/>
            <w:tcBorders/>
            <w:shd w:fill="BAE2F8" w:val="clear"/>
            <w:vAlign w:val="center"/>
          </w:tcPr>
          <w:p>
            <w:pPr>
              <w:pStyle w:val="TableContents"/>
              <w:bidi w:val="0"/>
              <w:spacing w:before="0" w:after="283"/>
              <w:ind w:left="172" w:right="0" w:hanging="0"/>
              <w:jc w:val="left"/>
              <w:rPr>
                <w:rFonts w:ascii="Arial;Helvetica;sans-serif" w:hAnsi="Arial;Helvetica;sans-serif"/>
                <w:color w:val="4C4C4C"/>
                <w:sz w:val="20"/>
              </w:rPr>
            </w:pPr>
            <w:r>
              <w:rPr>
                <w:rFonts w:ascii="Arial;Helvetica;sans-serif" w:hAnsi="Arial;Helvetica;sans-serif"/>
                <w:color w:val="4C4C4C"/>
                <w:sz w:val="20"/>
              </w:rPr>
              <w:t>153.6</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800" w:type="dxa"/>
            <w:tcBorders/>
            <w:shd w:fill="BAE2F8" w:val="clear"/>
            <w:vAlign w:val="center"/>
          </w:tcPr>
          <w:p>
            <w:pPr>
              <w:pStyle w:val="TableContents"/>
              <w:bidi w:val="0"/>
              <w:spacing w:before="0" w:after="283"/>
              <w:ind w:left="149" w:right="0" w:hanging="0"/>
              <w:jc w:val="left"/>
              <w:rPr>
                <w:rFonts w:ascii="Arial;Helvetica;sans-serif" w:hAnsi="Arial;Helvetica;sans-serif"/>
                <w:color w:val="4C4C4C"/>
                <w:sz w:val="20"/>
              </w:rPr>
            </w:pPr>
            <w:r>
              <w:rPr>
                <w:rFonts w:ascii="Arial;Helvetica;sans-serif" w:hAnsi="Arial;Helvetica;sans-serif"/>
                <w:color w:val="4C4C4C"/>
                <w:sz w:val="20"/>
              </w:rPr>
              <w:t>97</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800" w:type="dxa"/>
            <w:tcBorders/>
            <w:shd w:fill="BAE2F8" w:val="clear"/>
            <w:vAlign w:val="center"/>
          </w:tcPr>
          <w:p>
            <w:pPr>
              <w:pStyle w:val="TableContents"/>
              <w:bidi w:val="0"/>
              <w:spacing w:before="0" w:after="283"/>
              <w:ind w:left="149" w:right="0" w:hanging="0"/>
              <w:jc w:val="left"/>
              <w:rPr>
                <w:rFonts w:ascii="Arial;Helvetica;sans-serif" w:hAnsi="Arial;Helvetica;sans-serif"/>
                <w:color w:val="4C4C4C"/>
                <w:sz w:val="20"/>
              </w:rPr>
            </w:pPr>
            <w:r>
              <w:rPr>
                <w:rFonts w:ascii="Arial;Helvetica;sans-serif" w:hAnsi="Arial;Helvetica;sans-serif"/>
                <w:color w:val="4C4C4C"/>
                <w:sz w:val="20"/>
              </w:rPr>
              <w:t>558</w:t>
            </w:r>
          </w:p>
        </w:tc>
        <w:tc>
          <w:tcPr>
            <w:tcW w:w="215" w:type="dxa"/>
            <w:tcBorders/>
            <w:shd w:fill="BAE2F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w:t>
            </w:r>
            <w:r>
              <w:rPr>
                <w:rFonts w:ascii="Arial;Helvetica;sans-serif" w:hAnsi="Arial;Helvetica;sans-serif"/>
                <w:color w:val="4C4C4C"/>
                <w:sz w:val="20"/>
              </w:rPr>
              <w:t>404,982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$(20,877,170)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30" w:right="0" w:hanging="0"/>
              <w:jc w:val="left"/>
              <w:rPr>
                <w:rFonts w:ascii="Arial;Helvetica;sans-serif" w:hAnsi="Arial;Helvetica;sans-serif"/>
                <w:color w:val="4C4C4C"/>
                <w:sz w:val="20"/>
              </w:rPr>
            </w:pPr>
            <w:r>
              <w:rPr>
                <w:rFonts w:ascii="Arial;Helvetica;sans-serif" w:hAnsi="Arial;Helvetica;sans-serif"/>
                <w:color w:val="4C4C4C"/>
                <w:sz w:val="20"/>
              </w:rPr>
              <w:t>$1,114,059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$(1,948,838)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72" w:right="0" w:hanging="0"/>
              <w:jc w:val="left"/>
              <w:rPr>
                <w:rFonts w:ascii="Arial;Helvetica;sans-serif" w:hAnsi="Arial;Helvetica;sans-serif"/>
                <w:color w:val="4C4C4C"/>
                <w:sz w:val="20"/>
              </w:rPr>
            </w:pPr>
            <w:r>
              <w:rPr>
                <w:rFonts w:ascii="Arial;Helvetica;sans-serif" w:hAnsi="Arial;Helvetica;sans-serif"/>
                <w:color w:val="4C4C4C"/>
                <w:sz w:val="20"/>
              </w:rPr>
              <w:t>125.4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72" w:right="0" w:hanging="0"/>
              <w:jc w:val="left"/>
              <w:rPr>
                <w:rFonts w:ascii="Arial;Helvetica;sans-serif" w:hAnsi="Arial;Helvetica;sans-serif"/>
                <w:color w:val="4C4C4C"/>
                <w:sz w:val="20"/>
              </w:rPr>
            </w:pPr>
            <w:r>
              <w:rPr>
                <w:rFonts w:ascii="Arial;Helvetica;sans-serif" w:hAnsi="Arial;Helvetica;sans-serif"/>
                <w:color w:val="4C4C4C"/>
                <w:sz w:val="20"/>
              </w:rPr>
              <w:t>122.0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149" w:right="0" w:hanging="0"/>
              <w:jc w:val="left"/>
              <w:rPr>
                <w:rFonts w:ascii="Arial;Helvetica;sans-serif" w:hAnsi="Arial;Helvetica;sans-serif"/>
                <w:color w:val="4C4C4C"/>
                <w:sz w:val="20"/>
              </w:rPr>
            </w:pPr>
            <w:r>
              <w:rPr>
                <w:rFonts w:ascii="Arial;Helvetica;sans-serif" w:hAnsi="Arial;Helvetica;sans-serif"/>
                <w:color w:val="4C4C4C"/>
                <w:sz w:val="20"/>
              </w:rPr>
              <w:t>51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149" w:right="0" w:hanging="0"/>
              <w:jc w:val="left"/>
              <w:rPr>
                <w:rFonts w:ascii="Arial;Helvetica;sans-serif" w:hAnsi="Arial;Helvetica;sans-serif"/>
                <w:color w:val="4C4C4C"/>
                <w:sz w:val="20"/>
              </w:rPr>
            </w:pPr>
            <w:r>
              <w:rPr>
                <w:rFonts w:ascii="Arial;Helvetica;sans-serif" w:hAnsi="Arial;Helvetica;sans-serif"/>
                <w:color w:val="4C4C4C"/>
                <w:sz w:val="20"/>
              </w:rPr>
              <w:t>389</w:t>
            </w:r>
          </w:p>
        </w:tc>
        <w:tc>
          <w:tcPr>
            <w:tcW w:w="215" w:type="dxa"/>
            <w:tcBorders/>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470" w:type="dxa"/>
            <w:tcBorders/>
            <w:shd w:fill="BAE2F8" w:val="clear"/>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2021</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220"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w:t>
            </w:r>
            <w:r>
              <w:rPr>
                <w:rFonts w:ascii="Arial;Helvetica;sans-serif" w:hAnsi="Arial;Helvetica;sans-serif"/>
                <w:color w:val="4C4C4C"/>
                <w:sz w:val="20"/>
              </w:rPr>
              <w:t>398,876</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220"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w:t>
            </w:r>
            <w:r>
              <w:rPr>
                <w:rFonts w:ascii="Arial;Helvetica;sans-serif" w:hAnsi="Arial;Helvetica;sans-serif"/>
                <w:color w:val="4C4C4C"/>
                <w:sz w:val="20"/>
              </w:rPr>
              <w:t>10,772,637</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220" w:type="dxa"/>
            <w:tcBorders/>
            <w:shd w:fill="BAE2F8" w:val="clear"/>
            <w:vAlign w:val="center"/>
          </w:tcPr>
          <w:p>
            <w:pPr>
              <w:pStyle w:val="TableContents"/>
              <w:bidi w:val="0"/>
              <w:spacing w:before="0" w:after="283"/>
              <w:ind w:left="30" w:right="0" w:hanging="0"/>
              <w:jc w:val="left"/>
              <w:rPr>
                <w:rFonts w:ascii="Arial;Helvetica;sans-serif" w:hAnsi="Arial;Helvetica;sans-serif"/>
                <w:color w:val="4C4C4C"/>
                <w:sz w:val="20"/>
              </w:rPr>
            </w:pPr>
            <w:r>
              <w:rPr>
                <w:rFonts w:ascii="Arial;Helvetica;sans-serif" w:hAnsi="Arial;Helvetica;sans-serif"/>
                <w:color w:val="4C4C4C"/>
                <w:sz w:val="20"/>
              </w:rPr>
              <w:t>$</w:t>
            </w:r>
            <w:r>
              <w:rPr>
                <w:rFonts w:ascii="Arial;Helvetica;sans-serif" w:hAnsi="Arial;Helvetica;sans-serif"/>
                <w:color w:val="4C4C4C"/>
                <w:sz w:val="20"/>
              </w:rPr>
              <w:t>240,810</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220"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w:t>
            </w:r>
            <w:r>
              <w:rPr>
                <w:rFonts w:ascii="Arial;Helvetica;sans-serif" w:hAnsi="Arial;Helvetica;sans-serif"/>
                <w:color w:val="4C4C4C"/>
                <w:sz w:val="20"/>
              </w:rPr>
              <w:t>4,119,010</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010" w:type="dxa"/>
            <w:tcBorders/>
            <w:shd w:fill="BAE2F8" w:val="clear"/>
            <w:vAlign w:val="center"/>
          </w:tcPr>
          <w:p>
            <w:pPr>
              <w:pStyle w:val="TableContents"/>
              <w:bidi w:val="0"/>
              <w:spacing w:before="0" w:after="283"/>
              <w:ind w:left="172" w:right="0" w:hanging="0"/>
              <w:jc w:val="left"/>
              <w:rPr>
                <w:rFonts w:ascii="Arial;Helvetica;sans-serif" w:hAnsi="Arial;Helvetica;sans-serif"/>
                <w:color w:val="4C4C4C"/>
                <w:sz w:val="20"/>
              </w:rPr>
            </w:pPr>
            <w:r>
              <w:rPr>
                <w:rFonts w:ascii="Arial;Helvetica;sans-serif" w:hAnsi="Arial;Helvetica;sans-serif"/>
                <w:color w:val="4C4C4C"/>
                <w:sz w:val="20"/>
              </w:rPr>
              <w:t>462.2</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010" w:type="dxa"/>
            <w:tcBorders/>
            <w:shd w:fill="BAE2F8" w:val="clear"/>
            <w:vAlign w:val="center"/>
          </w:tcPr>
          <w:p>
            <w:pPr>
              <w:pStyle w:val="TableContents"/>
              <w:bidi w:val="0"/>
              <w:spacing w:before="0" w:after="283"/>
              <w:ind w:left="172" w:right="0" w:hanging="0"/>
              <w:jc w:val="left"/>
              <w:rPr>
                <w:rFonts w:ascii="Arial;Helvetica;sans-serif" w:hAnsi="Arial;Helvetica;sans-serif"/>
                <w:color w:val="4C4C4C"/>
                <w:sz w:val="20"/>
              </w:rPr>
            </w:pPr>
            <w:r>
              <w:rPr>
                <w:rFonts w:ascii="Arial;Helvetica;sans-serif" w:hAnsi="Arial;Helvetica;sans-serif"/>
                <w:color w:val="4C4C4C"/>
                <w:sz w:val="20"/>
              </w:rPr>
              <w:t>151.2</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800" w:type="dxa"/>
            <w:tcBorders/>
            <w:shd w:fill="BAE2F8" w:val="clear"/>
            <w:vAlign w:val="center"/>
          </w:tcPr>
          <w:p>
            <w:pPr>
              <w:pStyle w:val="TableContents"/>
              <w:bidi w:val="0"/>
              <w:spacing w:before="0" w:after="283"/>
              <w:ind w:left="149" w:right="0" w:hanging="0"/>
              <w:jc w:val="left"/>
              <w:rPr>
                <w:rFonts w:ascii="Arial;Helvetica;sans-serif" w:hAnsi="Arial;Helvetica;sans-serif"/>
                <w:color w:val="4C4C4C"/>
                <w:sz w:val="20"/>
              </w:rPr>
            </w:pPr>
            <w:r>
              <w:rPr>
                <w:rFonts w:ascii="Arial;Helvetica;sans-serif" w:hAnsi="Arial;Helvetica;sans-serif"/>
                <w:color w:val="4C4C4C"/>
                <w:sz w:val="20"/>
              </w:rPr>
              <w:t>43</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800" w:type="dxa"/>
            <w:tcBorders/>
            <w:shd w:fill="BAE2F8" w:val="clear"/>
            <w:vAlign w:val="center"/>
          </w:tcPr>
          <w:p>
            <w:pPr>
              <w:pStyle w:val="TableContents"/>
              <w:bidi w:val="0"/>
              <w:spacing w:before="0" w:after="283"/>
              <w:ind w:left="149" w:right="0" w:hanging="0"/>
              <w:jc w:val="left"/>
              <w:rPr>
                <w:rFonts w:ascii="Arial;Helvetica;sans-serif" w:hAnsi="Arial;Helvetica;sans-serif"/>
                <w:color w:val="4C4C4C"/>
                <w:sz w:val="20"/>
              </w:rPr>
            </w:pPr>
            <w:r>
              <w:rPr>
                <w:rFonts w:ascii="Arial;Helvetica;sans-serif" w:hAnsi="Arial;Helvetica;sans-serif"/>
                <w:color w:val="4C4C4C"/>
                <w:sz w:val="20"/>
              </w:rPr>
              <w:t>260</w:t>
            </w:r>
          </w:p>
        </w:tc>
        <w:tc>
          <w:tcPr>
            <w:tcW w:w="215" w:type="dxa"/>
            <w:tcBorders/>
            <w:shd w:fill="BAE2F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2020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w:t>
            </w:r>
            <w:r>
              <w:rPr>
                <w:rFonts w:ascii="Arial;Helvetica;sans-serif" w:hAnsi="Arial;Helvetica;sans-serif"/>
                <w:color w:val="4C4C4C"/>
                <w:sz w:val="20"/>
              </w:rPr>
              <w:t>5,369,089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w:t>
            </w:r>
            <w:r>
              <w:rPr>
                <w:rFonts w:ascii="Arial;Helvetica;sans-serif" w:hAnsi="Arial;Helvetica;sans-serif"/>
                <w:color w:val="4C4C4C"/>
                <w:sz w:val="20"/>
              </w:rPr>
              <w:t>45,103,619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30" w:right="0" w:hanging="0"/>
              <w:jc w:val="left"/>
              <w:rPr>
                <w:rFonts w:ascii="Arial;Helvetica;sans-serif" w:hAnsi="Arial;Helvetica;sans-serif"/>
                <w:color w:val="4C4C4C"/>
                <w:sz w:val="20"/>
              </w:rPr>
            </w:pPr>
            <w:r>
              <w:rPr>
                <w:rFonts w:ascii="Arial;Helvetica;sans-serif" w:hAnsi="Arial;Helvetica;sans-serif"/>
                <w:color w:val="4C4C4C"/>
                <w:sz w:val="20"/>
              </w:rPr>
              <w:t>$</w:t>
            </w:r>
            <w:r>
              <w:rPr>
                <w:rFonts w:ascii="Arial;Helvetica;sans-serif" w:hAnsi="Arial;Helvetica;sans-serif"/>
                <w:color w:val="4C4C4C"/>
                <w:sz w:val="20"/>
              </w:rPr>
              <w:t>501,343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w:t>
            </w:r>
            <w:r>
              <w:rPr>
                <w:rFonts w:ascii="Arial;Helvetica;sans-serif" w:hAnsi="Arial;Helvetica;sans-serif"/>
                <w:color w:val="4C4C4C"/>
                <w:sz w:val="20"/>
              </w:rPr>
              <w:t>3,631,284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72" w:right="0" w:hanging="0"/>
              <w:jc w:val="left"/>
              <w:rPr>
                <w:rFonts w:ascii="Arial;Helvetica;sans-serif" w:hAnsi="Arial;Helvetica;sans-serif"/>
                <w:color w:val="4C4C4C"/>
                <w:sz w:val="20"/>
              </w:rPr>
            </w:pPr>
            <w:r>
              <w:rPr>
                <w:rFonts w:ascii="Arial;Helvetica;sans-serif" w:hAnsi="Arial;Helvetica;sans-serif"/>
                <w:color w:val="4C4C4C"/>
                <w:sz w:val="20"/>
              </w:rPr>
              <w:t>440.4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72" w:right="0" w:hanging="0"/>
              <w:jc w:val="left"/>
              <w:rPr>
                <w:rFonts w:ascii="Arial;Helvetica;sans-serif" w:hAnsi="Arial;Helvetica;sans-serif"/>
                <w:color w:val="4C4C4C"/>
                <w:sz w:val="20"/>
              </w:rPr>
            </w:pPr>
            <w:r>
              <w:rPr>
                <w:rFonts w:ascii="Arial;Helvetica;sans-serif" w:hAnsi="Arial;Helvetica;sans-serif"/>
                <w:color w:val="4C4C4C"/>
                <w:sz w:val="20"/>
              </w:rPr>
              <w:t>120.3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149" w:right="0" w:hanging="0"/>
              <w:jc w:val="left"/>
              <w:rPr>
                <w:rFonts w:ascii="Arial;Helvetica;sans-serif" w:hAnsi="Arial;Helvetica;sans-serif"/>
                <w:color w:val="4C4C4C"/>
                <w:sz w:val="20"/>
              </w:rPr>
            </w:pPr>
            <w:r>
              <w:rPr>
                <w:rFonts w:ascii="Arial;Helvetica;sans-serif" w:hAnsi="Arial;Helvetica;sans-serif"/>
                <w:color w:val="4C4C4C"/>
                <w:sz w:val="20"/>
              </w:rPr>
              <w:t>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149" w:right="0" w:hanging="0"/>
              <w:jc w:val="left"/>
              <w:rPr>
                <w:rFonts w:ascii="Arial;Helvetica;sans-serif" w:hAnsi="Arial;Helvetica;sans-serif"/>
                <w:color w:val="4C4C4C"/>
                <w:sz w:val="20"/>
              </w:rPr>
            </w:pPr>
            <w:r>
              <w:rPr>
                <w:rFonts w:ascii="Arial;Helvetica;sans-serif" w:hAnsi="Arial;Helvetica;sans-serif"/>
                <w:color w:val="4C4C4C"/>
                <w:sz w:val="20"/>
              </w:rPr>
              <w:t>157</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10065"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This column represents the amount of total compensation reported for Mr. Wang (our Chief Executive Officer and President) for each corresponding year in the “Total” column of the Summary Compensation Table (“total compensation”). Please refer to the Summary Compensation Table in the applicable proxy statement.</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10065"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This column represents the amount of “compensation actually paid” to Mr. Wang, as computed in accordance with Item 402(v) of Regulation S-K. The amounts do not reflect the actual amount of compensation earned by or paid to Mr. Wang during the applicable year. In accordance with the requirements of Item 402(v) of Regulation S-K, the following adjustments were made to Mr. Wang’s total compensation for each year to determine the “compensation actually paid”:</w:t>
            </w:r>
          </w:p>
        </w:tc>
      </w:tr>
    </w:tbl>
    <w:tbl>
      <w:tblPr>
        <w:tblW w:w="8085" w:type="dxa"/>
        <w:jc w:val="left"/>
        <w:tblInd w:w="0" w:type="dxa"/>
        <w:tblLayout w:type="fixed"/>
        <w:tblCellMar>
          <w:top w:w="0" w:type="dxa"/>
          <w:left w:w="0" w:type="dxa"/>
          <w:bottom w:w="0" w:type="dxa"/>
          <w:right w:w="0" w:type="dxa"/>
        </w:tblCellMar>
      </w:tblPr>
      <w:tblGrid>
        <w:gridCol w:w="185"/>
        <w:gridCol w:w="470"/>
        <w:gridCol w:w="170"/>
        <w:gridCol w:w="170"/>
        <w:gridCol w:w="1265"/>
        <w:gridCol w:w="170"/>
        <w:gridCol w:w="170"/>
        <w:gridCol w:w="1610"/>
        <w:gridCol w:w="170"/>
        <w:gridCol w:w="170"/>
        <w:gridCol w:w="1295"/>
        <w:gridCol w:w="170"/>
        <w:gridCol w:w="170"/>
        <w:gridCol w:w="1685"/>
        <w:gridCol w:w="215"/>
      </w:tblGrid>
      <w:tr>
        <w:trPr/>
        <w:tc>
          <w:tcPr>
            <w:tcW w:w="185" w:type="dxa"/>
            <w:tcBorders/>
            <w:shd w:fill="0D3F64" w:val="clear"/>
            <w:vAlign w:val="center"/>
          </w:tcPr>
          <w:p>
            <w:pPr>
              <w:pStyle w:val="TableContents"/>
              <w:bidi w:val="0"/>
              <w:spacing w:before="0" w:after="0"/>
              <w:jc w:val="left"/>
              <w:rPr/>
            </w:pPr>
            <w:r>
              <w:rPr/>
              <w:t> </w:t>
            </w:r>
          </w:p>
        </w:tc>
        <w:tc>
          <w:tcPr>
            <w:tcW w:w="4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265"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61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295"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685" w:type="dxa"/>
            <w:tcBorders/>
            <w:shd w:fill="0D3F64" w:val="clear"/>
            <w:vAlign w:val="center"/>
          </w:tcPr>
          <w:p>
            <w:pPr>
              <w:pStyle w:val="TableContents"/>
              <w:bidi w:val="0"/>
              <w:spacing w:before="0" w:after="0"/>
              <w:jc w:val="left"/>
              <w:rPr/>
            </w:pPr>
            <w:r>
              <w:rPr/>
              <w:t> </w:t>
            </w:r>
          </w:p>
        </w:tc>
        <w:tc>
          <w:tcPr>
            <w:tcW w:w="215" w:type="dxa"/>
            <w:tcBorders/>
            <w:shd w:fill="0D3F64" w:val="clear"/>
            <w:vAlign w:val="center"/>
          </w:tcPr>
          <w:p>
            <w:pPr>
              <w:pStyle w:val="TableContents"/>
              <w:bidi w:val="0"/>
              <w:spacing w:before="0" w:after="0"/>
              <w:jc w:val="left"/>
              <w:rPr/>
            </w:pPr>
            <w:r>
              <w:rPr/>
              <w:t> </w:t>
            </w:r>
          </w:p>
        </w:tc>
      </w:tr>
      <w:tr>
        <w:trPr/>
        <w:tc>
          <w:tcPr>
            <w:tcW w:w="185" w:type="dxa"/>
            <w:tcBorders/>
            <w:shd w:fill="0D3F64" w:val="clear"/>
            <w:vAlign w:val="center"/>
          </w:tcPr>
          <w:p>
            <w:pPr>
              <w:pStyle w:val="TableContents"/>
              <w:bidi w:val="0"/>
              <w:spacing w:before="0" w:after="0"/>
              <w:jc w:val="left"/>
              <w:rPr/>
            </w:pPr>
            <w:r>
              <w:rPr/>
              <w:t> </w:t>
            </w:r>
          </w:p>
        </w:tc>
        <w:tc>
          <w:tcPr>
            <w:tcW w:w="470" w:type="dxa"/>
            <w:tcBorders/>
            <w:shd w:fill="0D3F64" w:val="clear"/>
            <w:vAlign w:val="center"/>
          </w:tcPr>
          <w:p>
            <w:pPr>
              <w:pStyle w:val="TableContents"/>
              <w:bidi w:val="0"/>
              <w:spacing w:before="20" w:after="283"/>
              <w:ind w:left="20" w:right="0" w:hanging="0"/>
              <w:jc w:val="left"/>
              <w:rPr>
                <w:rFonts w:ascii="Arial;Helvetica;sans-serif" w:hAnsi="Arial;Helvetica;sans-serif"/>
                <w:b/>
                <w:color w:val="FFFFFF"/>
                <w:sz w:val="16"/>
              </w:rPr>
            </w:pPr>
            <w:r>
              <w:rPr>
                <w:rFonts w:ascii="Arial;Helvetica;sans-serif" w:hAnsi="Arial;Helvetica;sans-serif"/>
                <w:b/>
                <w:color w:val="FFFFFF"/>
                <w:sz w:val="16"/>
              </w:rPr>
              <w:t>Year</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265"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Reported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Summary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Table Total for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PEO(a)</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610"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Reported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Summary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Table Value of PEO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Equity Awards(b)</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295"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Adjusted Value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of Equity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Awards(c)</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685"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Actually Paid to PEO</w:t>
            </w:r>
          </w:p>
        </w:tc>
        <w:tc>
          <w:tcPr>
            <w:tcW w:w="215" w:type="dxa"/>
            <w:tcBorders/>
            <w:shd w:fill="0D3F6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105" w:right="0" w:hanging="0"/>
              <w:jc w:val="left"/>
              <w:rPr>
                <w:rFonts w:ascii="Arial;Helvetica;sans-serif" w:hAnsi="Arial;Helvetica;sans-serif"/>
                <w:color w:val="4C4C4C"/>
                <w:sz w:val="20"/>
              </w:rPr>
            </w:pPr>
            <w:r>
              <w:rPr>
                <w:rFonts w:ascii="Arial;Helvetica;sans-serif" w:hAnsi="Arial;Helvetica;sans-serif"/>
                <w:color w:val="4C4C4C"/>
                <w:sz w:val="20"/>
              </w:rPr>
              <w:t>$498,607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283"/>
              <w:ind w:left="539" w:right="0" w:hanging="0"/>
              <w:jc w:val="left"/>
              <w:rPr>
                <w:color w:val="4C4C4C"/>
              </w:rPr>
            </w:pPr>
            <w:r>
              <w:rPr>
                <w:color w:val="4C4C4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$(14,111,093)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140" w:right="0" w:hanging="0"/>
              <w:jc w:val="left"/>
              <w:rPr>
                <w:rFonts w:ascii="Arial;Helvetica;sans-serif" w:hAnsi="Arial;Helvetica;sans-serif"/>
                <w:color w:val="4C4C4C"/>
                <w:sz w:val="20"/>
              </w:rPr>
            </w:pPr>
            <w:r>
              <w:rPr>
                <w:rFonts w:ascii="Arial;Helvetica;sans-serif" w:hAnsi="Arial;Helvetica;sans-serif"/>
                <w:color w:val="4C4C4C"/>
                <w:sz w:val="20"/>
              </w:rPr>
              <w:t>$(13,612,486)</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(a)</w:t>
            </w:r>
          </w:p>
        </w:tc>
        <w:tc>
          <w:tcPr>
            <w:tcW w:w="9971"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This column represents the amount of total compensation reported for Mr. Wang for 2024 in the “Total” column of the Summary Compensation Table. Please refer to the Summary Compensation Table in this Proxy Statement.</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(b)</w:t>
            </w:r>
          </w:p>
        </w:tc>
        <w:tc>
          <w:tcPr>
            <w:tcW w:w="9987"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This column represents the grant date fair value of equity awards reported in the “Option Awards” column in the Summary Compensation Table for 2024. Please refer to the Summary Compensation Table in this Proxy Statement. The amount in this column is replaced with the amount reported in the Adjusted Value of Equity Awards column in order to arrive at compensation actually paid to PEO for 2024.</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(c)</w:t>
            </w:r>
          </w:p>
        </w:tc>
        <w:tc>
          <w:tcPr>
            <w:tcW w:w="10000"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This column represents an adjustment to the amounts in the “Option Awards” column in the Summary Compensation Table for 2024. For 2024, the adjusted amount replaces the “Option Awards” column in the Summary Compensation Table for Mr. Wang for 2024. The adjusted amount is determined by adding (or subtracting, as applicable) the following for 2024: (i) the year-end fair value of any equity awards granted in 2024 that are outstanding and unvested as of the end of 2024; (ii) the amount of change as of the end of 2024 (from the end of 2023) in the fair value of any awards granted in prior years that are outstanding and unvested as of the end of 2024; (iii) for awards that are granted and vest in 2024, the fair value as of the vesting date; (iv) for awards granted in prior years that vest in 2024, the amount equal to the change as of the vesting date (from the end of the prior fiscal year) in the fair value; (v) for awards granted in prior years that are determined to fail to meet the applicable vesting conditions during 2024, a deduction for the amount equal to the fair value at the end of the prior fiscal year; and (vi) the dollar value of any dividends or other earnings paid on stock awards in 2024 prior to the vesting date that are not otherwise reflected in the fair value of such award or included in any other component of total compensation for 2024.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41</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3" w:name="ny20042784x1_def14a_115-pvp_pg2"/>
        <w:bookmarkEnd w:id="83"/>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left"/>
        <w:rPr>
          <w:rFonts w:ascii="Arial;Helvetica;sans-serif" w:hAnsi="Arial;Helvetica;sans-serif"/>
          <w:color w:val="000000"/>
          <w:sz w:val="16"/>
        </w:rPr>
      </w:pPr>
      <w:r>
        <w:rPr>
          <w:rFonts w:ascii="Arial;Helvetica;sans-serif" w:hAnsi="Arial;Helvetica;sans-serif"/>
          <w:color w:val="000000"/>
          <w:sz w:val="16"/>
        </w:rPr>
        <w:t>The amounts added or subtracted to determine the adjusted amount for our PEO are as follows:</w:t>
      </w:r>
    </w:p>
    <w:tbl>
      <w:tblPr>
        <w:tblW w:w="10205" w:type="dxa"/>
        <w:jc w:val="left"/>
        <w:tblInd w:w="0" w:type="dxa"/>
        <w:tblLayout w:type="fixed"/>
        <w:tblCellMar>
          <w:top w:w="0" w:type="dxa"/>
          <w:left w:w="0" w:type="dxa"/>
          <w:bottom w:w="0" w:type="dxa"/>
          <w:right w:w="0" w:type="dxa"/>
        </w:tblCellMar>
      </w:tblPr>
      <w:tblGrid>
        <w:gridCol w:w="185"/>
        <w:gridCol w:w="410"/>
        <w:gridCol w:w="170"/>
        <w:gridCol w:w="170"/>
        <w:gridCol w:w="806"/>
        <w:gridCol w:w="170"/>
        <w:gridCol w:w="170"/>
        <w:gridCol w:w="1118"/>
        <w:gridCol w:w="170"/>
        <w:gridCol w:w="170"/>
        <w:gridCol w:w="794"/>
        <w:gridCol w:w="170"/>
        <w:gridCol w:w="170"/>
        <w:gridCol w:w="995"/>
        <w:gridCol w:w="170"/>
        <w:gridCol w:w="170"/>
        <w:gridCol w:w="985"/>
        <w:gridCol w:w="170"/>
        <w:gridCol w:w="170"/>
        <w:gridCol w:w="1258"/>
        <w:gridCol w:w="170"/>
        <w:gridCol w:w="170"/>
        <w:gridCol w:w="1056"/>
        <w:gridCol w:w="218"/>
      </w:tblGrid>
      <w:tr>
        <w:trPr/>
        <w:tc>
          <w:tcPr>
            <w:tcW w:w="185" w:type="dxa"/>
            <w:tcBorders/>
            <w:shd w:fill="0D3F64" w:val="clear"/>
            <w:vAlign w:val="center"/>
          </w:tcPr>
          <w:p>
            <w:pPr>
              <w:pStyle w:val="TableContents"/>
              <w:bidi w:val="0"/>
              <w:spacing w:before="0" w:after="0"/>
              <w:jc w:val="left"/>
              <w:rPr/>
            </w:pPr>
            <w:r>
              <w:rPr/>
              <w:t> </w:t>
            </w:r>
          </w:p>
        </w:tc>
        <w:tc>
          <w:tcPr>
            <w:tcW w:w="41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806"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118"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794"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995"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985"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258"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056" w:type="dxa"/>
            <w:tcBorders/>
            <w:shd w:fill="0D3F64" w:val="clear"/>
            <w:vAlign w:val="center"/>
          </w:tcPr>
          <w:p>
            <w:pPr>
              <w:pStyle w:val="TableContents"/>
              <w:bidi w:val="0"/>
              <w:spacing w:before="0" w:after="0"/>
              <w:jc w:val="left"/>
              <w:rPr/>
            </w:pPr>
            <w:r>
              <w:rPr/>
              <w:t> </w:t>
            </w:r>
          </w:p>
        </w:tc>
        <w:tc>
          <w:tcPr>
            <w:tcW w:w="218" w:type="dxa"/>
            <w:tcBorders/>
            <w:shd w:fill="0D3F64" w:val="clear"/>
            <w:vAlign w:val="center"/>
          </w:tcPr>
          <w:p>
            <w:pPr>
              <w:pStyle w:val="TableContents"/>
              <w:bidi w:val="0"/>
              <w:spacing w:before="0" w:after="0"/>
              <w:jc w:val="left"/>
              <w:rPr/>
            </w:pPr>
            <w:r>
              <w:rPr/>
              <w:t> </w:t>
            </w:r>
          </w:p>
        </w:tc>
      </w:tr>
      <w:tr>
        <w:trPr/>
        <w:tc>
          <w:tcPr>
            <w:tcW w:w="185" w:type="dxa"/>
            <w:tcBorders/>
            <w:shd w:fill="0D3F64" w:val="clear"/>
            <w:vAlign w:val="center"/>
          </w:tcPr>
          <w:p>
            <w:pPr>
              <w:pStyle w:val="TableContents"/>
              <w:bidi w:val="0"/>
              <w:spacing w:before="0" w:after="0"/>
              <w:jc w:val="left"/>
              <w:rPr/>
            </w:pPr>
            <w:r>
              <w:rPr/>
              <w:t> </w:t>
            </w:r>
          </w:p>
        </w:tc>
        <w:tc>
          <w:tcPr>
            <w:tcW w:w="410" w:type="dxa"/>
            <w:tcBorders/>
            <w:shd w:fill="0D3F64" w:val="clear"/>
            <w:vAlign w:val="center"/>
          </w:tcPr>
          <w:p>
            <w:pPr>
              <w:pStyle w:val="TableContents"/>
              <w:bidi w:val="0"/>
              <w:spacing w:before="20" w:after="283"/>
              <w:ind w:left="20" w:right="0" w:hanging="0"/>
              <w:jc w:val="left"/>
              <w:rPr>
                <w:rFonts w:ascii="Arial;Helvetica;sans-serif" w:hAnsi="Arial;Helvetica;sans-serif"/>
                <w:b/>
                <w:color w:val="FFFFFF"/>
                <w:sz w:val="16"/>
              </w:rPr>
            </w:pPr>
            <w:r>
              <w:rPr>
                <w:rFonts w:ascii="Arial;Helvetica;sans-serif" w:hAnsi="Arial;Helvetica;sans-serif"/>
                <w:b/>
                <w:color w:val="FFFFFF"/>
                <w:sz w:val="16"/>
              </w:rPr>
              <w:t>Year</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806"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Year End Fair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Value of Equity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Awards Granted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in the Year</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118"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Year over Year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Change in Fair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Value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Outstanding and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Unvested Equity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Awards at FYE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Granted in Prior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Years</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794"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Fair Value as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Vesting Date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Equity Awards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Granted and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Vested in the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Year</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995"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Change in Fair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Value (from the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end of the Prior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Year) of Equity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Awards Granted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in Prior Years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that Vested in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the Year</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985"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Fair Value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at the End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of the Prior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Year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Equity Awards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that Failed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to Meet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Vesting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Conditions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in the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Year</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258"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Value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Dividends or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other Earnings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Paid on Stock or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Option Awards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not Otherwise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Reflected in Fair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Value or Total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in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the Summary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Table for the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Year</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056"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Adjusted Value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of Equity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Awards</w:t>
            </w:r>
          </w:p>
        </w:tc>
        <w:tc>
          <w:tcPr>
            <w:tcW w:w="218" w:type="dxa"/>
            <w:tcBorders/>
            <w:shd w:fill="0D3F6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20" w:right="0" w:hanging="0"/>
              <w:jc w:val="left"/>
              <w:rPr>
                <w:rFonts w:ascii="Arial;Helvetica;sans-serif" w:hAnsi="Arial;Helvetica;sans-serif"/>
                <w:color w:val="4C4C4C"/>
                <w:sz w:val="16"/>
              </w:rPr>
            </w:pPr>
            <w:r>
              <w:rPr>
                <w:rFonts w:ascii="Arial;Helvetica;sans-serif" w:hAnsi="Arial;Helvetica;sans-serif"/>
                <w:color w:val="4C4C4C"/>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6" w:type="dxa"/>
            <w:tcBorders/>
            <w:vAlign w:val="center"/>
          </w:tcPr>
          <w:p>
            <w:pPr>
              <w:pStyle w:val="TableContents"/>
              <w:bidi w:val="0"/>
              <w:spacing w:before="0" w:after="283"/>
              <w:ind w:left="469" w:right="0" w:hanging="0"/>
              <w:jc w:val="left"/>
              <w:rPr>
                <w:color w:val="4C4C4C"/>
              </w:rPr>
            </w:pPr>
            <w:r>
              <w:rPr>
                <w:color w:val="4C4C4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8" w:type="dxa"/>
            <w:tcBorders/>
            <w:vAlign w:val="center"/>
          </w:tcPr>
          <w:p>
            <w:pPr>
              <w:pStyle w:val="TableContents"/>
              <w:bidi w:val="0"/>
              <w:spacing w:before="0" w:after="283"/>
              <w:ind w:left="126" w:right="0" w:hanging="0"/>
              <w:jc w:val="left"/>
              <w:rPr>
                <w:rFonts w:ascii="Arial;Helvetica;sans-serif" w:hAnsi="Arial;Helvetica;sans-serif"/>
                <w:color w:val="4C4C4C"/>
                <w:sz w:val="16"/>
              </w:rPr>
            </w:pPr>
            <w:r>
              <w:rPr>
                <w:rFonts w:ascii="Arial;Helvetica;sans-serif" w:hAnsi="Arial;Helvetica;sans-serif"/>
                <w:color w:val="4C4C4C"/>
                <w:sz w:val="16"/>
              </w:rPr>
              <w:t>$(12,580,368)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4" w:type="dxa"/>
            <w:tcBorders/>
            <w:vAlign w:val="center"/>
          </w:tcPr>
          <w:p>
            <w:pPr>
              <w:pStyle w:val="TableContents"/>
              <w:bidi w:val="0"/>
              <w:spacing w:before="0" w:after="283"/>
              <w:ind w:left="437" w:right="0" w:hanging="0"/>
              <w:jc w:val="left"/>
              <w:rPr>
                <w:color w:val="4C4C4C"/>
              </w:rPr>
            </w:pPr>
            <w:r>
              <w:rPr>
                <w:color w:val="4C4C4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54" w:right="0" w:hanging="0"/>
              <w:jc w:val="left"/>
              <w:rPr>
                <w:rFonts w:ascii="Arial;Helvetica;sans-serif" w:hAnsi="Arial;Helvetica;sans-serif"/>
                <w:color w:val="4C4C4C"/>
                <w:sz w:val="16"/>
              </w:rPr>
            </w:pPr>
            <w:r>
              <w:rPr>
                <w:rFonts w:ascii="Arial;Helvetica;sans-serif" w:hAnsi="Arial;Helvetica;sans-serif"/>
                <w:color w:val="4C4C4C"/>
                <w:sz w:val="16"/>
              </w:rPr>
              <w:t>$(1,530,725)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5" w:type="dxa"/>
            <w:tcBorders/>
            <w:vAlign w:val="center"/>
          </w:tcPr>
          <w:p>
            <w:pPr>
              <w:pStyle w:val="TableContents"/>
              <w:bidi w:val="0"/>
              <w:spacing w:before="0" w:after="283"/>
              <w:ind w:left="406" w:right="0" w:hanging="0"/>
              <w:jc w:val="left"/>
              <w:rPr>
                <w:color w:val="4C4C4C"/>
              </w:rPr>
            </w:pPr>
            <w:r>
              <w:rPr>
                <w:color w:val="4C4C4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8" w:type="dxa"/>
            <w:tcBorders/>
            <w:vAlign w:val="center"/>
          </w:tcPr>
          <w:p>
            <w:pPr>
              <w:pStyle w:val="TableContents"/>
              <w:bidi w:val="0"/>
              <w:spacing w:before="0" w:after="283"/>
              <w:ind w:left="489" w:right="0" w:hanging="0"/>
              <w:jc w:val="left"/>
              <w:rPr>
                <w:color w:val="4C4C4C"/>
              </w:rPr>
            </w:pPr>
            <w:r>
              <w:rPr>
                <w:color w:val="4C4C4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6" w:type="dxa"/>
            <w:tcBorders/>
            <w:vAlign w:val="center"/>
          </w:tcPr>
          <w:p>
            <w:pPr>
              <w:pStyle w:val="TableContents"/>
              <w:bidi w:val="0"/>
              <w:spacing w:before="0" w:after="283"/>
              <w:ind w:left="77" w:right="0" w:hanging="0"/>
              <w:jc w:val="left"/>
              <w:rPr>
                <w:rFonts w:ascii="Arial;Helvetica;sans-serif" w:hAnsi="Arial;Helvetica;sans-serif"/>
                <w:color w:val="4C4C4C"/>
                <w:sz w:val="16"/>
              </w:rPr>
            </w:pPr>
            <w:r>
              <w:rPr>
                <w:rFonts w:ascii="Arial;Helvetica;sans-serif" w:hAnsi="Arial;Helvetica;sans-serif"/>
                <w:color w:val="4C4C4C"/>
                <w:sz w:val="16"/>
              </w:rPr>
              <w:t>$(14,111,093)</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6" w:type="dxa"/>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r>
    </w:tbl>
    <w:p>
      <w:pPr>
        <w:pStyle w:val="TextBody"/>
        <w:bidi w:val="0"/>
        <w:spacing w:before="60" w:after="283"/>
        <w:ind w:left="400" w:right="0" w:hanging="0"/>
        <w:jc w:val="both"/>
        <w:rPr>
          <w:rFonts w:ascii="Arial;Helvetica;sans-serif" w:hAnsi="Arial;Helvetica;sans-serif"/>
          <w:color w:val="000000"/>
          <w:sz w:val="16"/>
        </w:rPr>
      </w:pPr>
      <w:r>
        <w:rPr>
          <w:rFonts w:ascii="Arial;Helvetica;sans-serif" w:hAnsi="Arial;Helvetica;sans-serif"/>
          <w:color w:val="000000"/>
          <w:sz w:val="16"/>
        </w:rPr>
        <w:t>For time-based stock options, the fair value or change in fair value, as applicable, was determined using a Black-Scholes valuation model. The model references the closing stock price, in addition to the stock option’s strike price, expected life, volatility, expected dividend yield, and risk-free rate as of the measurement date. For non-market-conditioned performance-based stock options, a similar valuation model was used, and the probability of performance was taken into account as of the measurement date. For performance-based stock options, the fair value or change in fair value, as applicable, was determined using a Monte Carlo simulation of the measurement date.</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10065"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This column represents the average of the amounts reported for the Company’s named executive officers (NEOs) as a group (excluding Mr. Wang) in the “Total” column of the Summary Compensation Table in each applicable year. Please refer to the Summary Compensation Table in the Company’s Proxy Statement for the applicable year. The names of each of the NEOs (excluding Mr. Wang) included for purposes of calculating the average amounts in each applicable year are as follows: for 2024, 2023, 2022, 2021 and 2020, Mark McKechnie, Jian Wang, Lisa Feng, and Fuping Chen. Due to an administrative error, the amount reported for 2023 in last year’s proxy statement was overstated by approximately $972,346 and has been corrected.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4</w:t>
            </w:r>
          </w:p>
        </w:tc>
        <w:tc>
          <w:tcPr>
            <w:tcW w:w="10065"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This column represents the average amount of “compensation actually paid” to the NEOs as a group (excluding Mr. Wang), as computed in accordance with Item 402(v) of Regulation S-K. The dollar amounts do not reflect the actual average amount of compensation earned by or paid to the NEOs as a group (excluding Mr. Wang) during the applicable year. In accordance with the requirements of Item 402(v) of Regulation S-K, the following adjustments were made to average total compensation for the NEOs as a group (excluding Mr. Wang) for 2024 to determine the “compensation actually paid”, using the same adjustment methodology described above in Note 2(c):</w:t>
            </w:r>
          </w:p>
        </w:tc>
      </w:tr>
    </w:tbl>
    <w:tbl>
      <w:tblPr>
        <w:tblW w:w="7560" w:type="dxa"/>
        <w:jc w:val="left"/>
        <w:tblInd w:w="0" w:type="dxa"/>
        <w:tblLayout w:type="fixed"/>
        <w:tblCellMar>
          <w:top w:w="0" w:type="dxa"/>
          <w:left w:w="0" w:type="dxa"/>
          <w:bottom w:w="0" w:type="dxa"/>
          <w:right w:w="0" w:type="dxa"/>
        </w:tblCellMar>
      </w:tblPr>
      <w:tblGrid>
        <w:gridCol w:w="185"/>
        <w:gridCol w:w="470"/>
        <w:gridCol w:w="170"/>
        <w:gridCol w:w="170"/>
        <w:gridCol w:w="1265"/>
        <w:gridCol w:w="170"/>
        <w:gridCol w:w="170"/>
        <w:gridCol w:w="1430"/>
        <w:gridCol w:w="170"/>
        <w:gridCol w:w="170"/>
        <w:gridCol w:w="1295"/>
        <w:gridCol w:w="170"/>
        <w:gridCol w:w="170"/>
        <w:gridCol w:w="1340"/>
        <w:gridCol w:w="215"/>
      </w:tblGrid>
      <w:tr>
        <w:trPr/>
        <w:tc>
          <w:tcPr>
            <w:tcW w:w="185" w:type="dxa"/>
            <w:tcBorders/>
            <w:shd w:fill="0D3F64" w:val="clear"/>
            <w:vAlign w:val="center"/>
          </w:tcPr>
          <w:p>
            <w:pPr>
              <w:pStyle w:val="TableContents"/>
              <w:bidi w:val="0"/>
              <w:spacing w:before="0" w:after="0"/>
              <w:jc w:val="left"/>
              <w:rPr/>
            </w:pPr>
            <w:r>
              <w:rPr/>
              <w:t> </w:t>
            </w:r>
          </w:p>
        </w:tc>
        <w:tc>
          <w:tcPr>
            <w:tcW w:w="4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265"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43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295"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340" w:type="dxa"/>
            <w:tcBorders/>
            <w:shd w:fill="0D3F64" w:val="clear"/>
            <w:vAlign w:val="center"/>
          </w:tcPr>
          <w:p>
            <w:pPr>
              <w:pStyle w:val="TableContents"/>
              <w:bidi w:val="0"/>
              <w:spacing w:before="0" w:after="0"/>
              <w:jc w:val="left"/>
              <w:rPr/>
            </w:pPr>
            <w:r>
              <w:rPr/>
              <w:t> </w:t>
            </w:r>
          </w:p>
        </w:tc>
        <w:tc>
          <w:tcPr>
            <w:tcW w:w="215" w:type="dxa"/>
            <w:tcBorders/>
            <w:shd w:fill="0D3F64" w:val="clear"/>
            <w:vAlign w:val="center"/>
          </w:tcPr>
          <w:p>
            <w:pPr>
              <w:pStyle w:val="TableContents"/>
              <w:bidi w:val="0"/>
              <w:spacing w:before="0" w:after="0"/>
              <w:jc w:val="left"/>
              <w:rPr/>
            </w:pPr>
            <w:r>
              <w:rPr/>
              <w:t> </w:t>
            </w:r>
          </w:p>
        </w:tc>
      </w:tr>
      <w:tr>
        <w:trPr/>
        <w:tc>
          <w:tcPr>
            <w:tcW w:w="185" w:type="dxa"/>
            <w:tcBorders/>
            <w:shd w:fill="0D3F64" w:val="clear"/>
            <w:vAlign w:val="center"/>
          </w:tcPr>
          <w:p>
            <w:pPr>
              <w:pStyle w:val="TableContents"/>
              <w:bidi w:val="0"/>
              <w:spacing w:before="0" w:after="0"/>
              <w:jc w:val="left"/>
              <w:rPr/>
            </w:pPr>
            <w:r>
              <w:rPr/>
              <w:t> </w:t>
            </w:r>
          </w:p>
        </w:tc>
        <w:tc>
          <w:tcPr>
            <w:tcW w:w="470" w:type="dxa"/>
            <w:tcBorders/>
            <w:shd w:fill="0D3F64" w:val="clear"/>
            <w:vAlign w:val="center"/>
          </w:tcPr>
          <w:p>
            <w:pPr>
              <w:pStyle w:val="TableContents"/>
              <w:bidi w:val="0"/>
              <w:spacing w:before="20" w:after="283"/>
              <w:ind w:left="20" w:right="0" w:hanging="0"/>
              <w:jc w:val="left"/>
              <w:rPr>
                <w:rFonts w:ascii="Arial;Helvetica;sans-serif" w:hAnsi="Arial;Helvetica;sans-serif"/>
                <w:b/>
                <w:color w:val="FFFFFF"/>
                <w:sz w:val="16"/>
              </w:rPr>
            </w:pPr>
            <w:r>
              <w:rPr>
                <w:rFonts w:ascii="Arial;Helvetica;sans-serif" w:hAnsi="Arial;Helvetica;sans-serif"/>
                <w:b/>
                <w:color w:val="FFFFFF"/>
                <w:sz w:val="16"/>
              </w:rPr>
              <w:t>Year</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265"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Average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Reported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Summary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Table Total for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Non-PEO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NEOs(a)</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430"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Average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Reported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Summary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Table Value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Non-PEO NEO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Equity Awards(b)</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295"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Average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Non-PEO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NEO Adjusted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Value of Equity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Awards(c)</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340"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Average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Actually Paid to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Non-PEO NEOs</w:t>
            </w:r>
          </w:p>
        </w:tc>
        <w:tc>
          <w:tcPr>
            <w:tcW w:w="215" w:type="dxa"/>
            <w:tcBorders/>
            <w:shd w:fill="0D3F6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30" w:right="0" w:hanging="0"/>
              <w:jc w:val="left"/>
              <w:rPr>
                <w:rFonts w:ascii="Arial;Helvetica;sans-serif" w:hAnsi="Arial;Helvetica;sans-serif"/>
                <w:color w:val="4C4C4C"/>
                <w:sz w:val="20"/>
              </w:rPr>
            </w:pPr>
            <w:r>
              <w:rPr>
                <w:rFonts w:ascii="Arial;Helvetica;sans-serif" w:hAnsi="Arial;Helvetica;sans-serif"/>
                <w:color w:val="4C4C4C"/>
                <w:sz w:val="20"/>
              </w:rPr>
              <w:t>$</w:t>
            </w:r>
            <w:r>
              <w:rPr>
                <w:rFonts w:ascii="Arial;Helvetica;sans-serif" w:hAnsi="Arial;Helvetica;sans-serif"/>
                <w:color w:val="4C4C4C"/>
                <w:sz w:val="20"/>
              </w:rPr>
              <w:t>357,974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88" w:right="0" w:hanging="0"/>
              <w:jc w:val="left"/>
              <w:rPr>
                <w:color w:val="4C4C4C"/>
              </w:rPr>
            </w:pPr>
            <w:r>
              <w:rPr>
                <w:color w:val="4C4C4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$(1,296,396)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67" w:right="0" w:hanging="0"/>
              <w:jc w:val="left"/>
              <w:rPr>
                <w:rFonts w:ascii="Arial;Helvetica;sans-serif" w:hAnsi="Arial;Helvetica;sans-serif"/>
                <w:color w:val="4C4C4C"/>
                <w:sz w:val="20"/>
              </w:rPr>
            </w:pPr>
            <w:r>
              <w:rPr>
                <w:rFonts w:ascii="Arial;Helvetica;sans-serif" w:hAnsi="Arial;Helvetica;sans-serif"/>
                <w:color w:val="4C4C4C"/>
                <w:sz w:val="20"/>
              </w:rPr>
              <w:t>$</w:t>
            </w:r>
            <w:r>
              <w:rPr>
                <w:rFonts w:ascii="Arial;Helvetica;sans-serif" w:hAnsi="Arial;Helvetica;sans-serif"/>
                <w:color w:val="4C4C4C"/>
                <w:sz w:val="20"/>
              </w:rPr>
              <w:t>(938,422)</w:t>
            </w:r>
          </w:p>
        </w:tc>
        <w:tc>
          <w:tcPr>
            <w:tcW w:w="215" w:type="dxa"/>
            <w:tcBorders/>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470" w:type="dxa"/>
            <w:tcBorders/>
            <w:shd w:fill="BAE2F8" w:val="clear"/>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2023</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265" w:type="dxa"/>
            <w:tcBorders/>
            <w:shd w:fill="BAE2F8" w:val="clear"/>
            <w:vAlign w:val="center"/>
          </w:tcPr>
          <w:p>
            <w:pPr>
              <w:pStyle w:val="TableContents"/>
              <w:bidi w:val="0"/>
              <w:spacing w:before="0" w:after="283"/>
              <w:ind w:left="30" w:right="0" w:hanging="0"/>
              <w:jc w:val="left"/>
              <w:rPr>
                <w:rFonts w:ascii="Arial;Helvetica;sans-serif" w:hAnsi="Arial;Helvetica;sans-serif"/>
                <w:color w:val="4C4C4C"/>
                <w:sz w:val="20"/>
              </w:rPr>
            </w:pPr>
            <w:r>
              <w:rPr>
                <w:rFonts w:ascii="Arial;Helvetica;sans-serif" w:hAnsi="Arial;Helvetica;sans-serif"/>
                <w:color w:val="4C4C4C"/>
                <w:sz w:val="20"/>
              </w:rPr>
              <w:t>$5,041,649</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430" w:type="dxa"/>
            <w:tcBorders/>
            <w:shd w:fill="BAE2F8" w:val="clear"/>
            <w:vAlign w:val="center"/>
          </w:tcPr>
          <w:p>
            <w:pPr>
              <w:pStyle w:val="TableContents"/>
              <w:bidi w:val="0"/>
              <w:spacing w:before="0" w:after="283"/>
              <w:ind w:left="88" w:right="0" w:hanging="0"/>
              <w:jc w:val="left"/>
              <w:rPr>
                <w:rFonts w:ascii="Arial;Helvetica;sans-serif" w:hAnsi="Arial;Helvetica;sans-serif"/>
                <w:color w:val="4C4C4C"/>
                <w:sz w:val="20"/>
              </w:rPr>
            </w:pPr>
            <w:r>
              <w:rPr>
                <w:rFonts w:ascii="Arial;Helvetica;sans-serif" w:hAnsi="Arial;Helvetica;sans-serif"/>
                <w:color w:val="4C4C4C"/>
                <w:sz w:val="20"/>
              </w:rPr>
              <w:t>$(4,713,894)</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295" w:type="dxa"/>
            <w:tcBorders/>
            <w:shd w:fill="BAE2F8" w:val="clear"/>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w:t>
            </w:r>
            <w:r>
              <w:rPr>
                <w:rFonts w:ascii="Arial;Helvetica;sans-serif" w:hAnsi="Arial;Helvetica;sans-serif"/>
                <w:color w:val="4C4C4C"/>
                <w:sz w:val="20"/>
              </w:rPr>
              <w:t>6,444,606</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340" w:type="dxa"/>
            <w:tcBorders/>
            <w:shd w:fill="BAE2F8" w:val="clear"/>
            <w:vAlign w:val="center"/>
          </w:tcPr>
          <w:p>
            <w:pPr>
              <w:pStyle w:val="TableContents"/>
              <w:bidi w:val="0"/>
              <w:spacing w:before="0" w:after="283"/>
              <w:ind w:left="67" w:right="0" w:hanging="0"/>
              <w:jc w:val="left"/>
              <w:rPr>
                <w:rFonts w:ascii="Arial;Helvetica;sans-serif" w:hAnsi="Arial;Helvetica;sans-serif"/>
                <w:color w:val="4C4C4C"/>
                <w:sz w:val="20"/>
              </w:rPr>
            </w:pPr>
            <w:r>
              <w:rPr>
                <w:rFonts w:ascii="Arial;Helvetica;sans-serif" w:hAnsi="Arial;Helvetica;sans-serif"/>
                <w:color w:val="4C4C4C"/>
                <w:sz w:val="20"/>
              </w:rPr>
              <w:t>$6,772,362</w:t>
            </w:r>
          </w:p>
        </w:tc>
        <w:tc>
          <w:tcPr>
            <w:tcW w:w="215" w:type="dxa"/>
            <w:tcBorders/>
            <w:shd w:fill="BAE2F8"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(a)</w:t>
            </w:r>
          </w:p>
        </w:tc>
        <w:tc>
          <w:tcPr>
            <w:tcW w:w="9979"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This column represents the average of the amounts reported for the Company’s named executive officers (NEOs) as a group (excluding Mr. Wang) in the “Total” column of the Summary Compensation Table in 2024. Please refer to the Summary Compensation Table in this Proxy Statement. </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(b)</w:t>
            </w:r>
          </w:p>
        </w:tc>
        <w:tc>
          <w:tcPr>
            <w:tcW w:w="9989"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This column represents the average of the total amounts reported for the NEOs as a group (excluding Mr. Wang) in the “Option Awards” column in the Summary Compensation Table in 2024. Please refer to the Summary Compensation Table in this Proxy Statement. The amount in this column is replaced with the amount reported in the Average Non-PEO NEO Adjusted Value of Equity Awards column in order to arrive at compensation actually paid for 2024.</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(c)</w:t>
            </w:r>
          </w:p>
        </w:tc>
        <w:tc>
          <w:tcPr>
            <w:tcW w:w="9989"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This column represents an adjustment to the average of the amounts reported for the NEOs as a group (excluding Mr. Wang) in the “Option Awards” column in the Summary Compensation Table in 2024 determined using the same methodology described above in Note 2(c) for each NEO (excluding Mr. Wang), which is then averaged to determine the average “compensation actually paid” to the NEOs as a group (excluding Mr. Wang) for 2024.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42</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4" w:name="ny20042784x1_def14a_115-pvp_pg3"/>
        <w:bookmarkEnd w:id="84"/>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left"/>
        <w:rPr>
          <w:rFonts w:ascii="Arial;Helvetica;sans-serif" w:hAnsi="Arial;Helvetica;sans-serif"/>
          <w:color w:val="000000"/>
          <w:sz w:val="16"/>
        </w:rPr>
      </w:pPr>
      <w:r>
        <w:rPr>
          <w:rFonts w:ascii="Arial;Helvetica;sans-serif" w:hAnsi="Arial;Helvetica;sans-serif"/>
          <w:color w:val="000000"/>
          <w:sz w:val="16"/>
        </w:rPr>
        <w:t xml:space="preserve">The amounts added or subtracted to determine the adjusted average amount for our non-PEO NEOs are as follows: </w:t>
      </w:r>
    </w:p>
    <w:tbl>
      <w:tblPr>
        <w:tblW w:w="10205" w:type="dxa"/>
        <w:jc w:val="left"/>
        <w:tblInd w:w="0" w:type="dxa"/>
        <w:tblLayout w:type="fixed"/>
        <w:tblCellMar>
          <w:top w:w="0" w:type="dxa"/>
          <w:left w:w="0" w:type="dxa"/>
          <w:bottom w:w="0" w:type="dxa"/>
          <w:right w:w="0" w:type="dxa"/>
        </w:tblCellMar>
      </w:tblPr>
      <w:tblGrid>
        <w:gridCol w:w="185"/>
        <w:gridCol w:w="410"/>
        <w:gridCol w:w="170"/>
        <w:gridCol w:w="170"/>
        <w:gridCol w:w="953"/>
        <w:gridCol w:w="170"/>
        <w:gridCol w:w="170"/>
        <w:gridCol w:w="1124"/>
        <w:gridCol w:w="170"/>
        <w:gridCol w:w="170"/>
        <w:gridCol w:w="817"/>
        <w:gridCol w:w="170"/>
        <w:gridCol w:w="170"/>
        <w:gridCol w:w="907"/>
        <w:gridCol w:w="170"/>
        <w:gridCol w:w="170"/>
        <w:gridCol w:w="991"/>
        <w:gridCol w:w="170"/>
        <w:gridCol w:w="170"/>
        <w:gridCol w:w="1289"/>
        <w:gridCol w:w="170"/>
        <w:gridCol w:w="170"/>
        <w:gridCol w:w="930"/>
        <w:gridCol w:w="219"/>
      </w:tblGrid>
      <w:tr>
        <w:trPr/>
        <w:tc>
          <w:tcPr>
            <w:tcW w:w="185" w:type="dxa"/>
            <w:tcBorders/>
            <w:shd w:fill="0D3F64" w:val="clear"/>
            <w:vAlign w:val="center"/>
          </w:tcPr>
          <w:p>
            <w:pPr>
              <w:pStyle w:val="TableContents"/>
              <w:bidi w:val="0"/>
              <w:spacing w:before="0" w:after="0"/>
              <w:jc w:val="left"/>
              <w:rPr/>
            </w:pPr>
            <w:r>
              <w:rPr/>
              <w:t> </w:t>
            </w:r>
          </w:p>
        </w:tc>
        <w:tc>
          <w:tcPr>
            <w:tcW w:w="41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953"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124"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817"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907"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991"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289"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930" w:type="dxa"/>
            <w:tcBorders/>
            <w:shd w:fill="0D3F64" w:val="clear"/>
            <w:vAlign w:val="center"/>
          </w:tcPr>
          <w:p>
            <w:pPr>
              <w:pStyle w:val="TableContents"/>
              <w:bidi w:val="0"/>
              <w:spacing w:before="0" w:after="0"/>
              <w:jc w:val="left"/>
              <w:rPr/>
            </w:pPr>
            <w:r>
              <w:rPr/>
              <w:t> </w:t>
            </w:r>
          </w:p>
        </w:tc>
        <w:tc>
          <w:tcPr>
            <w:tcW w:w="219" w:type="dxa"/>
            <w:tcBorders/>
            <w:shd w:fill="0D3F64" w:val="clear"/>
            <w:vAlign w:val="center"/>
          </w:tcPr>
          <w:p>
            <w:pPr>
              <w:pStyle w:val="TableContents"/>
              <w:bidi w:val="0"/>
              <w:spacing w:before="0" w:after="0"/>
              <w:jc w:val="left"/>
              <w:rPr/>
            </w:pPr>
            <w:r>
              <w:rPr/>
              <w:t> </w:t>
            </w:r>
          </w:p>
        </w:tc>
      </w:tr>
      <w:tr>
        <w:trPr/>
        <w:tc>
          <w:tcPr>
            <w:tcW w:w="185" w:type="dxa"/>
            <w:tcBorders/>
            <w:shd w:fill="0D3F64" w:val="clear"/>
            <w:vAlign w:val="center"/>
          </w:tcPr>
          <w:p>
            <w:pPr>
              <w:pStyle w:val="TableContents"/>
              <w:bidi w:val="0"/>
              <w:spacing w:before="0" w:after="0"/>
              <w:jc w:val="left"/>
              <w:rPr/>
            </w:pPr>
            <w:r>
              <w:rPr/>
              <w:t> </w:t>
            </w:r>
          </w:p>
        </w:tc>
        <w:tc>
          <w:tcPr>
            <w:tcW w:w="410" w:type="dxa"/>
            <w:tcBorders/>
            <w:shd w:fill="0D3F64" w:val="clear"/>
            <w:vAlign w:val="center"/>
          </w:tcPr>
          <w:p>
            <w:pPr>
              <w:pStyle w:val="TableContents"/>
              <w:bidi w:val="0"/>
              <w:spacing w:before="20" w:after="283"/>
              <w:ind w:left="20" w:right="0" w:hanging="0"/>
              <w:jc w:val="left"/>
              <w:rPr>
                <w:rFonts w:ascii="Arial;Helvetica;sans-serif" w:hAnsi="Arial;Helvetica;sans-serif"/>
                <w:b/>
                <w:color w:val="FFFFFF"/>
                <w:sz w:val="16"/>
              </w:rPr>
            </w:pPr>
            <w:r>
              <w:rPr>
                <w:rFonts w:ascii="Arial;Helvetica;sans-serif" w:hAnsi="Arial;Helvetica;sans-serif"/>
                <w:b/>
                <w:color w:val="FFFFFF"/>
                <w:sz w:val="16"/>
              </w:rPr>
              <w:t>Year</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953"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Average Year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End Fair Value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of Equity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Awards Granted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in the Year</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124"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Average Year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over Year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Change in Fair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Value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Outstanding and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Unvested Equity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Awards at FYE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Granted in Prior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Years</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817"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Average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Fair Value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as of Vesting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Date of Equity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Awards Granted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in the Year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and Vested in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the Year</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907"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Average Change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in Fair Value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(from the end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of the Prior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Year)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Equity Awards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Granted in Prior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Years that Vested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in the Year</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991"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Average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Fair Value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at the End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of the Prior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Year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Equity Awards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that Failed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to Meet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Vesting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Conditions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in the Year</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289"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Average Value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of Dividends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or other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Earnings Paid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on Stock or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Option Awards not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Otherwise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Reflected in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Fair Value or Total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in the Summary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Table for the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Year</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930"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Adjusted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Average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Value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Equity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Awards</w:t>
            </w:r>
          </w:p>
        </w:tc>
        <w:tc>
          <w:tcPr>
            <w:tcW w:w="219" w:type="dxa"/>
            <w:tcBorders/>
            <w:shd w:fill="0D3F6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20" w:right="0" w:hanging="0"/>
              <w:jc w:val="left"/>
              <w:rPr>
                <w:rFonts w:ascii="Arial;Helvetica;sans-serif" w:hAnsi="Arial;Helvetica;sans-serif"/>
                <w:color w:val="4C4C4C"/>
                <w:sz w:val="16"/>
              </w:rPr>
            </w:pPr>
            <w:r>
              <w:rPr>
                <w:rFonts w:ascii="Arial;Helvetica;sans-serif" w:hAnsi="Arial;Helvetica;sans-serif"/>
                <w:color w:val="4C4C4C"/>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178" w:right="0" w:hanging="0"/>
              <w:jc w:val="left"/>
              <w:rPr>
                <w:color w:val="4C4C4C"/>
              </w:rPr>
            </w:pPr>
            <w:r>
              <w:rPr>
                <w:color w:val="4C4C4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4" w:type="dxa"/>
            <w:tcBorders/>
            <w:vAlign w:val="center"/>
          </w:tcPr>
          <w:p>
            <w:pPr>
              <w:pStyle w:val="TableContents"/>
              <w:bidi w:val="0"/>
              <w:spacing w:before="0" w:after="283"/>
              <w:ind w:left="226" w:right="0" w:hanging="0"/>
              <w:jc w:val="left"/>
              <w:rPr>
                <w:rFonts w:ascii="Arial;Helvetica;sans-serif" w:hAnsi="Arial;Helvetica;sans-serif"/>
                <w:color w:val="4C4C4C"/>
                <w:sz w:val="16"/>
              </w:rPr>
            </w:pPr>
            <w:r>
              <w:rPr>
                <w:rFonts w:ascii="Arial;Helvetica;sans-serif" w:hAnsi="Arial;Helvetica;sans-serif"/>
                <w:color w:val="4C4C4C"/>
                <w:sz w:val="16"/>
              </w:rPr>
              <w:t>$(873,175)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7" w:type="dxa"/>
            <w:tcBorders/>
            <w:vAlign w:val="center"/>
          </w:tcPr>
          <w:p>
            <w:pPr>
              <w:pStyle w:val="TableContents"/>
              <w:bidi w:val="0"/>
              <w:spacing w:before="0" w:after="283"/>
              <w:ind w:left="469" w:right="0" w:hanging="0"/>
              <w:jc w:val="left"/>
              <w:rPr>
                <w:color w:val="4C4C4C"/>
              </w:rPr>
            </w:pPr>
            <w:r>
              <w:rPr>
                <w:color w:val="4C4C4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7" w:type="dxa"/>
            <w:tcBorders/>
            <w:vAlign w:val="center"/>
          </w:tcPr>
          <w:p>
            <w:pPr>
              <w:pStyle w:val="TableContents"/>
              <w:bidi w:val="0"/>
              <w:spacing w:before="0" w:after="283"/>
              <w:ind w:left="258" w:right="0" w:hanging="0"/>
              <w:jc w:val="left"/>
              <w:rPr>
                <w:rFonts w:ascii="Arial;Helvetica;sans-serif" w:hAnsi="Arial;Helvetica;sans-serif"/>
                <w:color w:val="4C4C4C"/>
                <w:sz w:val="16"/>
              </w:rPr>
            </w:pPr>
            <w:r>
              <w:rPr>
                <w:rFonts w:ascii="Arial;Helvetica;sans-serif" w:hAnsi="Arial;Helvetica;sans-serif"/>
                <w:color w:val="4C4C4C"/>
                <w:sz w:val="16"/>
              </w:rPr>
              <w:t>$(423,221)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1" w:type="dxa"/>
            <w:tcBorders/>
            <w:vAlign w:val="center"/>
          </w:tcPr>
          <w:p>
            <w:pPr>
              <w:pStyle w:val="TableContents"/>
              <w:bidi w:val="0"/>
              <w:spacing w:before="0" w:after="283"/>
              <w:ind w:left="406" w:right="0" w:hanging="0"/>
              <w:jc w:val="left"/>
              <w:rPr>
                <w:color w:val="4C4C4C"/>
              </w:rPr>
            </w:pPr>
            <w:r>
              <w:rPr>
                <w:color w:val="4C4C4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9" w:type="dxa"/>
            <w:tcBorders/>
            <w:vAlign w:val="center"/>
          </w:tcPr>
          <w:p>
            <w:pPr>
              <w:pStyle w:val="TableContents"/>
              <w:bidi w:val="0"/>
              <w:spacing w:before="0" w:after="283"/>
              <w:ind w:left="558" w:right="0" w:hanging="0"/>
              <w:jc w:val="left"/>
              <w:rPr>
                <w:color w:val="4C4C4C"/>
              </w:rPr>
            </w:pPr>
            <w:r>
              <w:rPr>
                <w:color w:val="4C4C4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0" w:type="dxa"/>
            <w:tcBorders/>
            <w:vAlign w:val="center"/>
          </w:tcPr>
          <w:p>
            <w:pPr>
              <w:pStyle w:val="TableContents"/>
              <w:bidi w:val="0"/>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$(1,296,396)</w:t>
            </w:r>
          </w:p>
        </w:tc>
        <w:tc>
          <w:tcPr>
            <w:tcW w:w="219" w:type="dxa"/>
            <w:tcBorders/>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410" w:type="dxa"/>
            <w:tcBorders/>
            <w:shd w:fill="BAE2F8" w:val="clear"/>
            <w:vAlign w:val="center"/>
          </w:tcPr>
          <w:p>
            <w:pPr>
              <w:pStyle w:val="TableContents"/>
              <w:bidi w:val="0"/>
              <w:spacing w:before="0" w:after="283"/>
              <w:ind w:left="20" w:right="0" w:hanging="0"/>
              <w:jc w:val="left"/>
              <w:rPr>
                <w:rFonts w:ascii="Arial;Helvetica;sans-serif" w:hAnsi="Arial;Helvetica;sans-serif"/>
                <w:color w:val="4C4C4C"/>
                <w:sz w:val="16"/>
              </w:rPr>
            </w:pPr>
            <w:r>
              <w:rPr>
                <w:rFonts w:ascii="Arial;Helvetica;sans-serif" w:hAnsi="Arial;Helvetica;sans-serif"/>
                <w:color w:val="4C4C4C"/>
                <w:sz w:val="16"/>
              </w:rPr>
              <w:t>2023</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953" w:type="dxa"/>
            <w:tcBorders/>
            <w:shd w:fill="BAE2F8" w:val="clear"/>
            <w:vAlign w:val="center"/>
          </w:tcPr>
          <w:p>
            <w:pPr>
              <w:pStyle w:val="TableContents"/>
              <w:bidi w:val="0"/>
              <w:spacing w:before="0" w:after="283"/>
              <w:ind w:left="178" w:right="0" w:hanging="0"/>
              <w:jc w:val="left"/>
              <w:rPr>
                <w:rFonts w:ascii="Arial;Helvetica;sans-serif" w:hAnsi="Arial;Helvetica;sans-serif"/>
                <w:color w:val="4C4C4C"/>
                <w:sz w:val="16"/>
              </w:rPr>
            </w:pPr>
            <w:r>
              <w:rPr>
                <w:rFonts w:ascii="Arial;Helvetica;sans-serif" w:hAnsi="Arial;Helvetica;sans-serif"/>
                <w:color w:val="4C4C4C"/>
                <w:sz w:val="16"/>
              </w:rPr>
              <w:t>$5,929,406</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124" w:type="dxa"/>
            <w:tcBorders/>
            <w:shd w:fill="BAE2F8" w:val="clear"/>
            <w:vAlign w:val="center"/>
          </w:tcPr>
          <w:p>
            <w:pPr>
              <w:pStyle w:val="TableContents"/>
              <w:bidi w:val="0"/>
              <w:spacing w:before="0" w:after="283"/>
              <w:ind w:left="226" w:right="0" w:hanging="0"/>
              <w:jc w:val="left"/>
              <w:rPr>
                <w:rFonts w:ascii="Arial;Helvetica;sans-serif" w:hAnsi="Arial;Helvetica;sans-serif"/>
                <w:color w:val="4C4C4C"/>
                <w:sz w:val="16"/>
              </w:rPr>
            </w:pPr>
            <w:r>
              <w:rPr>
                <w:rFonts w:ascii="Arial;Helvetica;sans-serif" w:hAnsi="Arial;Helvetica;sans-serif"/>
                <w:color w:val="4C4C4C"/>
                <w:sz w:val="16"/>
              </w:rPr>
              <w:t>$</w:t>
            </w:r>
            <w:r>
              <w:rPr>
                <w:rFonts w:ascii="Arial;Helvetica;sans-serif" w:hAnsi="Arial;Helvetica;sans-serif"/>
                <w:color w:val="4C4C4C"/>
                <w:sz w:val="16"/>
              </w:rPr>
              <w:t>433,345</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817" w:type="dxa"/>
            <w:tcBorders/>
            <w:shd w:fill="BAE2F8" w:val="clear"/>
            <w:vAlign w:val="center"/>
          </w:tcPr>
          <w:p>
            <w:pPr>
              <w:pStyle w:val="TableContents"/>
              <w:bidi w:val="0"/>
              <w:spacing w:before="0" w:after="283"/>
              <w:ind w:left="469" w:right="0" w:hanging="0"/>
              <w:jc w:val="left"/>
              <w:rPr>
                <w:color w:val="4C4C4C"/>
              </w:rPr>
            </w:pPr>
            <w:r>
              <w:rPr>
                <w:color w:val="4C4C4C"/>
              </w:rPr>
              <w:t>—</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907" w:type="dxa"/>
            <w:tcBorders/>
            <w:shd w:fill="BAE2F8" w:val="clear"/>
            <w:vAlign w:val="center"/>
          </w:tcPr>
          <w:p>
            <w:pPr>
              <w:pStyle w:val="TableContents"/>
              <w:bidi w:val="0"/>
              <w:spacing w:before="0" w:after="283"/>
              <w:ind w:left="258" w:right="0" w:hanging="0"/>
              <w:jc w:val="left"/>
              <w:rPr>
                <w:rFonts w:ascii="Arial;Helvetica;sans-serif" w:hAnsi="Arial;Helvetica;sans-serif"/>
                <w:color w:val="4C4C4C"/>
                <w:sz w:val="16"/>
              </w:rPr>
            </w:pPr>
            <w:r>
              <w:rPr>
                <w:rFonts w:ascii="Arial;Helvetica;sans-serif" w:hAnsi="Arial;Helvetica;sans-serif"/>
                <w:color w:val="4C4C4C"/>
                <w:sz w:val="16"/>
              </w:rPr>
              <w:t>$</w:t>
            </w:r>
            <w:r>
              <w:rPr>
                <w:rFonts w:ascii="Arial;Helvetica;sans-serif" w:hAnsi="Arial;Helvetica;sans-serif"/>
                <w:color w:val="4C4C4C"/>
                <w:sz w:val="16"/>
              </w:rPr>
              <w:t>81,855</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991" w:type="dxa"/>
            <w:tcBorders/>
            <w:shd w:fill="BAE2F8" w:val="clear"/>
            <w:vAlign w:val="center"/>
          </w:tcPr>
          <w:p>
            <w:pPr>
              <w:pStyle w:val="TableContents"/>
              <w:bidi w:val="0"/>
              <w:spacing w:before="0" w:after="283"/>
              <w:ind w:left="406" w:right="0" w:hanging="0"/>
              <w:jc w:val="left"/>
              <w:rPr>
                <w:color w:val="4C4C4C"/>
              </w:rPr>
            </w:pPr>
            <w:r>
              <w:rPr>
                <w:color w:val="4C4C4C"/>
              </w:rPr>
              <w:t>—</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289" w:type="dxa"/>
            <w:tcBorders/>
            <w:shd w:fill="BAE2F8" w:val="clear"/>
            <w:vAlign w:val="center"/>
          </w:tcPr>
          <w:p>
            <w:pPr>
              <w:pStyle w:val="TableContents"/>
              <w:bidi w:val="0"/>
              <w:spacing w:before="0" w:after="283"/>
              <w:ind w:left="558" w:right="0" w:hanging="0"/>
              <w:jc w:val="left"/>
              <w:rPr>
                <w:color w:val="4C4C4C"/>
              </w:rPr>
            </w:pPr>
            <w:r>
              <w:rPr>
                <w:color w:val="4C4C4C"/>
              </w:rPr>
              <w:t>—</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930" w:type="dxa"/>
            <w:tcBorders/>
            <w:shd w:fill="BAE2F8" w:val="clear"/>
            <w:vAlign w:val="center"/>
          </w:tcPr>
          <w:p>
            <w:pPr>
              <w:pStyle w:val="TableContents"/>
              <w:bidi w:val="0"/>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w:t>
            </w:r>
            <w:r>
              <w:rPr>
                <w:rFonts w:ascii="Arial;Helvetica;sans-serif" w:hAnsi="Arial;Helvetica;sans-serif"/>
                <w:color w:val="4C4C4C"/>
                <w:sz w:val="16"/>
              </w:rPr>
              <w:t>6,444,606</w:t>
            </w:r>
          </w:p>
        </w:tc>
        <w:tc>
          <w:tcPr>
            <w:tcW w:w="219" w:type="dxa"/>
            <w:tcBorders/>
            <w:shd w:fill="BAE2F8"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5</w:t>
            </w:r>
          </w:p>
        </w:tc>
        <w:tc>
          <w:tcPr>
            <w:tcW w:w="10065"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This column represents cumulative Company total shareholder return (“TSR”) and is calculated by assuming that a $100 investment was made on the day prior to the first fiscal year reported and reinvesting all dividends until the last day of each reported fiscal year.</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6</w:t>
            </w:r>
          </w:p>
        </w:tc>
        <w:tc>
          <w:tcPr>
            <w:tcW w:w="10065"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This column represents cumulative peer group TSR computed in accordance with Note 5. The peer group used for this purpose is the following published industry index: the Russell 1000 index.</w:t>
            </w:r>
          </w:p>
        </w:tc>
      </w:tr>
    </w:tbl>
    <w:tbl>
      <w:tblPr>
        <w:tblW w:w="9550" w:type="dxa"/>
        <w:jc w:val="left"/>
        <w:tblInd w:w="0" w:type="dxa"/>
        <w:tblLayout w:type="fixed"/>
        <w:tblCellMar>
          <w:top w:w="0" w:type="dxa"/>
          <w:left w:w="0" w:type="dxa"/>
          <w:bottom w:w="0" w:type="dxa"/>
          <w:right w:w="0" w:type="dxa"/>
        </w:tblCellMar>
      </w:tblPr>
      <w:tblGrid>
        <w:gridCol w:w="140"/>
        <w:gridCol w:w="9410"/>
      </w:tblGrid>
      <w:tr>
        <w:trPr/>
        <w:tc>
          <w:tcPr>
            <w:tcW w:w="14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7</w:t>
            </w:r>
          </w:p>
        </w:tc>
        <w:tc>
          <w:tcPr>
            <w:tcW w:w="941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This column represents the amount of net income reflected in the Company’s audited financial statements for the applicable year.</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8</w:t>
            </w:r>
          </w:p>
        </w:tc>
        <w:tc>
          <w:tcPr>
            <w:tcW w:w="10065"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We determined Revenue to be the most important financial performance measure used to link Company performance to Compensation Actually Paid to our PEO and non-PEO NEOs in 2024. This performance measure may not have been the most important financial performance measure for years 2023, 2022, 2021 or 2020, and we may determine a different financial performance measure to be the most important financial performance measure in future years.</w:t>
            </w:r>
          </w:p>
        </w:tc>
      </w:tr>
    </w:tbl>
    <w:p>
      <w:pPr>
        <w:pStyle w:val="TextBody"/>
        <w:bidi w:val="0"/>
        <w:spacing w:before="230" w:after="283"/>
        <w:ind w:left="0" w:right="0" w:hanging="0"/>
        <w:jc w:val="left"/>
        <w:rPr>
          <w:rFonts w:ascii="Arial;Helvetica;sans-serif" w:hAnsi="Arial;Helvetica;sans-serif"/>
          <w:b/>
          <w:i/>
          <w:color w:val="0079C1"/>
          <w:sz w:val="20"/>
        </w:rPr>
      </w:pPr>
      <w:r>
        <w:rPr>
          <w:rFonts w:ascii="Arial;Helvetica;sans-serif" w:hAnsi="Arial;Helvetica;sans-serif"/>
          <w:b/>
          <w:i/>
          <w:color w:val="0079C1"/>
          <w:sz w:val="20"/>
        </w:rPr>
        <w:t>Financial Performance Measures</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As described in greater detail in the Compensation Discussion and Analysis section of this Proxy Statement, the Company’s executive compensation program reflects a pay-for-performance philosophy. The metrics that the Company uses for both our long-term and short-term incentive awards are selected based on an objective of incentivizing our NEOs to increase the value of our enterprise for our stockholders. The most important financial performance measures used by the Company to link executive compensation actually paid to the Company’s NEOs, for the most recently completed fiscal year, to the Company’s performance are as follows:</w:t>
      </w:r>
    </w:p>
    <w:tbl>
      <w:tblPr>
        <w:tblW w:w="985" w:type="dxa"/>
        <w:jc w:val="left"/>
        <w:tblInd w:w="0" w:type="dxa"/>
        <w:tblLayout w:type="fixed"/>
        <w:tblCellMar>
          <w:top w:w="0" w:type="dxa"/>
          <w:left w:w="0" w:type="dxa"/>
          <w:bottom w:w="0" w:type="dxa"/>
          <w:right w:w="0" w:type="dxa"/>
        </w:tblCellMar>
      </w:tblPr>
      <w:tblGrid>
        <w:gridCol w:w="140"/>
        <w:gridCol w:w="845"/>
      </w:tblGrid>
      <w:tr>
        <w:trPr/>
        <w:tc>
          <w:tcPr>
            <w:tcW w:w="140" w:type="dxa"/>
            <w:tcBorders/>
            <w:vAlign w:val="center"/>
          </w:tcPr>
          <w:p>
            <w:pPr>
              <w:pStyle w:val="TableContents"/>
              <w:bidi w:val="0"/>
              <w:spacing w:before="0" w:after="0"/>
              <w:jc w:val="left"/>
              <w:rPr>
                <w:color w:val="4C4C4C"/>
              </w:rPr>
            </w:pPr>
            <w:r>
              <w:rPr>
                <w:color w:val="4C4C4C"/>
              </w:rPr>
              <w:t>•</w:t>
            </w:r>
          </w:p>
        </w:tc>
        <w:tc>
          <w:tcPr>
            <w:tcW w:w="845"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Revenue</w:t>
            </w:r>
          </w:p>
        </w:tc>
      </w:tr>
    </w:tbl>
    <w:tbl>
      <w:tblPr>
        <w:tblW w:w="1705" w:type="dxa"/>
        <w:jc w:val="left"/>
        <w:tblInd w:w="0" w:type="dxa"/>
        <w:tblLayout w:type="fixed"/>
        <w:tblCellMar>
          <w:top w:w="0" w:type="dxa"/>
          <w:left w:w="0" w:type="dxa"/>
          <w:bottom w:w="0" w:type="dxa"/>
          <w:right w:w="0" w:type="dxa"/>
        </w:tblCellMar>
      </w:tblPr>
      <w:tblGrid>
        <w:gridCol w:w="140"/>
        <w:gridCol w:w="1565"/>
      </w:tblGrid>
      <w:tr>
        <w:trPr/>
        <w:tc>
          <w:tcPr>
            <w:tcW w:w="140" w:type="dxa"/>
            <w:tcBorders/>
            <w:vAlign w:val="center"/>
          </w:tcPr>
          <w:p>
            <w:pPr>
              <w:pStyle w:val="TableContents"/>
              <w:bidi w:val="0"/>
              <w:spacing w:before="0" w:after="0"/>
              <w:jc w:val="left"/>
              <w:rPr>
                <w:color w:val="4C4C4C"/>
              </w:rPr>
            </w:pPr>
            <w:r>
              <w:rPr>
                <w:color w:val="4C4C4C"/>
              </w:rPr>
              <w:t>•</w:t>
            </w:r>
          </w:p>
        </w:tc>
        <w:tc>
          <w:tcPr>
            <w:tcW w:w="1565"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Operating margin</w:t>
            </w:r>
          </w:p>
        </w:tc>
      </w:tr>
    </w:tbl>
    <w:p>
      <w:pPr>
        <w:pStyle w:val="TextBody"/>
        <w:bidi w:val="0"/>
        <w:spacing w:before="250" w:after="283"/>
        <w:ind w:left="0" w:right="0" w:hanging="0"/>
        <w:jc w:val="left"/>
        <w:rPr>
          <w:rFonts w:ascii="Arial;Helvetica;sans-serif" w:hAnsi="Arial;Helvetica;sans-serif"/>
          <w:b/>
          <w:i/>
          <w:color w:val="0079C1"/>
          <w:sz w:val="20"/>
        </w:rPr>
      </w:pPr>
      <w:r>
        <w:rPr>
          <w:rFonts w:ascii="Arial;Helvetica;sans-serif" w:hAnsi="Arial;Helvetica;sans-serif"/>
          <w:b/>
          <w:i/>
          <w:color w:val="0079C1"/>
          <w:sz w:val="20"/>
        </w:rPr>
        <w:t>Description of the Information Presented in the Pay versus Performance Table</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As described in greater detail in the Compensation Discussion and Analysis section of this Proxy Statement, the Company’s executive compensation program reflects a pay-for-performance philosophy. While the Company utilizes several performance measures to align executive compensation with Company performance (as described in greater detail in the Compensation Discussion and Analysis section of this Proxy Statement), not all of those Company measures are presented in the Pay versus Performance table. Moreover, the Company generally seeks to incentivize long-term performance, and therefore does not specifically align the Company’s performance measures with compensation that is actually paid (as computed in accordance with Item 402(v) of Regulation S-K) for a particular year. Compensation actually paid is influenced by numerous factors, including but not limited to the timing of new grant issuances and outstanding grant vesting, share price volatility during the fiscal year, our mix of short-term and long-term metrics, and many other factors. In accordance with Item 402(v) of Regulation S-K, the Company is providing the following descriptions of the relationships between information presented in the Pay versus Performance table.</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43</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5" w:name="ny20042784x1_def14a_115-pvp_pg4"/>
        <w:bookmarkEnd w:id="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b/>
          <w:i/>
          <w:color w:val="0079C1"/>
          <w:sz w:val="20"/>
        </w:rPr>
      </w:pPr>
      <w:r>
        <w:rPr>
          <w:rFonts w:ascii="Arial;Helvetica;sans-serif" w:hAnsi="Arial;Helvetica;sans-serif"/>
          <w:b/>
          <w:i/>
          <w:color w:val="0079C1"/>
          <w:sz w:val="20"/>
        </w:rPr>
        <w:t>Cumulative TSR of the Company and Cumulative TSR of the Peer Group; Compensation Actually Paid and Cumulative Company TSR</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following chart shows the cumulative TSR of the Company, assuming an initial fixed $100 investment and computed in accordance with the requirements of Item 402(v) of Regulation S-K, versus the TSR of the Company’s Peer Group (the Russell 1000 index), assuming an initial fixed $100 investment and computed in accordance with the requirements of Item 402(v) of Regulation S-K. Please see Note 5 and Note 6, above, for additional information related to the computation of Company TSR and peer group TSR, respectively.</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following chart also shows the relationship between Compensation Actually Paid to our PEO, and the average of Compensation Actually Paid to our non-PEO NEOs, versus the Company’s cumulative TSR over the five most recently completed fiscal years, in each case as computed in accordance with the requirements of Item 402(v) of Regulation SN-K:</w:t>
      </w:r>
    </w:p>
    <w:p>
      <w:pPr>
        <w:pStyle w:val="TextBody"/>
        <w:bidi w:val="0"/>
        <w:spacing w:before="375" w:after="283"/>
        <w:jc w:val="center"/>
        <w:rPr>
          <w:color w:val="4C4C4C"/>
        </w:rPr>
      </w:pPr>
      <w:r>
        <w:rPr>
          <w:color w:val="4C4C4C"/>
        </w:rPr>
        <w:drawing>
          <wp:inline distT="0" distB="0" distL="0" distR="0">
            <wp:extent cx="5943600" cy="3381375"/>
            <wp:effectExtent l="0" t="0" r="0" b="0"/>
            <wp:docPr id="2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3" descr=""/>
                    <pic:cNvPicPr>
                      <a:picLocks noChangeAspect="1" noChangeArrowheads="1"/>
                    </pic:cNvPicPr>
                  </pic:nvPicPr>
                  <pic:blipFill>
                    <a:blip r:embed="rId27"/>
                    <a:stretch>
                      <a:fillRect/>
                    </a:stretch>
                  </pic:blipFill>
                  <pic:spPr bwMode="auto">
                    <a:xfrm>
                      <a:off x="0" y="0"/>
                      <a:ext cx="5943600" cy="3381375"/>
                    </a:xfrm>
                    <a:prstGeom prst="rect">
                      <a:avLst/>
                    </a:prstGeom>
                  </pic:spPr>
                </pic:pic>
              </a:graphicData>
            </a:graphic>
          </wp:inline>
        </w:drawing>
      </w:r>
    </w:p>
    <w:p>
      <w:pPr>
        <w:pStyle w:val="TextBody"/>
        <w:bidi w:val="0"/>
        <w:spacing w:before="0" w:after="283"/>
        <w:ind w:left="0" w:right="0" w:hanging="0"/>
        <w:jc w:val="left"/>
        <w:rPr>
          <w:color w:val="4C4C4C"/>
        </w:rPr>
      </w:pPr>
      <w:r>
        <w:rPr>
          <w:color w:val="4C4C4C"/>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44</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6" w:name="ny20042784x1_def14a_115-pvp_pg5"/>
        <w:bookmarkEnd w:id="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b/>
          <w:i/>
          <w:color w:val="0079C1"/>
          <w:sz w:val="20"/>
        </w:rPr>
      </w:pPr>
      <w:r>
        <w:rPr>
          <w:rFonts w:ascii="Arial;Helvetica;sans-serif" w:hAnsi="Arial;Helvetica;sans-serif"/>
          <w:b/>
          <w:i/>
          <w:color w:val="0079C1"/>
          <w:sz w:val="20"/>
        </w:rPr>
        <w:t>Compensation Actually Paid and Company Net Income</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following chart shows the relationship between Compensation Actually Paid to our PEO, and the average of Compensation Actually Paid to our non-PEO NEOs, versus the Company’s net income during the most-recently completed four fiscal years, in each case as computed in accordance with the requirements of Item 402(v) of Regulation S-K:</w:t>
      </w:r>
    </w:p>
    <w:p>
      <w:pPr>
        <w:pStyle w:val="TextBody"/>
        <w:bidi w:val="0"/>
        <w:spacing w:before="375" w:after="283"/>
        <w:jc w:val="center"/>
        <w:rPr>
          <w:color w:val="4C4C4C"/>
        </w:rPr>
      </w:pPr>
      <w:r>
        <w:rPr>
          <w:color w:val="4C4C4C"/>
        </w:rPr>
        <w:drawing>
          <wp:inline distT="0" distB="0" distL="0" distR="0">
            <wp:extent cx="5943600" cy="3314700"/>
            <wp:effectExtent l="0" t="0" r="0" b="0"/>
            <wp:docPr id="2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4" descr=""/>
                    <pic:cNvPicPr>
                      <a:picLocks noChangeAspect="1" noChangeArrowheads="1"/>
                    </pic:cNvPicPr>
                  </pic:nvPicPr>
                  <pic:blipFill>
                    <a:blip r:embed="rId28"/>
                    <a:stretch>
                      <a:fillRect/>
                    </a:stretch>
                  </pic:blipFill>
                  <pic:spPr bwMode="auto">
                    <a:xfrm>
                      <a:off x="0" y="0"/>
                      <a:ext cx="5943600" cy="3314700"/>
                    </a:xfrm>
                    <a:prstGeom prst="rect">
                      <a:avLst/>
                    </a:prstGeom>
                  </pic:spPr>
                </pic:pic>
              </a:graphicData>
            </a:graphic>
          </wp:inline>
        </w:drawing>
      </w:r>
    </w:p>
    <w:p>
      <w:pPr>
        <w:pStyle w:val="TextBody"/>
        <w:bidi w:val="0"/>
        <w:spacing w:before="0" w:after="283"/>
        <w:ind w:left="0" w:right="0" w:hanging="0"/>
        <w:jc w:val="left"/>
        <w:rPr>
          <w:color w:val="4C4C4C"/>
        </w:rPr>
      </w:pPr>
      <w:r>
        <w:rPr>
          <w:color w:val="4C4C4C"/>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45</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7" w:name="ny20042784x1_def14a_115-pvp_pg6"/>
        <w:bookmarkEnd w:id="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b/>
          <w:i/>
          <w:color w:val="0079C1"/>
          <w:sz w:val="20"/>
        </w:rPr>
      </w:pPr>
      <w:r>
        <w:rPr>
          <w:rFonts w:ascii="Arial;Helvetica;sans-serif" w:hAnsi="Arial;Helvetica;sans-serif"/>
          <w:b/>
          <w:i/>
          <w:color w:val="0079C1"/>
          <w:sz w:val="20"/>
        </w:rPr>
        <w:t>Compensation Actually Paid and Company Revenue</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following chart shows the relationship between Compensation Actually Paid to our PEO, and the average of Compensation Actually Paid to our non-PEO NEOs, versus the Company’s revenue during the five most-recently completed fiscal years, in each case as computed in accordance with the requirements of Item 402(v) of Regulation S-K:</w:t>
      </w:r>
    </w:p>
    <w:p>
      <w:pPr>
        <w:pStyle w:val="TextBody"/>
        <w:bidi w:val="0"/>
        <w:spacing w:before="375" w:after="283"/>
        <w:jc w:val="center"/>
        <w:rPr>
          <w:color w:val="4C4C4C"/>
        </w:rPr>
      </w:pPr>
      <w:r>
        <w:rPr>
          <w:color w:val="4C4C4C"/>
        </w:rPr>
        <w:drawing>
          <wp:inline distT="0" distB="0" distL="0" distR="0">
            <wp:extent cx="5943600" cy="3381375"/>
            <wp:effectExtent l="0" t="0" r="0" b="0"/>
            <wp:docPr id="3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5" descr=""/>
                    <pic:cNvPicPr>
                      <a:picLocks noChangeAspect="1" noChangeArrowheads="1"/>
                    </pic:cNvPicPr>
                  </pic:nvPicPr>
                  <pic:blipFill>
                    <a:blip r:embed="rId29"/>
                    <a:stretch>
                      <a:fillRect/>
                    </a:stretch>
                  </pic:blipFill>
                  <pic:spPr bwMode="auto">
                    <a:xfrm>
                      <a:off x="0" y="0"/>
                      <a:ext cx="5943600" cy="3381375"/>
                    </a:xfrm>
                    <a:prstGeom prst="rect">
                      <a:avLst/>
                    </a:prstGeom>
                  </pic:spPr>
                </pic:pic>
              </a:graphicData>
            </a:graphic>
          </wp:inline>
        </w:drawing>
      </w:r>
    </w:p>
    <w:p>
      <w:pPr>
        <w:pStyle w:val="TextBody"/>
        <w:bidi w:val="0"/>
        <w:spacing w:before="0" w:after="283"/>
        <w:ind w:left="0" w:right="0" w:hanging="0"/>
        <w:jc w:val="left"/>
        <w:rPr>
          <w:color w:val="4C4C4C"/>
        </w:rPr>
      </w:pPr>
      <w:r>
        <w:rPr>
          <w:color w:val="4C4C4C"/>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46</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8" w:name="ny20042784x1_def14a_116-prop2_pg1"/>
        <w:bookmarkEnd w:id="88"/>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Arial;Helvetica;sans-serif" w:hAnsi="Arial;Helvetica;sans-serif"/>
          <w:b/>
          <w:color w:val="0D3F64"/>
          <w:sz w:val="28"/>
        </w:rPr>
      </w:pPr>
      <w:bookmarkStart w:id="89" w:name="tPROP2"/>
      <w:bookmarkEnd w:id="89"/>
      <w:r>
        <w:rPr>
          <w:rFonts w:ascii="Arial;Helvetica;sans-serif" w:hAnsi="Arial;Helvetica;sans-serif"/>
          <w:b/>
          <w:color w:val="0D3F64"/>
          <w:sz w:val="28"/>
        </w:rPr>
        <w:t xml:space="preserve">Proposal </w:t>
      </w:r>
      <w:r>
        <w:rPr>
          <w:rFonts w:ascii="Arial;Helvetica;sans-serif" w:hAnsi="Arial;Helvetica;sans-serif"/>
          <w:b/>
          <w:color w:val="0D3F64"/>
          <w:sz w:val="28"/>
        </w:rPr>
        <w:drawing>
          <wp:inline distT="0" distB="0" distL="0" distR="0">
            <wp:extent cx="276225" cy="276225"/>
            <wp:effectExtent l="0" t="0" r="0" b="0"/>
            <wp:docPr id="3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6" descr=""/>
                    <pic:cNvPicPr>
                      <a:picLocks noChangeAspect="1" noChangeArrowheads="1"/>
                    </pic:cNvPicPr>
                  </pic:nvPicPr>
                  <pic:blipFill>
                    <a:blip r:embed="rId30"/>
                    <a:stretch>
                      <a:fillRect/>
                    </a:stretch>
                  </pic:blipFill>
                  <pic:spPr bwMode="auto">
                    <a:xfrm>
                      <a:off x="0" y="0"/>
                      <a:ext cx="276225" cy="276225"/>
                    </a:xfrm>
                    <a:prstGeom prst="rect">
                      <a:avLst/>
                    </a:prstGeom>
                  </pic:spPr>
                </pic:pic>
              </a:graphicData>
            </a:graphic>
          </wp:inline>
        </w:drawing>
      </w:r>
      <w:r>
        <w:rPr>
          <w:rFonts w:ascii="Arial;Helvetica;sans-serif" w:hAnsi="Arial;Helvetica;sans-serif"/>
          <w:b/>
          <w:color w:val="0D3F64"/>
          <w:sz w:val="28"/>
        </w:rPr>
        <w:t>  — Ratification of Appointment of Independent Auditor for 2025</w:t>
      </w:r>
    </w:p>
    <w:p>
      <w:pPr>
        <w:pStyle w:val="TextBody"/>
        <w:bidi w:val="0"/>
        <w:spacing w:before="220" w:after="283"/>
        <w:ind w:left="0" w:right="0" w:hanging="0"/>
        <w:jc w:val="left"/>
        <w:rPr>
          <w:rFonts w:ascii="Arial;Helvetica;sans-serif" w:hAnsi="Arial;Helvetica;sans-serif"/>
          <w:b/>
          <w:color w:val="0079C1"/>
          <w:sz w:val="24"/>
        </w:rPr>
      </w:pPr>
      <w:r>
        <w:rPr>
          <w:rFonts w:ascii="Arial;Helvetica;sans-serif" w:hAnsi="Arial;Helvetica;sans-serif"/>
          <w:b/>
          <w:color w:val="0079C1"/>
          <w:sz w:val="24"/>
        </w:rPr>
        <w:t>Appointment of Independent Auditor by Audit Committee</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audit committee annually evaluates the performance of our independent auditor, including the senior audit engagement team, and determines whether to reengage the current independent auditor or consider other audit firms.</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This year the audit committee has approved the retention of Ernst &amp; Young Hua Ming LLP, or Ernst &amp; Young, as our independent auditor to report on our consolidated financial statements and the effectiveness of our internal control over financial reporting for the year ending December 31, 2025. Factors considered by the audit committee in deciding whether to retain Ernst &amp; Young included:</w:t>
      </w:r>
    </w:p>
    <w:tbl>
      <w:tblPr>
        <w:tblW w:w="3310" w:type="dxa"/>
        <w:jc w:val="left"/>
        <w:tblInd w:w="0" w:type="dxa"/>
        <w:tblLayout w:type="fixed"/>
        <w:tblCellMar>
          <w:top w:w="0" w:type="dxa"/>
          <w:left w:w="0" w:type="dxa"/>
          <w:bottom w:w="0" w:type="dxa"/>
          <w:right w:w="0" w:type="dxa"/>
        </w:tblCellMar>
      </w:tblPr>
      <w:tblGrid>
        <w:gridCol w:w="140"/>
        <w:gridCol w:w="3170"/>
      </w:tblGrid>
      <w:tr>
        <w:trPr/>
        <w:tc>
          <w:tcPr>
            <w:tcW w:w="140" w:type="dxa"/>
            <w:tcBorders/>
            <w:vAlign w:val="center"/>
          </w:tcPr>
          <w:p>
            <w:pPr>
              <w:pStyle w:val="TableContents"/>
              <w:bidi w:val="0"/>
              <w:spacing w:before="0" w:after="0"/>
              <w:jc w:val="left"/>
              <w:rPr>
                <w:color w:val="4C4C4C"/>
              </w:rPr>
            </w:pPr>
            <w:r>
              <w:rPr>
                <w:color w:val="4C4C4C"/>
              </w:rPr>
              <w:t>•</w:t>
            </w:r>
          </w:p>
        </w:tc>
        <w:tc>
          <w:tcPr>
            <w:tcW w:w="3170"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Ernst &amp; Young’s global capabilities;</w:t>
            </w:r>
          </w:p>
        </w:tc>
      </w:tr>
    </w:tbl>
    <w:tbl>
      <w:tblPr>
        <w:tblW w:w="7960" w:type="dxa"/>
        <w:jc w:val="left"/>
        <w:tblInd w:w="0" w:type="dxa"/>
        <w:tblLayout w:type="fixed"/>
        <w:tblCellMar>
          <w:top w:w="0" w:type="dxa"/>
          <w:left w:w="0" w:type="dxa"/>
          <w:bottom w:w="0" w:type="dxa"/>
          <w:right w:w="0" w:type="dxa"/>
        </w:tblCellMar>
      </w:tblPr>
      <w:tblGrid>
        <w:gridCol w:w="140"/>
        <w:gridCol w:w="7820"/>
      </w:tblGrid>
      <w:tr>
        <w:trPr/>
        <w:tc>
          <w:tcPr>
            <w:tcW w:w="140" w:type="dxa"/>
            <w:tcBorders/>
            <w:vAlign w:val="center"/>
          </w:tcPr>
          <w:p>
            <w:pPr>
              <w:pStyle w:val="TableContents"/>
              <w:bidi w:val="0"/>
              <w:spacing w:before="0" w:after="0"/>
              <w:jc w:val="left"/>
              <w:rPr>
                <w:color w:val="4C4C4C"/>
              </w:rPr>
            </w:pPr>
            <w:r>
              <w:rPr>
                <w:color w:val="4C4C4C"/>
              </w:rPr>
              <w:t>•</w:t>
            </w:r>
          </w:p>
        </w:tc>
        <w:tc>
          <w:tcPr>
            <w:tcW w:w="7820"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Ernst &amp; Young’s technical expertise and knowledge of our global operations and industry;</w:t>
            </w:r>
          </w:p>
        </w:tc>
      </w:tr>
    </w:tbl>
    <w:tbl>
      <w:tblPr>
        <w:tblW w:w="9145" w:type="dxa"/>
        <w:jc w:val="left"/>
        <w:tblInd w:w="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4C4C4C"/>
              </w:rPr>
            </w:pPr>
            <w:r>
              <w:rPr>
                <w:color w:val="4C4C4C"/>
              </w:rPr>
              <w:t>•</w:t>
            </w:r>
          </w:p>
        </w:tc>
        <w:tc>
          <w:tcPr>
            <w:tcW w:w="9005"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the quality and candor of Ernst &amp; Young’s communications with the audit committee and management;</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C4C4C"/>
              </w:rPr>
            </w:pPr>
            <w:r>
              <w:rPr>
                <w:color w:val="4C4C4C"/>
              </w:rPr>
              <w:t>•</w:t>
            </w:r>
          </w:p>
        </w:tc>
        <w:tc>
          <w:tcPr>
            <w:tcW w:w="10065" w:type="dxa"/>
            <w:tcBorders/>
            <w:vAlign w:val="center"/>
          </w:tcPr>
          <w:p>
            <w:pPr>
              <w:pStyle w:val="TableContents"/>
              <w:bidi w:val="0"/>
              <w:spacing w:before="0" w:after="0"/>
              <w:jc w:val="both"/>
              <w:rPr>
                <w:rFonts w:ascii="Arial;Helvetica;sans-serif" w:hAnsi="Arial;Helvetica;sans-serif"/>
                <w:color w:val="4C4C4C"/>
                <w:sz w:val="20"/>
              </w:rPr>
            </w:pPr>
            <w:r>
              <w:rPr>
                <w:rFonts w:ascii="Arial;Helvetica;sans-serif" w:hAnsi="Arial;Helvetica;sans-serif"/>
                <w:color w:val="4C4C4C"/>
                <w:sz w:val="20"/>
              </w:rPr>
              <w:t>the quality and efficiency of the services provided by Ernst &amp; Young, including input from management on Ernst &amp; Young’s performance;</w:t>
            </w:r>
          </w:p>
        </w:tc>
      </w:tr>
    </w:tbl>
    <w:tbl>
      <w:tblPr>
        <w:tblW w:w="5140" w:type="dxa"/>
        <w:jc w:val="left"/>
        <w:tblInd w:w="0" w:type="dxa"/>
        <w:tblLayout w:type="fixed"/>
        <w:tblCellMar>
          <w:top w:w="0" w:type="dxa"/>
          <w:left w:w="0" w:type="dxa"/>
          <w:bottom w:w="0" w:type="dxa"/>
          <w:right w:w="0" w:type="dxa"/>
        </w:tblCellMar>
      </w:tblPr>
      <w:tblGrid>
        <w:gridCol w:w="140"/>
        <w:gridCol w:w="5000"/>
      </w:tblGrid>
      <w:tr>
        <w:trPr/>
        <w:tc>
          <w:tcPr>
            <w:tcW w:w="140" w:type="dxa"/>
            <w:tcBorders/>
            <w:vAlign w:val="center"/>
          </w:tcPr>
          <w:p>
            <w:pPr>
              <w:pStyle w:val="TableContents"/>
              <w:bidi w:val="0"/>
              <w:spacing w:before="0" w:after="0"/>
              <w:jc w:val="left"/>
              <w:rPr>
                <w:color w:val="4C4C4C"/>
              </w:rPr>
            </w:pPr>
            <w:r>
              <w:rPr>
                <w:color w:val="4C4C4C"/>
              </w:rPr>
              <w:t>•</w:t>
            </w:r>
          </w:p>
        </w:tc>
        <w:tc>
          <w:tcPr>
            <w:tcW w:w="5000"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Ernst &amp; Young’s objectivity and professional skepticism;</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C4C4C"/>
              </w:rPr>
            </w:pPr>
            <w:r>
              <w:rPr>
                <w:color w:val="4C4C4C"/>
              </w:rPr>
              <w:t>•</w:t>
            </w:r>
          </w:p>
        </w:tc>
        <w:tc>
          <w:tcPr>
            <w:tcW w:w="10065" w:type="dxa"/>
            <w:tcBorders/>
            <w:vAlign w:val="center"/>
          </w:tcPr>
          <w:p>
            <w:pPr>
              <w:pStyle w:val="TableContents"/>
              <w:bidi w:val="0"/>
              <w:spacing w:before="0" w:after="0"/>
              <w:jc w:val="both"/>
              <w:rPr>
                <w:rFonts w:ascii="Arial;Helvetica;sans-serif" w:hAnsi="Arial;Helvetica;sans-serif"/>
                <w:color w:val="4C4C4C"/>
                <w:sz w:val="20"/>
              </w:rPr>
            </w:pPr>
            <w:r>
              <w:rPr>
                <w:rFonts w:ascii="Arial;Helvetica;sans-serif" w:hAnsi="Arial;Helvetica;sans-serif"/>
                <w:color w:val="4C4C4C"/>
                <w:sz w:val="20"/>
              </w:rPr>
              <w:t>external data on audit quality and performance, including recent PCAOB reports on Ernst &amp; Young and its peer firms;</w:t>
            </w:r>
          </w:p>
        </w:tc>
      </w:tr>
    </w:tbl>
    <w:tbl>
      <w:tblPr>
        <w:tblW w:w="5440" w:type="dxa"/>
        <w:jc w:val="left"/>
        <w:tblInd w:w="0" w:type="dxa"/>
        <w:tblLayout w:type="fixed"/>
        <w:tblCellMar>
          <w:top w:w="0" w:type="dxa"/>
          <w:left w:w="0" w:type="dxa"/>
          <w:bottom w:w="0" w:type="dxa"/>
          <w:right w:w="0" w:type="dxa"/>
        </w:tblCellMar>
      </w:tblPr>
      <w:tblGrid>
        <w:gridCol w:w="140"/>
        <w:gridCol w:w="5300"/>
      </w:tblGrid>
      <w:tr>
        <w:trPr/>
        <w:tc>
          <w:tcPr>
            <w:tcW w:w="140" w:type="dxa"/>
            <w:tcBorders/>
            <w:vAlign w:val="center"/>
          </w:tcPr>
          <w:p>
            <w:pPr>
              <w:pStyle w:val="TableContents"/>
              <w:bidi w:val="0"/>
              <w:spacing w:before="0" w:after="0"/>
              <w:jc w:val="left"/>
              <w:rPr>
                <w:color w:val="4C4C4C"/>
              </w:rPr>
            </w:pPr>
            <w:r>
              <w:rPr>
                <w:color w:val="4C4C4C"/>
              </w:rPr>
              <w:t>•</w:t>
            </w:r>
          </w:p>
        </w:tc>
        <w:tc>
          <w:tcPr>
            <w:tcW w:w="5300"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Ernst &amp; Young’s use of technology to aid in audit efficiency;</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C4C4C"/>
              </w:rPr>
            </w:pPr>
            <w:r>
              <w:rPr>
                <w:color w:val="4C4C4C"/>
              </w:rPr>
              <w:t>•</w:t>
            </w:r>
          </w:p>
        </w:tc>
        <w:tc>
          <w:tcPr>
            <w:tcW w:w="10065" w:type="dxa"/>
            <w:tcBorders/>
            <w:vAlign w:val="center"/>
          </w:tcPr>
          <w:p>
            <w:pPr>
              <w:pStyle w:val="TableContents"/>
              <w:bidi w:val="0"/>
              <w:spacing w:before="0" w:after="0"/>
              <w:jc w:val="both"/>
              <w:rPr>
                <w:rFonts w:ascii="Arial;Helvetica;sans-serif" w:hAnsi="Arial;Helvetica;sans-serif"/>
                <w:color w:val="4C4C4C"/>
                <w:sz w:val="20"/>
              </w:rPr>
            </w:pPr>
            <w:r>
              <w:rPr>
                <w:rFonts w:ascii="Arial;Helvetica;sans-serif" w:hAnsi="Arial;Helvetica;sans-serif"/>
                <w:color w:val="4C4C4C"/>
                <w:sz w:val="20"/>
              </w:rPr>
              <w:t>Ernst &amp; Young’s independence, how effectively Ernst &amp; Young demonstrated its independent judgment, and the controls and processes in place that help ensure Ernst &amp; Young’s independence; and</w:t>
            </w:r>
          </w:p>
        </w:tc>
      </w:tr>
    </w:tbl>
    <w:tbl>
      <w:tblPr>
        <w:tblW w:w="4135" w:type="dxa"/>
        <w:jc w:val="left"/>
        <w:tblInd w:w="0" w:type="dxa"/>
        <w:tblLayout w:type="fixed"/>
        <w:tblCellMar>
          <w:top w:w="0" w:type="dxa"/>
          <w:left w:w="0" w:type="dxa"/>
          <w:bottom w:w="0" w:type="dxa"/>
          <w:right w:w="0" w:type="dxa"/>
        </w:tblCellMar>
      </w:tblPr>
      <w:tblGrid>
        <w:gridCol w:w="140"/>
        <w:gridCol w:w="3995"/>
      </w:tblGrid>
      <w:tr>
        <w:trPr/>
        <w:tc>
          <w:tcPr>
            <w:tcW w:w="140" w:type="dxa"/>
            <w:tcBorders/>
            <w:vAlign w:val="center"/>
          </w:tcPr>
          <w:p>
            <w:pPr>
              <w:pStyle w:val="TableContents"/>
              <w:bidi w:val="0"/>
              <w:spacing w:before="0" w:after="0"/>
              <w:jc w:val="left"/>
              <w:rPr>
                <w:color w:val="4C4C4C"/>
              </w:rPr>
            </w:pPr>
            <w:r>
              <w:rPr>
                <w:color w:val="4C4C4C"/>
              </w:rPr>
              <w:t>•</w:t>
            </w:r>
          </w:p>
        </w:tc>
        <w:tc>
          <w:tcPr>
            <w:tcW w:w="3995"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the appropriateness of Ernst &amp; Young’s fees.</w:t>
            </w:r>
          </w:p>
        </w:tc>
      </w:tr>
    </w:tbl>
    <w:p>
      <w:pPr>
        <w:pStyle w:val="TextBody"/>
        <w:bidi w:val="0"/>
        <w:spacing w:before="280" w:after="283"/>
        <w:ind w:left="0" w:right="0" w:hanging="0"/>
        <w:jc w:val="left"/>
        <w:rPr>
          <w:rFonts w:ascii="Arial;Helvetica;sans-serif" w:hAnsi="Arial;Helvetica;sans-serif"/>
          <w:b/>
          <w:color w:val="0079C1"/>
          <w:sz w:val="24"/>
        </w:rPr>
      </w:pPr>
      <w:r>
        <w:rPr>
          <w:rFonts w:ascii="Arial;Helvetica;sans-serif" w:hAnsi="Arial;Helvetica;sans-serif"/>
          <w:b/>
          <w:color w:val="0079C1"/>
          <w:sz w:val="24"/>
        </w:rPr>
        <w:t>Proposed Ratification of Independent Auditor</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audit committee is responsible for the appointment, retention, termination, compensation and oversight of the work of our independent registered public accounting firm for the purpose of preparing or issuing an audit report or related work. Although ratification of the appointment of our independent auditor is not required by our bylaws or otherwise, the board of directors is submitting the appointment of Ernst &amp; Young to our stockholders for ratification because we value the views of our stockholders.</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audit committee considers Ernst &amp; Young to be well qualified. In the absence of contrary specification, the proxy holders will vote proxies received in response to this solicitation in favor of ratification of the appointment. In the event that stockholders fail to ratify the appointment of Ernst &amp; Young, the audit committee will reconsider the appointment of Ernst &amp; Young. Even if the appointment is ratified, the ratification is not binding and the audit committee may in its discretion select a different independent auditor at any time during the year if it determines that such a change would be in the best interests of our company and stockholders.</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Representatives of Ernst &amp; Young are expected to be present at the Annual Meeting and will have an opportunity to make a statement, if they desire.</w:t>
      </w:r>
    </w:p>
    <w:p>
      <w:pPr>
        <w:pStyle w:val="TextBody"/>
        <w:bidi w:val="0"/>
        <w:spacing w:before="240" w:after="283"/>
        <w:ind w:left="0" w:right="0" w:hanging="0"/>
        <w:jc w:val="left"/>
        <w:rPr>
          <w:rFonts w:ascii="Arial;Helvetica;sans-serif" w:hAnsi="Arial;Helvetica;sans-serif"/>
          <w:color w:val="4C4C4C"/>
          <w:sz w:val="20"/>
        </w:rPr>
      </w:pPr>
      <w:r>
        <w:rPr>
          <w:rFonts w:ascii="Arial;Helvetica;sans-serif" w:hAnsi="Arial;Helvetica;sans-serif"/>
          <w:color w:val="4C4C4C"/>
          <w:sz w:val="20"/>
        </w:rPr>
        <w:t>Accordingly, stockholders are being asked to vote on the following resolution:</w:t>
      </w:r>
    </w:p>
    <w:tbl>
      <w:tblPr>
        <w:tblW w:w="10205" w:type="dxa"/>
        <w:jc w:val="left"/>
        <w:tblInd w:w="0" w:type="dxa"/>
        <w:tblLayout w:type="fixed"/>
        <w:tblCellMar>
          <w:top w:w="0" w:type="dxa"/>
          <w:left w:w="0" w:type="dxa"/>
          <w:bottom w:w="0" w:type="dxa"/>
          <w:right w:w="0" w:type="dxa"/>
        </w:tblCellMar>
      </w:tblPr>
      <w:tblGrid>
        <w:gridCol w:w="1150"/>
        <w:gridCol w:w="9055"/>
      </w:tblGrid>
      <w:tr>
        <w:trPr/>
        <w:tc>
          <w:tcPr>
            <w:tcW w:w="1150" w:type="dxa"/>
            <w:tcBorders/>
            <w:vAlign w:val="center"/>
          </w:tcPr>
          <w:p>
            <w:pPr>
              <w:pStyle w:val="TableContents"/>
              <w:bidi w:val="0"/>
              <w:spacing w:before="0" w:after="0"/>
              <w:jc w:val="left"/>
              <w:rPr>
                <w:rFonts w:ascii="Arial;Helvetica;sans-serif" w:hAnsi="Arial;Helvetica;sans-serif"/>
                <w:b/>
                <w:smallCaps/>
                <w:color w:val="4C4C4C"/>
                <w:sz w:val="20"/>
              </w:rPr>
            </w:pPr>
            <w:r>
              <w:rPr>
                <w:rFonts w:ascii="Arial;Helvetica;sans-serif" w:hAnsi="Arial;Helvetica;sans-serif"/>
                <w:b/>
                <w:smallCaps/>
                <w:color w:val="4C4C4C"/>
                <w:sz w:val="20"/>
              </w:rPr>
              <w:t>RESOLVED</w:t>
            </w:r>
            <w:r>
              <w:rPr>
                <w:rFonts w:ascii="Arial;Helvetica;sans-serif" w:hAnsi="Arial;Helvetica;sans-serif"/>
                <w:b w:val="false"/>
                <w:smallCaps/>
                <w:color w:val="4C4C4C"/>
                <w:sz w:val="20"/>
              </w:rPr>
              <w:t>:</w:t>
            </w:r>
          </w:p>
        </w:tc>
        <w:tc>
          <w:tcPr>
            <w:tcW w:w="9055" w:type="dxa"/>
            <w:tcBorders/>
            <w:vAlign w:val="center"/>
          </w:tcPr>
          <w:p>
            <w:pPr>
              <w:pStyle w:val="TableContents"/>
              <w:bidi w:val="0"/>
              <w:spacing w:before="0" w:after="0"/>
              <w:jc w:val="both"/>
              <w:rPr>
                <w:rFonts w:ascii="Arial;Helvetica;sans-serif" w:hAnsi="Arial;Helvetica;sans-serif"/>
                <w:b w:val="false"/>
                <w:caps w:val="false"/>
                <w:smallCaps w:val="false"/>
                <w:color w:val="4C4C4C"/>
                <w:sz w:val="20"/>
              </w:rPr>
            </w:pPr>
            <w:r>
              <w:rPr>
                <w:rFonts w:ascii="Arial;Helvetica;sans-serif" w:hAnsi="Arial;Helvetica;sans-serif"/>
                <w:b w:val="false"/>
                <w:caps w:val="false"/>
                <w:smallCaps w:val="false"/>
                <w:color w:val="4C4C4C"/>
                <w:sz w:val="20"/>
              </w:rPr>
              <w:t>That the stockholders ratify the appointment by the audit committee of the board of directors of Ernst &amp; Young as the independent registered public accounting firm of ACM Research, Inc. for the performance of independent audit services for the fiscal year ending December 31, 2025.</w:t>
            </w:r>
          </w:p>
        </w:tc>
      </w:tr>
    </w:tbl>
    <w:p>
      <w:pPr>
        <w:pStyle w:val="TextBody"/>
        <w:bidi w:val="0"/>
        <w:spacing w:before="200" w:after="283"/>
        <w:jc w:val="center"/>
        <w:rPr>
          <w:rFonts w:ascii="Arial;Helvetica;sans-serif" w:hAnsi="Arial;Helvetica;sans-serif"/>
          <w:b/>
          <w:color w:val="0079C1"/>
          <w:sz w:val="24"/>
        </w:rPr>
      </w:pPr>
      <w:r>
        <w:rPr>
          <w:rFonts w:ascii="Arial;Helvetica;sans-serif" w:hAnsi="Arial;Helvetica;sans-serif"/>
          <w:b/>
          <w:color w:val="0079C1"/>
          <w:sz w:val="24"/>
        </w:rPr>
        <w:t>The board of directors recommends a vote</w:t>
      </w:r>
    </w:p>
    <w:p>
      <w:pPr>
        <w:pStyle w:val="TextBody"/>
        <w:bidi w:val="0"/>
        <w:spacing w:before="0" w:after="283"/>
        <w:jc w:val="center"/>
        <w:rPr>
          <w:rFonts w:ascii="Arial;Helvetica;sans-serif" w:hAnsi="Arial;Helvetica;sans-serif"/>
          <w:b/>
          <w:color w:val="0079C1"/>
          <w:sz w:val="28"/>
        </w:rPr>
      </w:pPr>
      <w:r>
        <w:rPr>
          <w:rFonts w:ascii="Arial;Helvetica;sans-serif" w:hAnsi="Arial;Helvetica;sans-serif"/>
          <w:b/>
          <w:color w:val="0079C1"/>
          <w:sz w:val="28"/>
        </w:rPr>
        <w:t>FOR</w:t>
      </w:r>
    </w:p>
    <w:p>
      <w:pPr>
        <w:pStyle w:val="TextBody"/>
        <w:bidi w:val="0"/>
        <w:spacing w:before="0" w:after="283"/>
        <w:jc w:val="center"/>
        <w:rPr>
          <w:rFonts w:ascii="Arial;Helvetica;sans-serif" w:hAnsi="Arial;Helvetica;sans-serif"/>
          <w:b/>
          <w:color w:val="0079C1"/>
          <w:sz w:val="24"/>
        </w:rPr>
      </w:pPr>
      <w:r>
        <w:rPr>
          <w:rFonts w:ascii="Arial;Helvetica;sans-serif" w:hAnsi="Arial;Helvetica;sans-serif"/>
          <w:b/>
          <w:color w:val="0079C1"/>
          <w:sz w:val="24"/>
        </w:rPr>
        <w:t>the ratification of the appointment of Ernst &amp; Young Hua Ming LLP as our independent auditor for 2025.</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47</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0" w:name="ny20042784x1_def14a_116-prop2_pg2"/>
        <w:bookmarkEnd w:id="90"/>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Arial;Helvetica;sans-serif" w:hAnsi="Arial;Helvetica;sans-serif"/>
          <w:b/>
          <w:color w:val="0D3F64"/>
          <w:sz w:val="28"/>
        </w:rPr>
      </w:pPr>
      <w:bookmarkStart w:id="91" w:name="tAM"/>
      <w:bookmarkEnd w:id="91"/>
      <w:r>
        <w:rPr>
          <w:rFonts w:ascii="Arial;Helvetica;sans-serif" w:hAnsi="Arial;Helvetica;sans-serif"/>
          <w:b/>
          <w:color w:val="0D3F64"/>
          <w:sz w:val="28"/>
        </w:rPr>
        <w:t>Accounting Matters</w:t>
      </w:r>
    </w:p>
    <w:p>
      <w:pPr>
        <w:pStyle w:val="TextBody"/>
        <w:bidi w:val="0"/>
        <w:spacing w:before="300" w:after="283"/>
        <w:ind w:left="0" w:right="0" w:hanging="0"/>
        <w:jc w:val="left"/>
        <w:rPr>
          <w:rFonts w:ascii="Arial;Helvetica;sans-serif" w:hAnsi="Arial;Helvetica;sans-serif"/>
          <w:b/>
          <w:color w:val="0079C1"/>
          <w:sz w:val="24"/>
        </w:rPr>
      </w:pPr>
      <w:bookmarkStart w:id="92" w:name="tPIA"/>
      <w:bookmarkEnd w:id="92"/>
      <w:r>
        <w:rPr>
          <w:rFonts w:ascii="Arial;Helvetica;sans-serif" w:hAnsi="Arial;Helvetica;sans-serif"/>
          <w:b/>
          <w:color w:val="0079C1"/>
          <w:sz w:val="24"/>
        </w:rPr>
        <w:t>Principal Independent Auditor Fees</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following table sets forth the aggregate fees billed to us by Ernst &amp; Young Hua Ming LLP (PCAOB ID #1408) our current independent auditor for professional services rendered for the fiscal year ended December 31, 2024 and 2023.</w:t>
      </w:r>
    </w:p>
    <w:tbl>
      <w:tblPr>
        <w:tblW w:w="4350" w:type="dxa"/>
        <w:jc w:val="left"/>
        <w:tblInd w:w="0" w:type="dxa"/>
        <w:tblLayout w:type="fixed"/>
        <w:tblCellMar>
          <w:top w:w="0" w:type="dxa"/>
          <w:left w:w="0" w:type="dxa"/>
          <w:bottom w:w="0" w:type="dxa"/>
          <w:right w:w="0" w:type="dxa"/>
        </w:tblCellMar>
      </w:tblPr>
      <w:tblGrid>
        <w:gridCol w:w="185"/>
        <w:gridCol w:w="1250"/>
        <w:gridCol w:w="170"/>
        <w:gridCol w:w="170"/>
        <w:gridCol w:w="1010"/>
        <w:gridCol w:w="170"/>
        <w:gridCol w:w="170"/>
        <w:gridCol w:w="1010"/>
        <w:gridCol w:w="215"/>
      </w:tblGrid>
      <w:tr>
        <w:trPr/>
        <w:tc>
          <w:tcPr>
            <w:tcW w:w="185" w:type="dxa"/>
            <w:tcBorders/>
            <w:shd w:fill="0D3F64" w:val="clear"/>
            <w:vAlign w:val="center"/>
          </w:tcPr>
          <w:p>
            <w:pPr>
              <w:pStyle w:val="TableContents"/>
              <w:bidi w:val="0"/>
              <w:spacing w:before="0" w:after="0"/>
              <w:jc w:val="left"/>
              <w:rPr/>
            </w:pPr>
            <w:r>
              <w:rPr/>
              <w:t> </w:t>
            </w:r>
          </w:p>
        </w:tc>
        <w:tc>
          <w:tcPr>
            <w:tcW w:w="125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01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010" w:type="dxa"/>
            <w:tcBorders/>
            <w:shd w:fill="0D3F64" w:val="clear"/>
            <w:vAlign w:val="center"/>
          </w:tcPr>
          <w:p>
            <w:pPr>
              <w:pStyle w:val="TableContents"/>
              <w:bidi w:val="0"/>
              <w:spacing w:before="0" w:after="0"/>
              <w:jc w:val="left"/>
              <w:rPr/>
            </w:pPr>
            <w:r>
              <w:rPr/>
              <w:t> </w:t>
            </w:r>
          </w:p>
        </w:tc>
        <w:tc>
          <w:tcPr>
            <w:tcW w:w="215" w:type="dxa"/>
            <w:tcBorders/>
            <w:shd w:fill="0D3F64" w:val="clear"/>
            <w:vAlign w:val="center"/>
          </w:tcPr>
          <w:p>
            <w:pPr>
              <w:pStyle w:val="TableContents"/>
              <w:bidi w:val="0"/>
              <w:spacing w:before="0" w:after="0"/>
              <w:jc w:val="left"/>
              <w:rPr/>
            </w:pPr>
            <w:r>
              <w:rPr/>
              <w:t> </w:t>
            </w:r>
          </w:p>
        </w:tc>
      </w:tr>
      <w:tr>
        <w:trPr/>
        <w:tc>
          <w:tcPr>
            <w:tcW w:w="185" w:type="dxa"/>
            <w:tcBorders/>
            <w:shd w:fill="0D3F64" w:val="clear"/>
            <w:vAlign w:val="center"/>
          </w:tcPr>
          <w:p>
            <w:pPr>
              <w:pStyle w:val="TableContents"/>
              <w:bidi w:val="0"/>
              <w:spacing w:before="0" w:after="0"/>
              <w:jc w:val="left"/>
              <w:rPr/>
            </w:pPr>
            <w:r>
              <w:rPr/>
              <w:t> </w:t>
            </w:r>
          </w:p>
        </w:tc>
        <w:tc>
          <w:tcPr>
            <w:tcW w:w="1250" w:type="dxa"/>
            <w:tcBorders/>
            <w:shd w:fill="0D3F64" w:val="clear"/>
            <w:vAlign w:val="center"/>
          </w:tcPr>
          <w:p>
            <w:pPr>
              <w:pStyle w:val="TableContents"/>
              <w:bidi w:val="0"/>
              <w:spacing w:before="20" w:after="283"/>
              <w:ind w:left="20" w:right="0" w:hanging="0"/>
              <w:jc w:val="left"/>
              <w:rPr>
                <w:color w:val="FFFFFF"/>
              </w:rPr>
            </w:pPr>
            <w:r>
              <w:rPr>
                <w:color w:val="FFFFFF"/>
              </w:rPr>
              <w:t> </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010"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2024</w:t>
            </w:r>
          </w:p>
        </w:tc>
        <w:tc>
          <w:tcPr>
            <w:tcW w:w="170" w:type="dxa"/>
            <w:tcBorders/>
            <w:shd w:fill="0D3F64" w:val="clear"/>
            <w:vAlign w:val="center"/>
          </w:tcPr>
          <w:p>
            <w:pPr>
              <w:pStyle w:val="TableContents"/>
              <w:bidi w:val="0"/>
              <w:spacing w:before="0" w:after="0"/>
              <w:jc w:val="left"/>
              <w:rPr/>
            </w:pPr>
            <w:r>
              <w:rPr/>
              <w:t> </w:t>
            </w:r>
          </w:p>
        </w:tc>
        <w:tc>
          <w:tcPr>
            <w:tcW w:w="170" w:type="dxa"/>
            <w:tcBorders/>
            <w:shd w:fill="0D3F64" w:val="clear"/>
            <w:vAlign w:val="center"/>
          </w:tcPr>
          <w:p>
            <w:pPr>
              <w:pStyle w:val="TableContents"/>
              <w:bidi w:val="0"/>
              <w:spacing w:before="0" w:after="0"/>
              <w:jc w:val="left"/>
              <w:rPr/>
            </w:pPr>
            <w:r>
              <w:rPr/>
              <w:t> </w:t>
            </w:r>
          </w:p>
        </w:tc>
        <w:tc>
          <w:tcPr>
            <w:tcW w:w="1010"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2023</w:t>
            </w:r>
          </w:p>
        </w:tc>
        <w:tc>
          <w:tcPr>
            <w:tcW w:w="215" w:type="dxa"/>
            <w:tcBorders/>
            <w:shd w:fill="0D3F6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Audit Fees(1)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24" w:right="0" w:hanging="0"/>
              <w:jc w:val="left"/>
              <w:rPr>
                <w:rFonts w:ascii="Arial;Helvetica;sans-serif" w:hAnsi="Arial;Helvetica;sans-serif"/>
                <w:color w:val="4C4C4C"/>
                <w:sz w:val="20"/>
              </w:rPr>
            </w:pPr>
            <w:r>
              <w:rPr>
                <w:rFonts w:ascii="Arial;Helvetica;sans-serif" w:hAnsi="Arial;Helvetica;sans-serif"/>
                <w:color w:val="4C4C4C"/>
                <w:sz w:val="20"/>
              </w:rPr>
              <w:t>$</w:t>
            </w:r>
            <w:r>
              <w:rPr>
                <w:rFonts w:ascii="Arial;Helvetica;sans-serif" w:hAnsi="Arial;Helvetica;sans-serif"/>
                <w:color w:val="4C4C4C"/>
                <w:sz w:val="20"/>
              </w:rPr>
              <w:t>1,610,000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24" w:right="0" w:hanging="0"/>
              <w:jc w:val="left"/>
              <w:rPr>
                <w:rFonts w:ascii="Arial;Helvetica;sans-serif" w:hAnsi="Arial;Helvetica;sans-serif"/>
                <w:color w:val="4C4C4C"/>
                <w:sz w:val="20"/>
              </w:rPr>
            </w:pPr>
            <w:r>
              <w:rPr>
                <w:rFonts w:ascii="Arial;Helvetica;sans-serif" w:hAnsi="Arial;Helvetica;sans-serif"/>
                <w:color w:val="4C4C4C"/>
                <w:sz w:val="20"/>
              </w:rPr>
              <w:t>$</w:t>
            </w:r>
            <w:r>
              <w:rPr>
                <w:rFonts w:ascii="Arial;Helvetica;sans-serif" w:hAnsi="Arial;Helvetica;sans-serif"/>
                <w:color w:val="4C4C4C"/>
                <w:sz w:val="20"/>
              </w:rPr>
              <w:t>1,254,669</w:t>
            </w:r>
          </w:p>
        </w:tc>
        <w:tc>
          <w:tcPr>
            <w:tcW w:w="215" w:type="dxa"/>
            <w:tcBorders/>
            <w:vAlign w:val="center"/>
          </w:tcPr>
          <w:p>
            <w:pPr>
              <w:pStyle w:val="TableContents"/>
              <w:bidi w:val="0"/>
              <w:spacing w:before="0" w:after="0"/>
              <w:jc w:val="left"/>
              <w:rPr/>
            </w:pPr>
            <w:r>
              <w:rPr/>
              <w:t> </w:t>
            </w:r>
          </w:p>
        </w:tc>
      </w:tr>
      <w:tr>
        <w:trPr/>
        <w:tc>
          <w:tcPr>
            <w:tcW w:w="185" w:type="dxa"/>
            <w:tcBorders/>
            <w:shd w:fill="BAE2F8" w:val="clear"/>
            <w:vAlign w:val="center"/>
          </w:tcPr>
          <w:p>
            <w:pPr>
              <w:pStyle w:val="TableContents"/>
              <w:bidi w:val="0"/>
              <w:spacing w:before="0" w:after="0"/>
              <w:jc w:val="left"/>
              <w:rPr/>
            </w:pPr>
            <w:r>
              <w:rPr/>
              <w:t> </w:t>
            </w:r>
          </w:p>
        </w:tc>
        <w:tc>
          <w:tcPr>
            <w:tcW w:w="1250" w:type="dxa"/>
            <w:tcBorders/>
            <w:shd w:fill="BAE2F8" w:val="clear"/>
            <w:vAlign w:val="center"/>
          </w:tcPr>
          <w:p>
            <w:pPr>
              <w:pStyle w:val="TableContents"/>
              <w:bidi w:val="0"/>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Other Fees(2)</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010" w:type="dxa"/>
            <w:tcBorders/>
            <w:shd w:fill="BAE2F8" w:val="clear"/>
            <w:vAlign w:val="center"/>
          </w:tcPr>
          <w:p>
            <w:pPr>
              <w:pStyle w:val="TableContents"/>
              <w:bidi w:val="0"/>
              <w:spacing w:before="0" w:after="283"/>
              <w:ind w:left="124" w:right="0" w:hanging="0"/>
              <w:jc w:val="left"/>
              <w:rPr>
                <w:rFonts w:ascii="Arial;Helvetica;sans-serif" w:hAnsi="Arial;Helvetica;sans-serif"/>
                <w:color w:val="4C4C4C"/>
                <w:sz w:val="20"/>
                <w:bdr w:val="single" w:sz="8" w:space="3" w:color="000000"/>
              </w:rPr>
            </w:pPr>
            <w:r>
              <w:rPr>
                <w:rFonts w:ascii="Arial;Helvetica;sans-serif" w:hAnsi="Arial;Helvetica;sans-serif"/>
                <w:color w:val="4C4C4C"/>
                <w:sz w:val="20"/>
                <w:bdr w:val="single" w:sz="8" w:space="3" w:color="000000"/>
              </w:rPr>
              <w:t>$​115,100</w:t>
            </w:r>
          </w:p>
        </w:tc>
        <w:tc>
          <w:tcPr>
            <w:tcW w:w="170" w:type="dxa"/>
            <w:tcBorders/>
            <w:shd w:fill="BAE2F8" w:val="clear"/>
            <w:vAlign w:val="center"/>
          </w:tcPr>
          <w:p>
            <w:pPr>
              <w:pStyle w:val="TableContents"/>
              <w:bidi w:val="0"/>
              <w:spacing w:before="0" w:after="0"/>
              <w:jc w:val="left"/>
              <w:rPr/>
            </w:pPr>
            <w:r>
              <w:rPr/>
              <w:t> </w:t>
            </w:r>
          </w:p>
        </w:tc>
        <w:tc>
          <w:tcPr>
            <w:tcW w:w="170" w:type="dxa"/>
            <w:tcBorders/>
            <w:shd w:fill="BAE2F8" w:val="clear"/>
            <w:vAlign w:val="center"/>
          </w:tcPr>
          <w:p>
            <w:pPr>
              <w:pStyle w:val="TableContents"/>
              <w:bidi w:val="0"/>
              <w:spacing w:before="0" w:after="0"/>
              <w:jc w:val="left"/>
              <w:rPr/>
            </w:pPr>
            <w:r>
              <w:rPr/>
              <w:t> </w:t>
            </w:r>
          </w:p>
        </w:tc>
        <w:tc>
          <w:tcPr>
            <w:tcW w:w="1010" w:type="dxa"/>
            <w:tcBorders/>
            <w:shd w:fill="BAE2F8" w:val="clear"/>
            <w:vAlign w:val="center"/>
          </w:tcPr>
          <w:p>
            <w:pPr>
              <w:pStyle w:val="TableContents"/>
              <w:bidi w:val="0"/>
              <w:spacing w:before="0" w:after="283"/>
              <w:ind w:left="124" w:right="0" w:hanging="0"/>
              <w:jc w:val="left"/>
              <w:rPr>
                <w:rFonts w:ascii="Arial;Helvetica;sans-serif" w:hAnsi="Arial;Helvetica;sans-serif"/>
                <w:color w:val="4C4C4C"/>
                <w:sz w:val="20"/>
                <w:bdr w:val="single" w:sz="8" w:space="3" w:color="000000"/>
              </w:rPr>
            </w:pPr>
            <w:r>
              <w:rPr>
                <w:rFonts w:ascii="Arial;Helvetica;sans-serif" w:hAnsi="Arial;Helvetica;sans-serif"/>
                <w:color w:val="4C4C4C"/>
                <w:sz w:val="20"/>
                <w:bdr w:val="single" w:sz="8" w:space="3" w:color="000000"/>
              </w:rPr>
              <w:t>$64,821</w:t>
            </w:r>
          </w:p>
        </w:tc>
        <w:tc>
          <w:tcPr>
            <w:tcW w:w="215" w:type="dxa"/>
            <w:tcBorders/>
            <w:shd w:fill="BAE2F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20" w:right="0" w:hanging="0"/>
              <w:jc w:val="left"/>
              <w:rPr>
                <w:rFonts w:ascii="Arial;Helvetica;sans-serif" w:hAnsi="Arial;Helvetica;sans-serif"/>
                <w:b/>
                <w:color w:val="4C4C4C"/>
                <w:sz w:val="20"/>
              </w:rPr>
            </w:pPr>
            <w:r>
              <w:rPr>
                <w:rFonts w:ascii="Arial;Helvetica;sans-serif" w:hAnsi="Arial;Helvetica;sans-serif"/>
                <w:b/>
                <w:color w:val="4C4C4C"/>
                <w:sz w:val="20"/>
              </w:rPr>
              <w:t>Total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24" w:right="0" w:hanging="0"/>
              <w:jc w:val="left"/>
              <w:rPr>
                <w:rFonts w:ascii="Arial;Helvetica;sans-serif" w:hAnsi="Arial;Helvetica;sans-serif"/>
                <w:b/>
                <w:color w:val="4C4C4C"/>
                <w:sz w:val="20"/>
              </w:rPr>
            </w:pPr>
            <w:r>
              <w:rPr>
                <w:rFonts w:ascii="Arial;Helvetica;sans-serif" w:hAnsi="Arial;Helvetica;sans-serif"/>
                <w:b/>
                <w:color w:val="4C4C4C"/>
                <w:sz w:val="20"/>
              </w:rPr>
              <w:t>$1,725,100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24" w:right="0" w:hanging="0"/>
              <w:jc w:val="left"/>
              <w:rPr>
                <w:rFonts w:ascii="Arial;Helvetica;sans-serif" w:hAnsi="Arial;Helvetica;sans-serif"/>
                <w:b/>
                <w:color w:val="4C4C4C"/>
                <w:sz w:val="20"/>
              </w:rPr>
            </w:pPr>
            <w:r>
              <w:rPr>
                <w:rFonts w:ascii="Arial;Helvetica;sans-serif" w:hAnsi="Arial;Helvetica;sans-serif"/>
                <w:b/>
                <w:color w:val="4C4C4C"/>
                <w:sz w:val="20"/>
              </w:rPr>
              <w:t>$1,319,490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9987"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Represent fees for professional services provided in connection with the audits of annual financial statements. Audit Fees also include reviews of quarterly financial statements, audit services related to other regulatory filings or engagements, and fees related to EY’s audit of the effectiveness of the Company’s internal control over financial reporting pursuant to section 404 of the Sarbanes-Oxley Act.</w:t>
            </w:r>
          </w:p>
        </w:tc>
      </w:tr>
    </w:tbl>
    <w:tbl>
      <w:tblPr>
        <w:tblW w:w="3355" w:type="dxa"/>
        <w:jc w:val="left"/>
        <w:tblInd w:w="0" w:type="dxa"/>
        <w:tblLayout w:type="fixed"/>
        <w:tblCellMar>
          <w:top w:w="0" w:type="dxa"/>
          <w:left w:w="0" w:type="dxa"/>
          <w:bottom w:w="0" w:type="dxa"/>
          <w:right w:w="0" w:type="dxa"/>
        </w:tblCellMar>
      </w:tblPr>
      <w:tblGrid>
        <w:gridCol w:w="260"/>
        <w:gridCol w:w="3095"/>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309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Includes tax and other advisory services.</w:t>
            </w:r>
          </w:p>
        </w:tc>
      </w:tr>
    </w:tbl>
    <w:p>
      <w:pPr>
        <w:pStyle w:val="TextBody"/>
        <w:bidi w:val="0"/>
        <w:spacing w:before="260" w:after="283"/>
        <w:ind w:left="0" w:right="0" w:hanging="0"/>
        <w:jc w:val="left"/>
        <w:rPr>
          <w:rFonts w:ascii="Arial;Helvetica;sans-serif" w:hAnsi="Arial;Helvetica;sans-serif"/>
          <w:b/>
          <w:color w:val="0079C1"/>
          <w:sz w:val="24"/>
        </w:rPr>
      </w:pPr>
      <w:bookmarkStart w:id="93" w:name="tACP"/>
      <w:bookmarkEnd w:id="93"/>
      <w:r>
        <w:rPr>
          <w:rFonts w:ascii="Arial;Helvetica;sans-serif" w:hAnsi="Arial;Helvetica;sans-serif"/>
          <w:b/>
          <w:color w:val="0079C1"/>
          <w:sz w:val="24"/>
        </w:rPr>
        <w:t>Audit Committee Pre-Approval Policies and Procedures</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audit committee has adopted a policy that requires the audit committee or a member of the audit committee to pre-approve all engagements with our independent auditor. These services include audit services, audit-related services and tax services. Each year, the audit committee must approve the independent auditor’s retention to audit our financial statements, subject to ratification by the stockholders. The audit committee also approves the estimated fees associated with the audit before the audit begins. The audit committee or a member of the audit committee also pre-approves any engagement of an auditing firm other than the independent auditor to perform a statutory audit for any of our subsidiaries.</w:t>
      </w:r>
    </w:p>
    <w:p>
      <w:pPr>
        <w:pStyle w:val="TextBody"/>
        <w:bidi w:val="0"/>
        <w:spacing w:before="280" w:after="283"/>
        <w:ind w:left="0" w:right="0" w:hanging="0"/>
        <w:jc w:val="left"/>
        <w:rPr>
          <w:rFonts w:ascii="Arial;Helvetica;sans-serif" w:hAnsi="Arial;Helvetica;sans-serif"/>
          <w:b/>
          <w:color w:val="0079C1"/>
          <w:sz w:val="24"/>
        </w:rPr>
      </w:pPr>
      <w:bookmarkStart w:id="94" w:name="tROT"/>
      <w:bookmarkEnd w:id="94"/>
      <w:r>
        <w:rPr>
          <w:rFonts w:ascii="Arial;Helvetica;sans-serif" w:hAnsi="Arial;Helvetica;sans-serif"/>
          <w:b/>
          <w:color w:val="0079C1"/>
          <w:sz w:val="24"/>
        </w:rPr>
        <w:t>Report of the Audit Committee</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The audit committee, or the Audit Committee, of the board of directors of ACM Research, Inc., or ACM, consists entirely of directors who meet the independence requirements of the listing standards of Nasdaq and the rules and regulations of the SEC, as determined by the board of directors. The Audit Committee is responsible for providing independent, objective oversight of the financial reporting processes and internal controls for ACM. The Audit Committee operates under a written charter approved by the board of directors. A copy of the current charter is available at </w:t>
      </w:r>
      <w:r>
        <w:rPr>
          <w:rFonts w:ascii="Arial;Helvetica;sans-serif" w:hAnsi="Arial;Helvetica;sans-serif"/>
          <w:i/>
          <w:color w:val="4C4C4C"/>
          <w:sz w:val="20"/>
        </w:rPr>
        <w:t>ir.acmr.com/corporate-governance/highlights</w:t>
      </w:r>
      <w:r>
        <w:rPr>
          <w:rFonts w:ascii="Arial;Helvetica;sans-serif" w:hAnsi="Arial;Helvetica;sans-serif"/>
          <w:color w:val="4C4C4C"/>
          <w:sz w:val="20"/>
        </w:rPr>
        <w:t>.</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Management is responsible for ACM’s system of internal control over financial reporting processes, for the preparation of consolidated financial statements in accordance with U.S. generally accepted accounting principles and for the annual report on ACM’s internal control over financial reporting. The independent auditor is responsible for performing an independent audit of ACM’s consolidated financial statements in accordance with the standards of the Public Company Accounting Oversight Board, or PCAOB, and for issuing a report on the financial statements and the effectiveness of ACM’s internal control over financial reporting. The Audit Committee’s responsibility is to monitor and oversee these processes. In performing its functions, the Audit Committee acts only in an oversight capacity and necessarily relied on the work and assurances of management, the internal audit group, and the independent auditor. Audit Committee members do not serve as professional accountants or auditors for ACM, and their functions are not intended to duplicate or certify the activities of ACM’s management or independent auditor.</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Consistent with its monitoring and oversight responsibilities, the Audit Committee met with management and Ernst &amp; Young, the independent auditor of ACM, to review and discuss the December 31, 2024 audited consolidated financial statements. Management represented that ACM had prepared the consolidated financial statements in accordance with U.S. generally accepted accounting principles. The Audit Committee discussed with Ernst &amp; Young the matters required by the PCAOB in accordance with Auditing Standard No. 1301, “Communications with Audit Committees.”</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The Audit Committee received from Ernst &amp; Young the written communication that is required by PCAOB Rule 3526, “Communication with Audit Committees Concerning Independence,” and the Audit Committee discussed with Ernst &amp; Young that firm’s independence. The Audit Committee also considered whether Ernst &amp; Young’s provision of non-audit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48</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5" w:name="ny20042784x1_def14a_116-prop2_pg3"/>
        <w:bookmarkEnd w:id="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color w:val="4C4C4C"/>
          <w:sz w:val="20"/>
        </w:rPr>
      </w:pPr>
      <w:r>
        <w:rPr>
          <w:rFonts w:ascii="Arial;Helvetica;sans-serif" w:hAnsi="Arial;Helvetica;sans-serif"/>
          <w:color w:val="4C4C4C"/>
          <w:sz w:val="20"/>
        </w:rPr>
        <w:t>services and the audit and non-audit fees paid to Ernst &amp; Young were compatible with maintaining that firm’s independence. On the basis of these reviews, the Audit Committee determined that Ernst &amp; Young has the requisite independence.</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Management completed the documentation, testing and evaluation of ACM’s system of internal control over financial reporting as of December 31, 2024 as required by Section 404 of the Sarbanes-Oxley Act of 2003. The Audit Committee received periodic updates from management and Ernst &amp; Young at Audit Committee meetings throughout the year and provided oversight of the process. Prior to filing ACM’s Annual Report on Form 10-K for the fiscal year ended December 31, 2024, or the Form 10-K, with the SEC, the Audit Committee also reviewed management’s report on the effectiveness of ACM’s internal control over financial reporting contained in the Form 10-K, as well as the Report of Independent Registered Public Accounting Firm provided by Ernst &amp; Young and also included in the Form 10-K. Ernst &amp; Young Hua Ming LLP’s reports included in the Form 10-K related to its audit of ACM’s consolidated financial statements and internal control over financial reporting.</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Based upon the Audit Committee’s discussions with management and Ernst &amp; Young Hua Ming LLP and the Audit Committee’s review of the information provided by, and the representations of, management, the Audit Committee recommended to the board that the audited consolidated financial statements of ACM as of and for the year ended December 31, 2024 be included in the Form 10-K.</w:t>
      </w:r>
    </w:p>
    <w:p>
      <w:pPr>
        <w:pStyle w:val="TextBody"/>
        <w:bidi w:val="0"/>
        <w:spacing w:before="240" w:after="283"/>
        <w:ind w:left="0" w:right="0" w:hanging="0"/>
        <w:jc w:val="left"/>
        <w:rPr>
          <w:rFonts w:ascii="Arial;Helvetica;sans-serif" w:hAnsi="Arial;Helvetica;sans-serif"/>
          <w:color w:val="4C4C4C"/>
          <w:sz w:val="20"/>
        </w:rPr>
      </w:pPr>
      <w:r>
        <w:rPr>
          <w:rFonts w:ascii="Arial;Helvetica;sans-serif" w:hAnsi="Arial;Helvetica;sans-serif"/>
          <w:color w:val="4C4C4C"/>
          <w:sz w:val="20"/>
        </w:rPr>
        <w:t>Respectfully submitted by the members of the Audit Committee.</w:t>
      </w:r>
    </w:p>
    <w:p>
      <w:pPr>
        <w:pStyle w:val="TextBody"/>
        <w:bidi w:val="0"/>
        <w:spacing w:before="240" w:after="283"/>
        <w:ind w:left="0" w:right="0" w:hanging="0"/>
        <w:jc w:val="left"/>
        <w:rPr>
          <w:rFonts w:ascii="Arial;Helvetica;sans-serif" w:hAnsi="Arial;Helvetica;sans-serif"/>
          <w:color w:val="4C4C4C"/>
          <w:sz w:val="20"/>
        </w:rPr>
      </w:pPr>
      <w:r>
        <w:rPr>
          <w:rFonts w:ascii="Arial;Helvetica;sans-serif" w:hAnsi="Arial;Helvetica;sans-serif"/>
          <w:color w:val="4C4C4C"/>
          <w:sz w:val="20"/>
        </w:rPr>
        <w:t>Tracy Liu (Chair)</w:t>
      </w:r>
    </w:p>
    <w:p>
      <w:pPr>
        <w:pStyle w:val="TextBody"/>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Haiping Dun</w:t>
      </w:r>
    </w:p>
    <w:p>
      <w:pPr>
        <w:pStyle w:val="TextBody"/>
        <w:bidi w:val="0"/>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Charles Pappis</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49</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6" w:name="ny20042784x1_def14a_116-prop2_pg4"/>
        <w:bookmarkEnd w:id="96"/>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Arial;Helvetica;sans-serif" w:hAnsi="Arial;Helvetica;sans-serif"/>
          <w:b/>
          <w:color w:val="0D3F64"/>
          <w:sz w:val="28"/>
        </w:rPr>
      </w:pPr>
      <w:bookmarkStart w:id="97" w:name="tSPF"/>
      <w:bookmarkEnd w:id="97"/>
      <w:r>
        <w:rPr>
          <w:rFonts w:ascii="Arial;Helvetica;sans-serif" w:hAnsi="Arial;Helvetica;sans-serif"/>
          <w:b/>
          <w:color w:val="0D3F64"/>
          <w:sz w:val="28"/>
        </w:rPr>
        <w:t>Stockholder Proposals for 2026 Annual Meeting</w:t>
      </w:r>
    </w:p>
    <w:p>
      <w:pPr>
        <w:pStyle w:val="TextBody"/>
        <w:bidi w:val="0"/>
        <w:spacing w:before="360" w:after="283"/>
        <w:ind w:left="0" w:right="0" w:hanging="0"/>
        <w:jc w:val="both"/>
        <w:rPr>
          <w:rFonts w:ascii="Arial;Helvetica;sans-serif" w:hAnsi="Arial;Helvetica;sans-serif"/>
          <w:color w:val="4C4C4C"/>
          <w:sz w:val="20"/>
        </w:rPr>
      </w:pPr>
      <w:r>
        <w:rPr>
          <w:rFonts w:ascii="Arial;Helvetica;sans-serif" w:hAnsi="Arial;Helvetica;sans-serif"/>
          <w:color w:val="4C4C4C"/>
          <w:sz w:val="20"/>
        </w:rPr>
        <w:t>In order for stockholder proposals for the 2026 Annual Meeting of Stockholders to be eligible for inclusion in the proxy statement and form of proxy card for that meeting, we must receive the proposals at our corporate headquarters, 42307 Osgood Road, Suite I, Fremont, California 94539, directed to the attention of our Corporate Secretary, no later than December 30, 2025. In addition, all proposals will need to comply with Rule 14a-8 of the Securities Exchange Act, which sets forth the requirements for the inclusion of stockholder proposals in our sponsored proxy materials.</w:t>
      </w:r>
    </w:p>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Our bylaws set forth the procedures you must follow in order to nominate a director for election or present any other proposal at an annual meeting of our stockholders, other than proposals intended to be included in our sponsored proxy materials. In addition to any other applicable requirements, for a stockholder to properly bring business before the 2026 Annual Meeting of Stockholders, the stockholder must give us notice thereof in proper written form, including all required information, at our corporate headquarters, 42307 Osgood Road, Suite I, Fremont, California 94539, directed to the attention of our Corporate Secretary, no later than the close of business on March 14, 2026, nor earlier than the close of business on February 12, 2026. A copy of our bylaws is available at </w:t>
      </w:r>
      <w:r>
        <w:rPr>
          <w:rFonts w:ascii="Arial;Helvetica;sans-serif" w:hAnsi="Arial;Helvetica;sans-serif"/>
          <w:i/>
          <w:color w:val="4C4C4C"/>
          <w:sz w:val="20"/>
        </w:rPr>
        <w:t>ir.acmr.com/corporate-governance/highlights</w:t>
      </w:r>
      <w:r>
        <w:rPr>
          <w:rFonts w:ascii="Arial;Helvetica;sans-serif" w:hAnsi="Arial;Helvetica;sans-serif"/>
          <w:color w:val="4C4C4C"/>
          <w:sz w:val="20"/>
        </w:rPr>
        <w:t>.</w:t>
      </w:r>
    </w:p>
    <w:p>
      <w:pPr>
        <w:pStyle w:val="TextBody"/>
        <w:bidi w:val="0"/>
        <w:spacing w:before="280" w:after="283"/>
        <w:jc w:val="center"/>
        <w:rPr>
          <w:rFonts w:ascii="Arial;Helvetica;sans-serif" w:hAnsi="Arial;Helvetica;sans-serif"/>
          <w:b/>
          <w:color w:val="0D3F64"/>
          <w:sz w:val="28"/>
        </w:rPr>
      </w:pPr>
      <w:bookmarkStart w:id="98" w:name="tDOD"/>
      <w:bookmarkEnd w:id="98"/>
      <w:r>
        <w:rPr>
          <w:rFonts w:ascii="Arial;Helvetica;sans-serif" w:hAnsi="Arial;Helvetica;sans-serif"/>
          <w:b/>
          <w:color w:val="0D3F64"/>
          <w:sz w:val="28"/>
        </w:rPr>
        <w:t>Delivery of Documents to Security Holders Sharing an Address</w:t>
      </w:r>
    </w:p>
    <w:p>
      <w:pPr>
        <w:pStyle w:val="TextBody"/>
        <w:bidi w:val="0"/>
        <w:spacing w:before="36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SEC rules permit us to deliver one copy of the proxy materials, or one Notice of Internet Availability, to two or more stockholders who share an address, unless we have received contrary instructions from one or more of the stockholders. This delivery method, which is known as “householding,” can reduce our expenses for printing and mailing. Any stockholder of record at a shared address to which a single copy of the proxy materials or Notice of Internet Availability, was delivered may request a separate copy of the proxy materials, or Notice of Internet Availability, as applicable, by (a) sending a letter to Shareholder Services at ACM Research, Inc., 42307 Osgood Road, Suite I, Fremont, California 94539, to the attention of our Corporate Secretary, or (b) sending us an email at </w:t>
      </w:r>
      <w:r>
        <w:rPr>
          <w:rFonts w:ascii="Arial;Helvetica;sans-serif" w:hAnsi="Arial;Helvetica;sans-serif"/>
          <w:i/>
          <w:color w:val="4C4C4C"/>
          <w:sz w:val="20"/>
        </w:rPr>
        <w:t>investor.relations@acmr.com</w:t>
      </w:r>
      <w:r>
        <w:rPr>
          <w:rFonts w:ascii="Arial;Helvetica;sans-serif" w:hAnsi="Arial;Helvetica;sans-serif"/>
          <w:color w:val="4C4C4C"/>
          <w:sz w:val="20"/>
        </w:rPr>
        <w:t>. Stockholders of record who wish to receive separate copies of these documents in the future may also contact us as stated above. Stockholders of record who share an address and receive two or more copies of the proxy materials or Notice of Internet Availability may contact us as stated above to request delivery of a single copy. A stockholder who holds shares in “street name” and who wishes to obtain copies of proxy materials should follow the instructions on the stockholder’s voting instruction form or should contact the holder of record.</w:t>
      </w:r>
    </w:p>
    <w:p>
      <w:pPr>
        <w:pStyle w:val="TextBody"/>
        <w:bidi w:val="0"/>
        <w:spacing w:before="280" w:after="283"/>
        <w:jc w:val="center"/>
        <w:rPr>
          <w:rFonts w:ascii="Arial;Helvetica;sans-serif" w:hAnsi="Arial;Helvetica;sans-serif"/>
          <w:b/>
          <w:color w:val="0D3F64"/>
          <w:sz w:val="28"/>
        </w:rPr>
      </w:pPr>
      <w:bookmarkStart w:id="99" w:name="tOM"/>
      <w:bookmarkEnd w:id="99"/>
      <w:r>
        <w:rPr>
          <w:rFonts w:ascii="Arial;Helvetica;sans-serif" w:hAnsi="Arial;Helvetica;sans-serif"/>
          <w:b/>
          <w:color w:val="0D3F64"/>
          <w:sz w:val="28"/>
        </w:rPr>
        <w:t>Other Matters</w:t>
      </w:r>
    </w:p>
    <w:p>
      <w:pPr>
        <w:pStyle w:val="TextBody"/>
        <w:bidi w:val="0"/>
        <w:spacing w:before="360" w:after="283"/>
        <w:ind w:left="0" w:right="0" w:hanging="0"/>
        <w:jc w:val="both"/>
        <w:rPr>
          <w:rFonts w:ascii="Arial;Helvetica;sans-serif" w:hAnsi="Arial;Helvetica;sans-serif"/>
          <w:color w:val="4C4C4C"/>
          <w:sz w:val="20"/>
        </w:rPr>
      </w:pPr>
      <w:r>
        <w:rPr>
          <w:rFonts w:ascii="Arial;Helvetica;sans-serif" w:hAnsi="Arial;Helvetica;sans-serif"/>
          <w:color w:val="4C4C4C"/>
          <w:sz w:val="20"/>
        </w:rPr>
        <w:t>We will pay all expenses of preparing, printing and mailing the Annual Meeting proxy materials, as well as all other expenses of soliciting proxies for the Annual Meeting on behalf of the board of directors.</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50</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0" w:name="ny20042784x1_def14a_300-appa_pg1"/>
        <w:bookmarkEnd w:id="1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Arial;Helvetica;sans-serif" w:hAnsi="Arial;Helvetica;sans-serif"/>
          <w:b/>
          <w:i/>
          <w:color w:val="4C4C4C"/>
          <w:sz w:val="20"/>
        </w:rPr>
      </w:pPr>
      <w:bookmarkStart w:id="101" w:name="tAPPXA"/>
      <w:bookmarkEnd w:id="101"/>
      <w:r>
        <w:rPr>
          <w:rFonts w:ascii="Arial;Helvetica;sans-serif" w:hAnsi="Arial;Helvetica;sans-serif"/>
          <w:b/>
          <w:i/>
          <w:color w:val="4C4C4C"/>
          <w:sz w:val="20"/>
        </w:rPr>
        <w:t>Appendix A</w:t>
      </w:r>
    </w:p>
    <w:tbl>
      <w:tblPr>
        <w:tblW w:w="8220" w:type="dxa"/>
        <w:jc w:val="left"/>
        <w:tblInd w:w="0" w:type="dxa"/>
        <w:tblLayout w:type="fixed"/>
        <w:tblCellMar>
          <w:top w:w="0" w:type="dxa"/>
          <w:left w:w="0" w:type="dxa"/>
          <w:bottom w:w="0" w:type="dxa"/>
          <w:right w:w="0" w:type="dxa"/>
        </w:tblCellMar>
      </w:tblPr>
      <w:tblGrid>
        <w:gridCol w:w="2040"/>
        <w:gridCol w:w="170"/>
        <w:gridCol w:w="170"/>
        <w:gridCol w:w="5285"/>
        <w:gridCol w:w="170"/>
        <w:gridCol w:w="170"/>
        <w:gridCol w:w="215"/>
      </w:tblGrid>
      <w:tr>
        <w:trPr/>
        <w:tc>
          <w:tcPr>
            <w:tcW w:w="20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2040" w:type="dxa"/>
            <w:tcBorders/>
            <w:vAlign w:val="center"/>
          </w:tcPr>
          <w:p>
            <w:pPr>
              <w:pStyle w:val="TableContents"/>
              <w:bidi w:val="0"/>
              <w:spacing w:before="0" w:after="283"/>
              <w:ind w:left="0" w:right="0" w:hanging="0"/>
              <w:jc w:val="left"/>
              <w:rPr>
                <w:color w:val="4C4C4C"/>
              </w:rPr>
            </w:pPr>
            <w:r>
              <w:rPr>
                <w:color w:val="4C4C4C"/>
              </w:rPr>
              <w:drawing>
                <wp:inline distT="0" distB="0" distL="0" distR="0">
                  <wp:extent cx="1266825" cy="790575"/>
                  <wp:effectExtent l="0" t="0" r="0" b="0"/>
                  <wp:docPr id="3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7" descr=""/>
                          <pic:cNvPicPr>
                            <a:picLocks noChangeAspect="1" noChangeArrowheads="1"/>
                          </pic:cNvPicPr>
                        </pic:nvPicPr>
                        <pic:blipFill>
                          <a:blip r:embed="rId31"/>
                          <a:stretch>
                            <a:fillRect/>
                          </a:stretch>
                        </pic:blipFill>
                        <pic:spPr bwMode="auto">
                          <a:xfrm>
                            <a:off x="0" y="0"/>
                            <a:ext cx="1266825" cy="790575"/>
                          </a:xfrm>
                          <a:prstGeom prst="rect">
                            <a:avLst/>
                          </a:prstGeom>
                        </pic:spPr>
                      </pic:pic>
                    </a:graphicData>
                  </a:graphic>
                </wp:inline>
              </w:drawing>
            </w:r>
          </w:p>
          <w:p>
            <w:pPr>
              <w:pStyle w:val="TableContents"/>
              <w:bidi w:val="0"/>
              <w:spacing w:before="0" w:after="283"/>
              <w:ind w:left="0" w:right="0" w:hanging="0"/>
              <w:jc w:val="left"/>
              <w:rPr>
                <w:color w:val="4C4C4C"/>
              </w:rPr>
            </w:pPr>
            <w:r>
              <w:rPr>
                <w:color w:val="4C4C4C"/>
              </w:rPr>
              <w:t> </w:t>
            </w:r>
          </w:p>
          <w:p>
            <w:pPr>
              <w:pStyle w:val="TableContents"/>
              <w:bidi w:val="0"/>
              <w:spacing w:before="0" w:after="283"/>
              <w:ind w:left="0" w:right="0" w:hanging="0"/>
              <w:jc w:val="left"/>
              <w:rPr>
                <w:color w:val="4C4C4C"/>
              </w:rPr>
            </w:pPr>
            <w:r>
              <w:rPr>
                <w:color w:val="4C4C4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285" w:type="dxa"/>
            <w:tcBorders/>
            <w:vAlign w:val="center"/>
          </w:tcPr>
          <w:p>
            <w:pPr>
              <w:pStyle w:val="TableContents"/>
              <w:bidi w:val="0"/>
              <w:spacing w:before="0" w:after="283"/>
              <w:jc w:val="center"/>
              <w:rPr>
                <w:rFonts w:ascii="Arial;Helvetica;sans-serif" w:hAnsi="Arial;Helvetica;sans-serif"/>
                <w:b/>
                <w:color w:val="3F609D"/>
                <w:sz w:val="28"/>
              </w:rPr>
            </w:pPr>
            <w:r>
              <w:rPr>
                <w:rFonts w:ascii="Arial;Helvetica;sans-serif" w:hAnsi="Arial;Helvetica;sans-serif"/>
                <w:b/>
                <w:color w:val="3F609D"/>
                <w:sz w:val="28"/>
              </w:rPr>
              <w:t xml:space="preserve">ACM RESEARCH, INC. </w:t>
            </w:r>
          </w:p>
          <w:p>
            <w:pPr>
              <w:pStyle w:val="TableContents"/>
              <w:bidi w:val="0"/>
              <w:spacing w:before="0" w:after="283"/>
              <w:jc w:val="center"/>
              <w:rPr>
                <w:rFonts w:ascii="Arial;Helvetica;sans-serif" w:hAnsi="Arial;Helvetica;sans-serif"/>
                <w:b/>
                <w:color w:val="3F609D"/>
                <w:sz w:val="28"/>
              </w:rPr>
            </w:pPr>
            <w:r>
              <w:rPr>
                <w:rFonts w:ascii="Arial;Helvetica;sans-serif" w:hAnsi="Arial;Helvetica;sans-serif"/>
                <w:b/>
                <w:color w:val="3F609D"/>
                <w:sz w:val="28"/>
              </w:rPr>
              <w:t xml:space="preserve">2025 Annual Meeting of Stockholders </w:t>
            </w:r>
          </w:p>
          <w:p>
            <w:pPr>
              <w:pStyle w:val="TableContents"/>
              <w:bidi w:val="0"/>
              <w:spacing w:before="0" w:after="283"/>
              <w:jc w:val="center"/>
              <w:rPr>
                <w:rFonts w:ascii="Arial;Helvetica;sans-serif" w:hAnsi="Arial;Helvetica;sans-serif"/>
                <w:b/>
                <w:color w:val="3F609D"/>
                <w:sz w:val="28"/>
              </w:rPr>
            </w:pPr>
            <w:r>
              <w:rPr>
                <w:rFonts w:ascii="Arial;Helvetica;sans-serif" w:hAnsi="Arial;Helvetica;sans-serif"/>
                <w:b/>
                <w:color w:val="3F609D"/>
                <w:sz w:val="28"/>
              </w:rPr>
              <w:t>Rules of Conduct and Procedures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4C4C4C"/>
              </w:rPr>
            </w:pPr>
            <w:r>
              <w:rPr>
                <w:color w:val="4C4C4C"/>
              </w:rPr>
              <w:t> </w:t>
            </w:r>
          </w:p>
        </w:tc>
      </w:tr>
      <w:tr>
        <w:trPr/>
        <w:tc>
          <w:tcPr>
            <w:tcW w:w="20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Welcome to the 2025 Annual Meeting of Stockholders (the “Annual Meeting”) of ACM Research, Inc. (the “Company”). In the interest of providing a fair and informative Annual Meeting, participants are required to honor the following Rules of Conduct and Procedures:</w:t>
      </w:r>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1.</w:t>
            </w:r>
          </w:p>
        </w:tc>
        <w:tc>
          <w:tcPr>
            <w:tcW w:w="10009" w:type="dxa"/>
            <w:tcBorders/>
            <w:vAlign w:val="center"/>
          </w:tcPr>
          <w:p>
            <w:pPr>
              <w:pStyle w:val="TableContents"/>
              <w:bidi w:val="0"/>
              <w:spacing w:before="0" w:after="0"/>
              <w:jc w:val="both"/>
              <w:rPr>
                <w:rFonts w:ascii="Arial;Helvetica;sans-serif" w:hAnsi="Arial;Helvetica;sans-serif"/>
                <w:color w:val="4C4C4C"/>
                <w:sz w:val="20"/>
              </w:rPr>
            </w:pPr>
            <w:r>
              <w:rPr>
                <w:rFonts w:ascii="Arial;Helvetica;sans-serif" w:hAnsi="Arial;Helvetica;sans-serif"/>
                <w:color w:val="4C4C4C"/>
                <w:sz w:val="20"/>
              </w:rPr>
              <w:t>The Company’s bylaws describe requirements for meetings of our stockholders, and the Annual Meeting will be conducted consistent with those requirements.</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2.</w:t>
            </w:r>
          </w:p>
        </w:tc>
        <w:tc>
          <w:tcPr>
            <w:tcW w:w="10044" w:type="dxa"/>
            <w:tcBorders/>
            <w:vAlign w:val="center"/>
          </w:tcPr>
          <w:p>
            <w:pPr>
              <w:pStyle w:val="TableContents"/>
              <w:bidi w:val="0"/>
              <w:spacing w:before="0" w:after="0"/>
              <w:jc w:val="both"/>
              <w:rPr>
                <w:rFonts w:ascii="Arial;Helvetica;sans-serif" w:hAnsi="Arial;Helvetica;sans-serif"/>
                <w:color w:val="4C4C4C"/>
                <w:sz w:val="20"/>
              </w:rPr>
            </w:pPr>
            <w:r>
              <w:rPr>
                <w:rFonts w:ascii="Arial;Helvetica;sans-serif" w:hAnsi="Arial;Helvetica;sans-serif"/>
                <w:color w:val="4C4C4C"/>
                <w:sz w:val="20"/>
              </w:rPr>
              <w:t>The Chair of the Company’s Board of Directors will serve as the chair of the Annual Meeting (the “Chair”) and will have the authority and discretion necessary to preside over the Annual Meeting, including following adjournment of the formal business of the Annual Meeting. In the event of disorder, technical malfunction or any other issue that disrupts the Annual Meeting, the Chair may adjourn, recess or expedite the Annual Meeting or take such other action that he determines is appropriate in light of the circumstances. In the event of any question of conduct or procedures that is not addressed expressly and clearly by these Rules of Conduct and Procedure, the Chair is authorized to address the question in such manner as he determines, in his reasonable judgment, to be in the best interest of conducting a fair and informative Annual Meeting consistent with the purposes of the Annual Meeting.</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3.</w:t>
            </w:r>
          </w:p>
        </w:tc>
        <w:tc>
          <w:tcPr>
            <w:tcW w:w="10026" w:type="dxa"/>
            <w:tcBorders/>
            <w:vAlign w:val="center"/>
          </w:tcPr>
          <w:p>
            <w:pPr>
              <w:pStyle w:val="TableContents"/>
              <w:bidi w:val="0"/>
              <w:spacing w:before="0" w:after="0"/>
              <w:jc w:val="both"/>
              <w:rPr>
                <w:rFonts w:ascii="Arial;Helvetica;sans-serif" w:hAnsi="Arial;Helvetica;sans-serif"/>
                <w:color w:val="4C4C4C"/>
                <w:sz w:val="20"/>
              </w:rPr>
            </w:pPr>
            <w:r>
              <w:rPr>
                <w:rFonts w:ascii="Arial;Helvetica;sans-serif" w:hAnsi="Arial;Helvetica;sans-serif"/>
                <w:color w:val="4C4C4C"/>
                <w:sz w:val="20"/>
              </w:rPr>
              <w:t>The Annual Meeting is a virtual-only meeting. The live audio webcast of the Annual Meeting will be available for listening by the general public, but participation in the Annual Meeting, including voting shares and submitting questions, will be limited to stockholders.</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4.</w:t>
            </w:r>
          </w:p>
        </w:tc>
        <w:tc>
          <w:tcPr>
            <w:tcW w:w="10015" w:type="dxa"/>
            <w:tcBorders/>
            <w:vAlign w:val="center"/>
          </w:tcPr>
          <w:p>
            <w:pPr>
              <w:pStyle w:val="TableContents"/>
              <w:bidi w:val="0"/>
              <w:spacing w:before="0" w:after="0"/>
              <w:jc w:val="both"/>
              <w:rPr>
                <w:rFonts w:ascii="Arial;Helvetica;sans-serif" w:hAnsi="Arial;Helvetica;sans-serif"/>
                <w:color w:val="4C4C4C"/>
                <w:sz w:val="20"/>
              </w:rPr>
            </w:pPr>
            <w:r>
              <w:rPr>
                <w:rFonts w:ascii="Arial;Helvetica;sans-serif" w:hAnsi="Arial;Helvetica;sans-serif"/>
                <w:color w:val="4C4C4C"/>
                <w:sz w:val="20"/>
              </w:rPr>
              <w:t xml:space="preserve">Participants may access a live webcast of the Annual Meeting, and stockholders may submit questions and vote their shares, at </w:t>
            </w:r>
            <w:r>
              <w:rPr>
                <w:rFonts w:ascii="Arial;Helvetica;sans-serif" w:hAnsi="Arial;Helvetica;sans-serif"/>
                <w:i/>
                <w:color w:val="4C4C4C"/>
                <w:sz w:val="20"/>
              </w:rPr>
              <w:t>virtualshareholdermeeting.com/ACMR2025</w:t>
            </w:r>
            <w:r>
              <w:rPr>
                <w:rFonts w:ascii="Arial;Helvetica;sans-serif" w:hAnsi="Arial;Helvetica;sans-serif"/>
                <w:color w:val="4C4C4C"/>
                <w:sz w:val="20"/>
              </w:rPr>
              <w:t>.</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5.</w:t>
            </w:r>
          </w:p>
        </w:tc>
        <w:tc>
          <w:tcPr>
            <w:tcW w:w="10038" w:type="dxa"/>
            <w:tcBorders/>
            <w:vAlign w:val="center"/>
          </w:tcPr>
          <w:p>
            <w:pPr>
              <w:pStyle w:val="TableContents"/>
              <w:bidi w:val="0"/>
              <w:spacing w:before="0" w:after="0"/>
              <w:jc w:val="both"/>
              <w:rPr>
                <w:rFonts w:ascii="Arial;Helvetica;sans-serif" w:hAnsi="Arial;Helvetica;sans-serif"/>
                <w:color w:val="4C4C4C"/>
                <w:sz w:val="20"/>
              </w:rPr>
            </w:pPr>
            <w:r>
              <w:rPr>
                <w:rFonts w:ascii="Arial;Helvetica;sans-serif" w:hAnsi="Arial;Helvetica;sans-serif"/>
                <w:color w:val="4C4C4C"/>
                <w:sz w:val="20"/>
              </w:rPr>
              <w:t>Each stockholder of record as of 5 p.m., Eastern time, on April 15, 2025 may log into the webcast by entering the 16-digit control number included on the Notice of Internet Availability of Proxy Materials or proxy card received from the Company. If you have voted your shares prior to the start of the Annual Meeting, your vote has been received by the Company’s inspector of elections and there is no need to vote those shares during the Annual Meeting, unless you wish to revoke or change your vote.</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6.</w:t>
            </w:r>
          </w:p>
        </w:tc>
        <w:tc>
          <w:tcPr>
            <w:tcW w:w="10035" w:type="dxa"/>
            <w:tcBorders/>
            <w:vAlign w:val="center"/>
          </w:tcPr>
          <w:p>
            <w:pPr>
              <w:pStyle w:val="TableContents"/>
              <w:bidi w:val="0"/>
              <w:spacing w:before="0" w:after="0"/>
              <w:jc w:val="both"/>
              <w:rPr>
                <w:rFonts w:ascii="Arial;Helvetica;sans-serif" w:hAnsi="Arial;Helvetica;sans-serif"/>
                <w:color w:val="4C4C4C"/>
                <w:sz w:val="20"/>
              </w:rPr>
            </w:pPr>
            <w:r>
              <w:rPr>
                <w:rFonts w:ascii="Arial;Helvetica;sans-serif" w:hAnsi="Arial;Helvetica;sans-serif"/>
                <w:color w:val="4C4C4C"/>
                <w:sz w:val="20"/>
              </w:rPr>
              <w:t>The Meeting will begin at 7:00 a.m., Pacific time, on June 12, 2025. The only business to be conducted at the Annual Meeting will consist of the consideration of, and voting on, the two proposals set forth in the Proxy Statement for the Annual Meeting. These proposals will be considered sequentially at the Annual Meeting, in the order they are enumerated and set forth in the Proxy Statement.</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7.</w:t>
            </w:r>
          </w:p>
        </w:tc>
        <w:tc>
          <w:tcPr>
            <w:tcW w:w="10041" w:type="dxa"/>
            <w:tcBorders/>
            <w:vAlign w:val="center"/>
          </w:tcPr>
          <w:p>
            <w:pPr>
              <w:pStyle w:val="TableContents"/>
              <w:bidi w:val="0"/>
              <w:spacing w:before="0" w:after="0"/>
              <w:jc w:val="both"/>
              <w:rPr>
                <w:rFonts w:ascii="Arial;Helvetica;sans-serif" w:hAnsi="Arial;Helvetica;sans-serif"/>
                <w:color w:val="4C4C4C"/>
                <w:sz w:val="20"/>
              </w:rPr>
            </w:pPr>
            <w:r>
              <w:rPr>
                <w:rFonts w:ascii="Arial;Helvetica;sans-serif" w:hAnsi="Arial;Helvetica;sans-serif"/>
                <w:color w:val="4C4C4C"/>
                <w:sz w:val="20"/>
              </w:rPr>
              <w:t>If a stockholder has a question about the agenda matter that is to be voted on at the Annual Meeting as set forth in the Company’s 2025 Proxy Statement, the question may be submitted in the field provided in the web portal at or before the time the matter is presented for consideration at the Annual Meeting. We will answer questions on the matter set forth in the Company’s 2025 Proxy Statement to be voted on by the stockholders at the Annual Meeting before voting is closed. During this period, the Company will not permit discussions or questions that are not relevant or pertinent to the agenda matter being discussed, as determined by the Chair in his reasonable judgment.</w:t>
            </w:r>
          </w:p>
        </w:tc>
      </w:tr>
    </w:tbl>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0"/>
              <w:jc w:val="left"/>
              <w:rPr/>
            </w:pPr>
            <w:r>
              <w:rPr/>
              <w:t> </w:t>
            </w:r>
          </w:p>
        </w:tc>
      </w:tr>
      <w:tr>
        <w:trPr/>
        <w:tc>
          <w:tcPr>
            <w:tcW w:w="41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A-1</w:t>
            </w:r>
          </w:p>
        </w:tc>
      </w:tr>
      <w:tr>
        <w:trPr/>
        <w:tc>
          <w:tcPr>
            <w:tcW w:w="41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2" w:name="ny20042784x1_def14a_300-appa_pg2"/>
        <w:bookmarkEnd w:id="10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8.</w:t>
            </w:r>
          </w:p>
        </w:tc>
        <w:tc>
          <w:tcPr>
            <w:tcW w:w="10032" w:type="dxa"/>
            <w:tcBorders/>
            <w:vAlign w:val="center"/>
          </w:tcPr>
          <w:p>
            <w:pPr>
              <w:pStyle w:val="TableContents"/>
              <w:bidi w:val="0"/>
              <w:spacing w:before="0" w:after="0"/>
              <w:jc w:val="both"/>
              <w:rPr>
                <w:rFonts w:ascii="Arial;Helvetica;sans-serif" w:hAnsi="Arial;Helvetica;sans-serif"/>
                <w:color w:val="4C4C4C"/>
                <w:sz w:val="20"/>
              </w:rPr>
            </w:pPr>
            <w:r>
              <w:rPr>
                <w:rFonts w:ascii="Arial;Helvetica;sans-serif" w:hAnsi="Arial;Helvetica;sans-serif"/>
                <w:color w:val="4C4C4C"/>
                <w:sz w:val="20"/>
              </w:rPr>
              <w:t>Following adjournment of the formal business of the Annual Meeting, the Company’s management will give a presentation about the Company’s business. At the conclusion of this presentation, the Company will address appropriate general questions from stockholders regarding the Company. The following rules will apply to this process:</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a.</w:t>
            </w:r>
          </w:p>
        </w:tc>
        <w:tc>
          <w:tcPr>
            <w:tcW w:w="9990" w:type="dxa"/>
            <w:tcBorders/>
            <w:vAlign w:val="center"/>
          </w:tcPr>
          <w:p>
            <w:pPr>
              <w:pStyle w:val="TableContents"/>
              <w:bidi w:val="0"/>
              <w:spacing w:before="0" w:after="0"/>
              <w:jc w:val="both"/>
              <w:rPr>
                <w:rFonts w:ascii="Arial;Helvetica;sans-serif" w:hAnsi="Arial;Helvetica;sans-serif"/>
                <w:color w:val="4C4C4C"/>
                <w:sz w:val="20"/>
              </w:rPr>
            </w:pPr>
            <w:r>
              <w:rPr>
                <w:rFonts w:ascii="Arial;Helvetica;sans-serif" w:hAnsi="Arial;Helvetica;sans-serif"/>
                <w:color w:val="4C4C4C"/>
                <w:sz w:val="20"/>
              </w:rPr>
              <w:t>To ensure that as many stockholders as possible are able to ask questions, each stockholder will be permitted to submit no more than two questions. Questions must be succinct and cover a single topic. All questions will be presented as submitted, uncensored and unedited, except that we may omit certain personal details for data protection issues and we may edit profanity or other inappropriate language.</w:t>
            </w:r>
          </w:p>
        </w:tc>
      </w:tr>
    </w:tbl>
    <w:tbl>
      <w:tblPr>
        <w:tblW w:w="5470" w:type="dxa"/>
        <w:jc w:val="left"/>
        <w:tblInd w:w="0" w:type="dxa"/>
        <w:tblLayout w:type="fixed"/>
        <w:tblCellMar>
          <w:top w:w="0" w:type="dxa"/>
          <w:left w:w="0" w:type="dxa"/>
          <w:bottom w:w="0" w:type="dxa"/>
          <w:right w:w="0" w:type="dxa"/>
        </w:tblCellMar>
      </w:tblPr>
      <w:tblGrid>
        <w:gridCol w:w="215"/>
        <w:gridCol w:w="5255"/>
      </w:tblGrid>
      <w:tr>
        <w:trPr/>
        <w:tc>
          <w:tcPr>
            <w:tcW w:w="215"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b.</w:t>
            </w:r>
          </w:p>
        </w:tc>
        <w:tc>
          <w:tcPr>
            <w:tcW w:w="5255"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We will answer questions in the order received, except that:</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i.</w:t>
            </w:r>
          </w:p>
        </w:tc>
        <w:tc>
          <w:tcPr>
            <w:tcW w:w="10050" w:type="dxa"/>
            <w:tcBorders/>
            <w:vAlign w:val="center"/>
          </w:tcPr>
          <w:p>
            <w:pPr>
              <w:pStyle w:val="TableContents"/>
              <w:bidi w:val="0"/>
              <w:spacing w:before="0" w:after="0"/>
              <w:jc w:val="both"/>
              <w:rPr>
                <w:rFonts w:ascii="Arial;Helvetica;sans-serif" w:hAnsi="Arial;Helvetica;sans-serif"/>
                <w:color w:val="4C4C4C"/>
                <w:sz w:val="20"/>
              </w:rPr>
            </w:pPr>
            <w:r>
              <w:rPr>
                <w:rFonts w:ascii="Arial;Helvetica;sans-serif" w:hAnsi="Arial;Helvetica;sans-serif"/>
                <w:color w:val="4C4C4C"/>
                <w:sz w:val="20"/>
              </w:rPr>
              <w:t>Questions from multiple stockholders related to the same topic or that are otherwise related may be grouped and answered together.</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ii.</w:t>
            </w:r>
          </w:p>
        </w:tc>
        <w:tc>
          <w:tcPr>
            <w:tcW w:w="10005" w:type="dxa"/>
            <w:tcBorders/>
            <w:vAlign w:val="center"/>
          </w:tcPr>
          <w:p>
            <w:pPr>
              <w:pStyle w:val="TableContents"/>
              <w:bidi w:val="0"/>
              <w:spacing w:before="0" w:after="0"/>
              <w:jc w:val="both"/>
              <w:rPr>
                <w:rFonts w:ascii="Arial;Helvetica;sans-serif" w:hAnsi="Arial;Helvetica;sans-serif"/>
                <w:color w:val="4C4C4C"/>
                <w:sz w:val="20"/>
              </w:rPr>
            </w:pPr>
            <w:r>
              <w:rPr>
                <w:rFonts w:ascii="Arial;Helvetica;sans-serif" w:hAnsi="Arial;Helvetica;sans-serif"/>
                <w:color w:val="4C4C4C"/>
                <w:sz w:val="20"/>
              </w:rPr>
              <w:t>Any second question from a stockholder will be deferred until such time as all appropriate first questions from stockholders have been addressed.</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iii.</w:t>
            </w:r>
          </w:p>
        </w:tc>
        <w:tc>
          <w:tcPr>
            <w:tcW w:w="9960" w:type="dxa"/>
            <w:tcBorders/>
            <w:vAlign w:val="center"/>
          </w:tcPr>
          <w:p>
            <w:pPr>
              <w:pStyle w:val="TableContents"/>
              <w:bidi w:val="0"/>
              <w:spacing w:before="0" w:after="0"/>
              <w:jc w:val="both"/>
              <w:rPr>
                <w:rFonts w:ascii="Arial;Helvetica;sans-serif" w:hAnsi="Arial;Helvetica;sans-serif"/>
                <w:color w:val="4C4C4C"/>
                <w:sz w:val="20"/>
              </w:rPr>
            </w:pPr>
            <w:r>
              <w:rPr>
                <w:rFonts w:ascii="Arial;Helvetica;sans-serif" w:hAnsi="Arial;Helvetica;sans-serif"/>
                <w:color w:val="4C4C4C"/>
                <w:sz w:val="20"/>
              </w:rPr>
              <w:t>If more questions are presented than time permits to be answered, the list of questions to be considered will be shortened by removing from the list: first, any question determined by the Chair to be substantially duplicative of another question that has been discussed; second, any question presented by a stockholder whose first question has been discussed; and, third, the last submitted questions (ordered by time received).</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c.</w:t>
            </w:r>
          </w:p>
        </w:tc>
        <w:tc>
          <w:tcPr>
            <w:tcW w:w="9990" w:type="dxa"/>
            <w:tcBorders/>
            <w:vAlign w:val="center"/>
          </w:tcPr>
          <w:p>
            <w:pPr>
              <w:pStyle w:val="TableContents"/>
              <w:bidi w:val="0"/>
              <w:spacing w:before="0" w:after="0"/>
              <w:jc w:val="both"/>
              <w:rPr>
                <w:rFonts w:ascii="Arial;Helvetica;sans-serif" w:hAnsi="Arial;Helvetica;sans-serif"/>
                <w:color w:val="4C4C4C"/>
                <w:sz w:val="20"/>
              </w:rPr>
            </w:pPr>
            <w:r>
              <w:rPr>
                <w:rFonts w:ascii="Arial;Helvetica;sans-serif" w:hAnsi="Arial;Helvetica;sans-serif"/>
                <w:color w:val="4C4C4C"/>
                <w:sz w:val="20"/>
              </w:rPr>
              <w:t>The views, questions and constructive comments of all stockholders are valued and welcomed. The purpose of the Annual Meeting must be observed, however, and the Company will not permit questions that:</w:t>
            </w:r>
          </w:p>
        </w:tc>
      </w:tr>
    </w:tbl>
    <w:tbl>
      <w:tblPr>
        <w:tblW w:w="5515" w:type="dxa"/>
        <w:jc w:val="left"/>
        <w:tblInd w:w="0" w:type="dxa"/>
        <w:tblLayout w:type="fixed"/>
        <w:tblCellMar>
          <w:top w:w="0" w:type="dxa"/>
          <w:left w:w="0" w:type="dxa"/>
          <w:bottom w:w="0" w:type="dxa"/>
          <w:right w:w="0" w:type="dxa"/>
        </w:tblCellMar>
      </w:tblPr>
      <w:tblGrid>
        <w:gridCol w:w="155"/>
        <w:gridCol w:w="5360"/>
      </w:tblGrid>
      <w:tr>
        <w:trPr/>
        <w:tc>
          <w:tcPr>
            <w:tcW w:w="155"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i.</w:t>
            </w:r>
          </w:p>
        </w:tc>
        <w:tc>
          <w:tcPr>
            <w:tcW w:w="5360"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are not relevant or pertinent to the business of the Company;</w:t>
            </w:r>
          </w:p>
        </w:tc>
      </w:tr>
    </w:tbl>
    <w:tbl>
      <w:tblPr>
        <w:tblW w:w="5635" w:type="dxa"/>
        <w:jc w:val="left"/>
        <w:tblInd w:w="0" w:type="dxa"/>
        <w:tblLayout w:type="fixed"/>
        <w:tblCellMar>
          <w:top w:w="0" w:type="dxa"/>
          <w:left w:w="0" w:type="dxa"/>
          <w:bottom w:w="0" w:type="dxa"/>
          <w:right w:w="0" w:type="dxa"/>
        </w:tblCellMar>
      </w:tblPr>
      <w:tblGrid>
        <w:gridCol w:w="200"/>
        <w:gridCol w:w="5435"/>
      </w:tblGrid>
      <w:tr>
        <w:trPr/>
        <w:tc>
          <w:tcPr>
            <w:tcW w:w="200"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ii.</w:t>
            </w:r>
          </w:p>
        </w:tc>
        <w:tc>
          <w:tcPr>
            <w:tcW w:w="5435"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are related to material non-public information of the Company;</w:t>
            </w:r>
          </w:p>
        </w:tc>
      </w:tr>
    </w:tbl>
    <w:tbl>
      <w:tblPr>
        <w:tblW w:w="5725" w:type="dxa"/>
        <w:jc w:val="left"/>
        <w:tblInd w:w="0" w:type="dxa"/>
        <w:tblLayout w:type="fixed"/>
        <w:tblCellMar>
          <w:top w:w="0" w:type="dxa"/>
          <w:left w:w="0" w:type="dxa"/>
          <w:bottom w:w="0" w:type="dxa"/>
          <w:right w:w="0" w:type="dxa"/>
        </w:tblCellMar>
      </w:tblPr>
      <w:tblGrid>
        <w:gridCol w:w="245"/>
        <w:gridCol w:w="5480"/>
      </w:tblGrid>
      <w:tr>
        <w:trPr/>
        <w:tc>
          <w:tcPr>
            <w:tcW w:w="245"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iii.</w:t>
            </w:r>
          </w:p>
        </w:tc>
        <w:tc>
          <w:tcPr>
            <w:tcW w:w="5480"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are related to pending or threatened litigation or investigations;</w:t>
            </w:r>
          </w:p>
        </w:tc>
      </w:tr>
    </w:tbl>
    <w:tbl>
      <w:tblPr>
        <w:tblW w:w="6190" w:type="dxa"/>
        <w:jc w:val="left"/>
        <w:tblInd w:w="0" w:type="dxa"/>
        <w:tblLayout w:type="fixed"/>
        <w:tblCellMar>
          <w:top w:w="0" w:type="dxa"/>
          <w:left w:w="0" w:type="dxa"/>
          <w:bottom w:w="0" w:type="dxa"/>
          <w:right w:w="0" w:type="dxa"/>
        </w:tblCellMar>
      </w:tblPr>
      <w:tblGrid>
        <w:gridCol w:w="260"/>
        <w:gridCol w:w="5930"/>
      </w:tblGrid>
      <w:tr>
        <w:trPr/>
        <w:tc>
          <w:tcPr>
            <w:tcW w:w="260"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iv.</w:t>
            </w:r>
          </w:p>
        </w:tc>
        <w:tc>
          <w:tcPr>
            <w:tcW w:w="5930"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are in furtherance of a stockholder’s personal or business interests;</w:t>
            </w:r>
          </w:p>
        </w:tc>
      </w:tr>
    </w:tbl>
    <w:tbl>
      <w:tblPr>
        <w:tblW w:w="5425" w:type="dxa"/>
        <w:jc w:val="left"/>
        <w:tblInd w:w="0" w:type="dxa"/>
        <w:tblLayout w:type="fixed"/>
        <w:tblCellMar>
          <w:top w:w="0" w:type="dxa"/>
          <w:left w:w="0" w:type="dxa"/>
          <w:bottom w:w="0" w:type="dxa"/>
          <w:right w:w="0" w:type="dxa"/>
        </w:tblCellMar>
      </w:tblPr>
      <w:tblGrid>
        <w:gridCol w:w="215"/>
        <w:gridCol w:w="5210"/>
      </w:tblGrid>
      <w:tr>
        <w:trPr/>
        <w:tc>
          <w:tcPr>
            <w:tcW w:w="215"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v.</w:t>
            </w:r>
          </w:p>
        </w:tc>
        <w:tc>
          <w:tcPr>
            <w:tcW w:w="5210"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are repetitious of statements made by another stockholder;</w:t>
            </w:r>
          </w:p>
        </w:tc>
      </w:tr>
    </w:tbl>
    <w:tbl>
      <w:tblPr>
        <w:tblW w:w="3340" w:type="dxa"/>
        <w:jc w:val="left"/>
        <w:tblInd w:w="0" w:type="dxa"/>
        <w:tblLayout w:type="fixed"/>
        <w:tblCellMar>
          <w:top w:w="0" w:type="dxa"/>
          <w:left w:w="0" w:type="dxa"/>
          <w:bottom w:w="0" w:type="dxa"/>
          <w:right w:w="0" w:type="dxa"/>
        </w:tblCellMar>
      </w:tblPr>
      <w:tblGrid>
        <w:gridCol w:w="260"/>
        <w:gridCol w:w="3080"/>
      </w:tblGrid>
      <w:tr>
        <w:trPr/>
        <w:tc>
          <w:tcPr>
            <w:tcW w:w="260"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vi.</w:t>
            </w:r>
          </w:p>
        </w:tc>
        <w:tc>
          <w:tcPr>
            <w:tcW w:w="3080"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are related to personal grievances;</w:t>
            </w:r>
          </w:p>
        </w:tc>
      </w:tr>
    </w:tbl>
    <w:tbl>
      <w:tblPr>
        <w:tblW w:w="6955" w:type="dxa"/>
        <w:jc w:val="left"/>
        <w:tblInd w:w="0" w:type="dxa"/>
        <w:tblLayout w:type="fixed"/>
        <w:tblCellMar>
          <w:top w:w="0" w:type="dxa"/>
          <w:left w:w="0" w:type="dxa"/>
          <w:bottom w:w="0" w:type="dxa"/>
          <w:right w:w="0" w:type="dxa"/>
        </w:tblCellMar>
      </w:tblPr>
      <w:tblGrid>
        <w:gridCol w:w="305"/>
        <w:gridCol w:w="6650"/>
      </w:tblGrid>
      <w:tr>
        <w:trPr/>
        <w:tc>
          <w:tcPr>
            <w:tcW w:w="305"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vii.</w:t>
            </w:r>
          </w:p>
        </w:tc>
        <w:tc>
          <w:tcPr>
            <w:tcW w:w="6650"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include derogatory references to individuals or are otherwise in bad taste; or</w:t>
            </w:r>
          </w:p>
        </w:tc>
      </w:tr>
    </w:tbl>
    <w:tbl>
      <w:tblPr>
        <w:tblW w:w="10205" w:type="dxa"/>
        <w:jc w:val="left"/>
        <w:tblInd w:w="0" w:type="dxa"/>
        <w:tblLayout w:type="fixed"/>
        <w:tblCellMar>
          <w:top w:w="0" w:type="dxa"/>
          <w:left w:w="0" w:type="dxa"/>
          <w:bottom w:w="0" w:type="dxa"/>
          <w:right w:w="0" w:type="dxa"/>
        </w:tblCellMar>
      </w:tblPr>
      <w:tblGrid>
        <w:gridCol w:w="350"/>
        <w:gridCol w:w="9855"/>
      </w:tblGrid>
      <w:tr>
        <w:trPr/>
        <w:tc>
          <w:tcPr>
            <w:tcW w:w="350"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viii.</w:t>
            </w:r>
          </w:p>
        </w:tc>
        <w:tc>
          <w:tcPr>
            <w:tcW w:w="9855" w:type="dxa"/>
            <w:tcBorders/>
            <w:vAlign w:val="center"/>
          </w:tcPr>
          <w:p>
            <w:pPr>
              <w:pStyle w:val="TableContents"/>
              <w:bidi w:val="0"/>
              <w:spacing w:before="0" w:after="0"/>
              <w:jc w:val="both"/>
              <w:rPr>
                <w:rFonts w:ascii="Arial;Helvetica;sans-serif" w:hAnsi="Arial;Helvetica;sans-serif"/>
                <w:color w:val="4C4C4C"/>
                <w:sz w:val="20"/>
              </w:rPr>
            </w:pPr>
            <w:r>
              <w:rPr>
                <w:rFonts w:ascii="Arial;Helvetica;sans-serif" w:hAnsi="Arial;Helvetica;sans-serif"/>
                <w:color w:val="4C4C4C"/>
                <w:sz w:val="20"/>
              </w:rPr>
              <w:t>are out of order or not otherwise suitable for the conduct of the Annual Meeting as determined by the Chair in his reasonable judgment.</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9.</w:t>
            </w:r>
          </w:p>
        </w:tc>
        <w:tc>
          <w:tcPr>
            <w:tcW w:w="10031" w:type="dxa"/>
            <w:tcBorders/>
            <w:vAlign w:val="center"/>
          </w:tcPr>
          <w:p>
            <w:pPr>
              <w:pStyle w:val="TableContents"/>
              <w:bidi w:val="0"/>
              <w:spacing w:before="0" w:after="0"/>
              <w:jc w:val="both"/>
              <w:rPr>
                <w:rFonts w:ascii="Arial;Helvetica;sans-serif" w:hAnsi="Arial;Helvetica;sans-serif"/>
                <w:color w:val="4C4C4C"/>
                <w:sz w:val="20"/>
              </w:rPr>
            </w:pPr>
            <w:r>
              <w:rPr>
                <w:rFonts w:ascii="Arial;Helvetica;sans-serif" w:hAnsi="Arial;Helvetica;sans-serif"/>
                <w:color w:val="4C4C4C"/>
                <w:sz w:val="20"/>
              </w:rPr>
              <w:t>If there are any matters of individual concern to a stockholder and not of general concern to all stockholders, or if a question posed was not otherwise answered, such matters may be raised separately after the Annual Meeting by contacting Investor Relations at investor.relations@acmr.com.</w:t>
            </w:r>
          </w:p>
        </w:tc>
      </w:tr>
    </w:tbl>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10.</w:t>
            </w:r>
          </w:p>
        </w:tc>
        <w:tc>
          <w:tcPr>
            <w:tcW w:w="9932" w:type="dxa"/>
            <w:tcBorders/>
            <w:vAlign w:val="center"/>
          </w:tcPr>
          <w:p>
            <w:pPr>
              <w:pStyle w:val="TableContents"/>
              <w:bidi w:val="0"/>
              <w:spacing w:before="0" w:after="0"/>
              <w:jc w:val="both"/>
              <w:rPr>
                <w:rFonts w:ascii="Arial;Helvetica;sans-serif" w:hAnsi="Arial;Helvetica;sans-serif"/>
                <w:color w:val="4C4C4C"/>
                <w:sz w:val="20"/>
              </w:rPr>
            </w:pPr>
            <w:r>
              <w:rPr>
                <w:rFonts w:ascii="Arial;Helvetica;sans-serif" w:hAnsi="Arial;Helvetica;sans-serif"/>
                <w:color w:val="4C4C4C"/>
                <w:sz w:val="20"/>
              </w:rPr>
              <w:t xml:space="preserve">Recording of the Annual Meeting is prohibited without the prior written permission of the Company. A webcast playback of the Annual Meeting will be available at </w:t>
            </w:r>
            <w:r>
              <w:rPr>
                <w:rFonts w:ascii="Arial;Helvetica;sans-serif" w:hAnsi="Arial;Helvetica;sans-serif"/>
                <w:i/>
                <w:color w:val="000000"/>
                <w:sz w:val="20"/>
              </w:rPr>
              <w:t>ir.acmr.com/news-events/events</w:t>
            </w:r>
            <w:r>
              <w:rPr>
                <w:rFonts w:ascii="Arial;Helvetica;sans-serif" w:hAnsi="Arial;Helvetica;sans-serif"/>
                <w:color w:val="4C4C4C"/>
                <w:sz w:val="20"/>
              </w:rPr>
              <w:t xml:space="preserve"> within approximately 24 hours after the completion of the Annual Meeting and will remain publicly available until our next annual meeting of stockholders in 2025. The webcast playback will include each stockholder question addressed during the Annual Meeting.</w:t>
            </w:r>
          </w:p>
        </w:tc>
      </w:tr>
    </w:tbl>
    <w:tbl>
      <w:tblPr>
        <w:tblW w:w="9595" w:type="dxa"/>
        <w:jc w:val="left"/>
        <w:tblInd w:w="0" w:type="dxa"/>
        <w:tblLayout w:type="fixed"/>
        <w:tblCellMar>
          <w:top w:w="0" w:type="dxa"/>
          <w:left w:w="0" w:type="dxa"/>
          <w:bottom w:w="0" w:type="dxa"/>
          <w:right w:w="0" w:type="dxa"/>
        </w:tblCellMar>
      </w:tblPr>
      <w:tblGrid>
        <w:gridCol w:w="320"/>
        <w:gridCol w:w="9275"/>
      </w:tblGrid>
      <w:tr>
        <w:trPr/>
        <w:tc>
          <w:tcPr>
            <w:tcW w:w="320"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11.</w:t>
            </w:r>
          </w:p>
        </w:tc>
        <w:tc>
          <w:tcPr>
            <w:tcW w:w="9275" w:type="dxa"/>
            <w:tcBorders/>
            <w:vAlign w:val="center"/>
          </w:tcPr>
          <w:p>
            <w:pPr>
              <w:pStyle w:val="TableContents"/>
              <w:bidi w:val="0"/>
              <w:spacing w:before="0" w:after="0"/>
              <w:jc w:val="left"/>
              <w:rPr>
                <w:rFonts w:ascii="Arial;Helvetica;sans-serif" w:hAnsi="Arial;Helvetica;sans-serif"/>
                <w:color w:val="4C4C4C"/>
                <w:sz w:val="20"/>
              </w:rPr>
            </w:pPr>
            <w:r>
              <w:rPr>
                <w:rFonts w:ascii="Arial;Helvetica;sans-serif" w:hAnsi="Arial;Helvetica;sans-serif"/>
                <w:color w:val="4C4C4C"/>
                <w:sz w:val="20"/>
              </w:rPr>
              <w:t>A violation of any of the above conduct requirements will be cause for dismissal from the Annual Meeting.</w:t>
            </w:r>
          </w:p>
        </w:tc>
      </w:tr>
    </w:tbl>
    <w:p>
      <w:pPr>
        <w:pStyle w:val="TextBody"/>
        <w:bidi w:val="0"/>
        <w:spacing w:before="240" w:after="283"/>
        <w:jc w:val="center"/>
        <w:rPr>
          <w:rFonts w:ascii="Arial;Helvetica;sans-serif" w:hAnsi="Arial;Helvetica;sans-serif"/>
          <w:b/>
          <w:color w:val="4C4C4C"/>
          <w:sz w:val="20"/>
        </w:rPr>
      </w:pPr>
      <w:r>
        <w:rPr>
          <w:rFonts w:ascii="Arial;Helvetica;sans-serif" w:hAnsi="Arial;Helvetica;sans-serif"/>
          <w:b/>
          <w:color w:val="4C4C4C"/>
          <w:sz w:val="20"/>
        </w:rPr>
        <w:t>THANK YOU FOR YOUR COOPERATION AND FOR JOINING THE ANNUAL MEETING.</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0"/>
              <w:jc w:val="left"/>
              <w:rPr/>
            </w:pPr>
            <w:r>
              <w:rPr/>
              <w:t> </w:t>
            </w:r>
          </w:p>
        </w:tc>
      </w:tr>
      <w:tr>
        <w:trPr/>
        <w:tc>
          <w:tcPr>
            <w:tcW w:w="41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A-2</w:t>
            </w:r>
          </w:p>
        </w:tc>
      </w:tr>
      <w:tr>
        <w:trPr/>
        <w:tc>
          <w:tcPr>
            <w:tcW w:w="41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3" w:name="ny20042784x1_def14a_500-proxycard_pg1"/>
        <w:bookmarkEnd w:id="1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4C4C4C"/>
        </w:rPr>
      </w:pPr>
      <w:r>
        <w:rPr>
          <w:color w:val="4C4C4C"/>
        </w:rPr>
        <w:drawing>
          <wp:inline distT="0" distB="0" distL="0" distR="0">
            <wp:extent cx="6991350" cy="9048750"/>
            <wp:effectExtent l="0" t="0" r="0" b="0"/>
            <wp:docPr id="3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8" descr=""/>
                    <pic:cNvPicPr>
                      <a:picLocks noChangeAspect="1" noChangeArrowheads="1"/>
                    </pic:cNvPicPr>
                  </pic:nvPicPr>
                  <pic:blipFill>
                    <a:blip r:embed="rId32"/>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4C4C4C"/>
        </w:rPr>
      </w:pPr>
      <w:r>
        <w:rPr>
          <w:color w:val="4C4C4C"/>
        </w:rPr>
        <w:t> </w:t>
      </w:r>
    </w:p>
    <w:p>
      <w:pPr>
        <w:pStyle w:val="HorizontalLine"/>
        <w:bidi w:val="0"/>
        <w:spacing w:before="200" w:after="200"/>
        <w:jc w:val="left"/>
        <w:rPr/>
      </w:pPr>
      <w:r>
        <w:rPr/>
      </w:r>
    </w:p>
    <w:p>
      <w:pPr>
        <w:pStyle w:val="TextBody"/>
        <w:bidi w:val="0"/>
        <w:jc w:val="left"/>
        <w:rPr/>
      </w:pPr>
      <w:hyperlink w:anchor="TOC">
        <w:bookmarkStart w:id="104" w:name="ny20042784x1_def14a_500-proxycard_pg2"/>
        <w:bookmarkEnd w:id="1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4C4C4C"/>
        </w:rPr>
      </w:pPr>
      <w:r>
        <w:rPr>
          <w:color w:val="4C4C4C"/>
        </w:rPr>
        <w:drawing>
          <wp:inline distT="0" distB="0" distL="0" distR="0">
            <wp:extent cx="6991350" cy="9048750"/>
            <wp:effectExtent l="0" t="0" r="0" b="0"/>
            <wp:docPr id="34"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9" descr=""/>
                    <pic:cNvPicPr>
                      <a:picLocks noChangeAspect="1" noChangeArrowheads="1"/>
                    </pic:cNvPicPr>
                  </pic:nvPicPr>
                  <pic:blipFill>
                    <a:blip r:embed="rId33"/>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4C4C4C"/>
        </w:rPr>
      </w:pPr>
      <w:r>
        <w:rPr>
          <w:color w:val="4C4C4C"/>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image" Target="media/image2.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8.jpeg"/><Relationship Id="rId21" Type="http://schemas.openxmlformats.org/officeDocument/2006/relationships/image" Target="media/image10.jpeg"/><Relationship Id="rId22" Type="http://schemas.openxmlformats.org/officeDocument/2006/relationships/image" Target="media/image13.jpeg"/><Relationship Id="rId23" Type="http://schemas.openxmlformats.org/officeDocument/2006/relationships/image" Target="media/image14.jpeg"/><Relationship Id="rId24" Type="http://schemas.openxmlformats.org/officeDocument/2006/relationships/image" Target="media/image15.jpeg"/><Relationship Id="rId25" Type="http://schemas.openxmlformats.org/officeDocument/2006/relationships/image" Target="media/image16.jpeg"/><Relationship Id="rId26" Type="http://schemas.openxmlformats.org/officeDocument/2006/relationships/image" Target="media/image17.jpeg"/><Relationship Id="rId27" Type="http://schemas.openxmlformats.org/officeDocument/2006/relationships/image" Target="media/image18.jpeg"/><Relationship Id="rId28" Type="http://schemas.openxmlformats.org/officeDocument/2006/relationships/image" Target="media/image19.jpeg"/><Relationship Id="rId29" Type="http://schemas.openxmlformats.org/officeDocument/2006/relationships/image" Target="media/image20.jpeg"/><Relationship Id="rId30" Type="http://schemas.openxmlformats.org/officeDocument/2006/relationships/image" Target="media/image21.jpeg"/><Relationship Id="rId31" Type="http://schemas.openxmlformats.org/officeDocument/2006/relationships/image" Target="media/image22.jpeg"/><Relationship Id="rId32" Type="http://schemas.openxmlformats.org/officeDocument/2006/relationships/image" Target="media/image23.jpeg"/><Relationship Id="rId33" Type="http://schemas.openxmlformats.org/officeDocument/2006/relationships/image" Target="media/image24.jpeg"/><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25630</Words>
  <Characters>139291</Characters>
  <CharactersWithSpaces>166190</CharactersWithSpaces>
  <Paragraphs>5131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