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Liu Tracy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ACM Research, Inc.</w:t>
              </w:r>
            </w:hyperlink>
            <w:r>
              <w:rPr/>
              <w:t xml:space="preserve"> [ </w:t>
            </w:r>
            <w:r>
              <w:rPr>
                <w:rFonts w:ascii="Times;serif" w:hAnsi="Times;serif"/>
                <w:color w:val="0000FF"/>
                <w:sz w:val="24"/>
                <w:shd w:fill="FFFFFF" w:val="clear"/>
              </w:rPr>
              <w:t>ACMR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13.24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will vest and become exercisable as to 7,500 shares on August 10, 2024 and the remaining 22,500 shares will vest and become exercisable in equal monthly installments over the following 36 months,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will vest and become exercisable immediately prior to the 2024 annual meeting of stockholders of the issuer, subject to continued service through the vesting date.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 Attorney-in-Fact for Tracy Liu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1299" TargetMode="External"/><Relationship Id="rId4" Type="http://schemas.openxmlformats.org/officeDocument/2006/relationships/hyperlink" Target="http://www.sec.gov/cgi-bin/browse-edgar?action=getcompany&amp;CIK=000168006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3532</Characters>
  <CharactersWithSpaces>4112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