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February 8, 2019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By EDGAR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F.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Michael Fay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Amanda Ravitz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  <w:tab/>
        <w:t>ACM Research, Inc.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333-228734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Request for Acceleration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both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under the Securities Act of 1933, as amended, ACM Research, Inc. (the “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Registrant</w:t>
      </w:r>
      <w:r>
        <w:rPr>
          <w:rFonts w:ascii="Arial" w:cs="Arial" w:eastAsia="Arial" w:hAnsi="Arial"/>
          <w:sz w:val="18"/>
          <w:szCs w:val="18"/>
          <w:color w:val="auto"/>
        </w:rPr>
        <w:t>”) hereby requests acceleration of the effective date of the above-referenced Registration Statement on Form S-3 (File No. 333-228734) (as amended, the “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Registration Statement</w:t>
      </w:r>
      <w:r>
        <w:rPr>
          <w:rFonts w:ascii="Arial" w:cs="Arial" w:eastAsia="Arial" w:hAnsi="Arial"/>
          <w:sz w:val="18"/>
          <w:szCs w:val="18"/>
          <w:color w:val="auto"/>
        </w:rPr>
        <w:t>”), so that it may become effective at 5:00 p.m. Eastern time on February 12, 2019, or as soon thereafter as practicable.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jc w:val="both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do not hesitate to contact our legal counsel, Mark L. Johnson, at (617) 261-3260, if you have any questions or would like additional information regarding this matter.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* * *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6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6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ACM Research, INC.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6480"/>
        <w:spacing w:after="0"/>
        <w:tabs>
          <w:tab w:leader="none" w:pos="6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  <w:tab/>
        <w:t>/s/ David H. Wang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4419600</wp:posOffset>
            </wp:positionH>
            <wp:positionV relativeFrom="paragraph">
              <wp:posOffset>19685</wp:posOffset>
            </wp:positionV>
            <wp:extent cx="202311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David H. Wang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Executive Officer and President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580" w:right="8220" w:hanging="572"/>
        <w:spacing w:after="0" w:line="331" w:lineRule="auto"/>
        <w:tabs>
          <w:tab w:leader="none" w:pos="580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Lisa Feng, ACM Research, Inc. Mark L. Johnson, K&amp;L Gates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231775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67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2020-10-07T23:41:13Z</dcterms:created>
  <dcterms:modified xsi:type="dcterms:W3CDTF">2020-10-07T23:41:13Z</dcterms:modified>
</cp:coreProperties>
</file>