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Dun Haiping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ACM RESEARCH,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42307 OSGOOD ROAD, SUITE 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 Research,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ACMR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11/12/2025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3"/>
        <w:gridCol w:w="918"/>
        <w:gridCol w:w="786"/>
        <w:gridCol w:w="609"/>
        <w:gridCol w:w="346"/>
        <w:gridCol w:w="1017"/>
        <w:gridCol w:w="439"/>
        <w:gridCol w:w="605"/>
        <w:gridCol w:w="1144"/>
        <w:gridCol w:w="986"/>
        <w:gridCol w:w="117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11/12/2025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755,090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755,090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Haiping Dun &amp; Chi-Pin H Dun 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 gift of 755,090 shares of Class A common stock from the reporting person to the Haiping Dun &amp; Chi-Pin H Dun Revocable Trust, of which the reporting person is co-trustee and of which the reporting person's immediate family members are beneficiaries.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McKechnie, Attorney-in-Fact for Haiping Dun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11/14/2025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1581" TargetMode="External"/><Relationship Id="rId5" Type="http://schemas.openxmlformats.org/officeDocument/2006/relationships/hyperlink" Target="http://www.sec.gov/cgi-bin/browse-edgar?action=getcompany&amp;CIK=00016800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624</Words>
  <Characters>3341</Characters>
  <CharactersWithSpaces>3902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