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205740</wp:posOffset>
            </wp:positionH>
            <wp:positionV relativeFrom="page">
              <wp:posOffset>154940</wp:posOffset>
            </wp:positionV>
            <wp:extent cx="713740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33020"/>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270510</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Date of Report (Date of earliest event reported): November 4, 2022</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ACM Research,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ectPr>
          <w:pgSz w:w="11900" w:h="16838" w:orient="portrait"/>
          <w:cols w:equalWidth="0" w:num="1">
            <w:col w:w="11240"/>
          </w:cols>
          <w:pgMar w:left="320" w:top="515" w:right="339" w:bottom="1440" w:gutter="0" w:footer="0" w:header="0"/>
        </w:sectPr>
      </w:pPr>
    </w:p>
    <w:p>
      <w:pPr>
        <w:spacing w:after="0" w:line="198"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33"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7"/>
          <w:szCs w:val="17"/>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b w:val="1"/>
          <w:bCs w:val="1"/>
          <w:color w:val="auto"/>
        </w:rPr>
        <w:t>001-38273</w:t>
      </w:r>
    </w:p>
    <w:p>
      <w:pPr>
        <w:spacing w:after="0" w:line="33"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b w:val="1"/>
          <w:bCs w:val="1"/>
          <w:color w:val="auto"/>
        </w:rPr>
        <w:t>94-3290283</w:t>
      </w:r>
    </w:p>
    <w:p>
      <w:pPr>
        <w:spacing w:after="0" w:line="33"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199" w:lineRule="exact"/>
        <w:rPr>
          <w:sz w:val="24"/>
          <w:szCs w:val="24"/>
          <w:color w:val="auto"/>
        </w:rPr>
      </w:pPr>
    </w:p>
    <w:p>
      <w:pPr>
        <w:sectPr>
          <w:pgSz w:w="11900" w:h="16838" w:orient="portrait"/>
          <w:cols w:equalWidth="0" w:num="3">
            <w:col w:w="3980" w:space="720"/>
            <w:col w:w="2800" w:space="720"/>
            <w:col w:w="3020"/>
          </w:cols>
          <w:pgMar w:left="320" w:top="515" w:right="339" w:bottom="1440" w:gutter="0" w:footer="0" w:header="0"/>
          <w:type w:val="continuous"/>
        </w:sect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42307 Osgood Road, Suite I</w:t>
      </w:r>
    </w:p>
    <w:p>
      <w:pPr>
        <w:spacing w:after="0" w:line="3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Fremont, California</w:t>
      </w:r>
    </w:p>
    <w:p>
      <w:pPr>
        <w:spacing w:after="0" w:line="12"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7"/>
          <w:szCs w:val="17"/>
          <w:b w:val="1"/>
          <w:bCs w:val="1"/>
          <w:color w:val="auto"/>
        </w:rPr>
        <w:t>94539</w:t>
      </w:r>
    </w:p>
    <w:p>
      <w:pPr>
        <w:spacing w:after="0" w:line="33"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6"/>
          <w:szCs w:val="16"/>
          <w:i w:val="1"/>
          <w:iCs w:val="1"/>
          <w:color w:val="auto"/>
        </w:rPr>
        <w:t>(Zip Code)</w:t>
      </w:r>
    </w:p>
    <w:p>
      <w:pPr>
        <w:spacing w:after="0" w:line="210" w:lineRule="exact"/>
        <w:rPr>
          <w:sz w:val="24"/>
          <w:szCs w:val="24"/>
          <w:color w:val="auto"/>
        </w:rPr>
      </w:pPr>
    </w:p>
    <w:p>
      <w:pPr>
        <w:sectPr>
          <w:pgSz w:w="11900" w:h="16838" w:orient="portrait"/>
          <w:cols w:equalWidth="0" w:num="2">
            <w:col w:w="7400" w:space="720"/>
            <w:col w:w="3120"/>
          </w:cols>
          <w:pgMar w:left="320" w:top="515"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(510) 445-3700</w:t>
      </w:r>
    </w:p>
    <w:p>
      <w:pPr>
        <w:spacing w:after="0" w:line="222"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320" w:hanging="316"/>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8" w:lineRule="exact"/>
        <w:rPr>
          <w:rFonts w:ascii="MS PGothic" w:cs="MS PGothic" w:eastAsia="MS PGothic" w:hAnsi="MS PGothic"/>
          <w:sz w:val="17"/>
          <w:szCs w:val="17"/>
          <w:color w:val="auto"/>
        </w:rPr>
      </w:pPr>
    </w:p>
    <w:p>
      <w:pPr>
        <w:ind w:left="320" w:hanging="316"/>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2" w:lineRule="exact"/>
        <w:rPr>
          <w:rFonts w:ascii="MS PGothic" w:cs="MS PGothic" w:eastAsia="MS PGothic" w:hAnsi="MS PGothic"/>
          <w:sz w:val="17"/>
          <w:szCs w:val="17"/>
          <w:color w:val="auto"/>
        </w:rPr>
      </w:pPr>
    </w:p>
    <w:p>
      <w:pPr>
        <w:ind w:left="320" w:hanging="316"/>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2" w:lineRule="exact"/>
        <w:rPr>
          <w:rFonts w:ascii="MS PGothic" w:cs="MS PGothic" w:eastAsia="MS PGothic" w:hAnsi="MS PGothic"/>
          <w:sz w:val="17"/>
          <w:szCs w:val="17"/>
          <w:color w:val="auto"/>
        </w:rPr>
      </w:pPr>
    </w:p>
    <w:p>
      <w:pPr>
        <w:ind w:left="320" w:hanging="316"/>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500" w:type="dxa"/>
            <w:vAlign w:val="bottom"/>
            <w:gridSpan w:val="3"/>
          </w:tcPr>
          <w:p>
            <w:pPr>
              <w:ind w:left="114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3120" w:type="dxa"/>
            <w:vAlign w:val="bottom"/>
            <w:gridSpan w:val="2"/>
          </w:tcPr>
          <w:p>
            <w:pPr>
              <w:jc w:val="center"/>
              <w:ind w:right="900"/>
              <w:spacing w:after="0"/>
              <w:rPr>
                <w:sz w:val="20"/>
                <w:szCs w:val="20"/>
                <w:color w:val="auto"/>
              </w:rPr>
            </w:pPr>
            <w:r>
              <w:rPr>
                <w:rFonts w:ascii="Times New Roman" w:cs="Times New Roman" w:eastAsia="Times New Roman" w:hAnsi="Times New Roman"/>
                <w:sz w:val="17"/>
                <w:szCs w:val="17"/>
                <w:b w:val="1"/>
                <w:bCs w:val="1"/>
                <w:color w:val="auto"/>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189"/>
        </w:trPr>
        <w:tc>
          <w:tcPr>
            <w:tcW w:w="20" w:type="dxa"/>
            <w:vAlign w:val="bottom"/>
          </w:tcPr>
          <w:p>
            <w:pPr>
              <w:spacing w:after="0"/>
              <w:rPr>
                <w:sz w:val="16"/>
                <w:szCs w:val="16"/>
                <w:color w:val="auto"/>
              </w:rPr>
            </w:pPr>
          </w:p>
        </w:tc>
        <w:tc>
          <w:tcPr>
            <w:tcW w:w="36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Class A Common Stock, par value $0.0001 per</w:t>
            </w:r>
          </w:p>
        </w:tc>
        <w:tc>
          <w:tcPr>
            <w:tcW w:w="2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900" w:type="dxa"/>
            <w:vAlign w:val="bottom"/>
            <w:tcBorders>
              <w:top w:val="single" w:sz="8" w:color="auto"/>
            </w:tcBorders>
          </w:tcPr>
          <w:p>
            <w:pPr>
              <w:jc w:val="center"/>
              <w:ind w:right="593"/>
              <w:spacing w:after="0" w:line="189" w:lineRule="exact"/>
              <w:rPr>
                <w:sz w:val="20"/>
                <w:szCs w:val="20"/>
                <w:color w:val="auto"/>
              </w:rPr>
            </w:pPr>
            <w:r>
              <w:rPr>
                <w:rFonts w:ascii="Times New Roman" w:cs="Times New Roman" w:eastAsia="Times New Roman" w:hAnsi="Times New Roman"/>
                <w:sz w:val="17"/>
                <w:szCs w:val="17"/>
                <w:color w:val="auto"/>
                <w:w w:val="99"/>
              </w:rPr>
              <w:t>ACMR</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Nasdaq Global Market</w:t>
            </w:r>
          </w:p>
        </w:tc>
      </w:tr>
      <w:tr>
        <w:trPr>
          <w:trHeight w:val="226"/>
        </w:trPr>
        <w:tc>
          <w:tcPr>
            <w:tcW w:w="4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share</w:t>
            </w:r>
          </w:p>
        </w:tc>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r>
    </w:tbl>
    <w:p>
      <w:pPr>
        <w:spacing w:after="0" w:line="189" w:lineRule="exact"/>
        <w:rPr>
          <w:sz w:val="24"/>
          <w:szCs w:val="24"/>
          <w:color w:val="auto"/>
        </w:rPr>
      </w:pPr>
    </w:p>
    <w:p>
      <w:pPr>
        <w:ind w:right="720"/>
        <w:spacing w:after="0" w:line="22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7"/>
          <w:szCs w:val="17"/>
          <w:color w:val="auto"/>
        </w:rPr>
        <w:t>☐</w:t>
      </w:r>
    </w:p>
    <w:p>
      <w:pPr>
        <w:spacing w:after="0" w:line="172" w:lineRule="exact"/>
        <w:rPr>
          <w:sz w:val="24"/>
          <w:szCs w:val="24"/>
          <w:color w:val="auto"/>
        </w:rPr>
      </w:pPr>
    </w:p>
    <w:p>
      <w:pPr>
        <w:ind w:right="400"/>
        <w:spacing w:after="0" w:line="22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178435</wp:posOffset>
            </wp:positionV>
            <wp:extent cx="7137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269240</wp:posOffset>
            </wp:positionV>
            <wp:extent cx="7137400"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7400" cy="330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408940</wp:posOffset>
            </wp:positionV>
            <wp:extent cx="713740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2.02. Results of Operations and Financial Condition.</w:t>
      </w:r>
    </w:p>
    <w:p>
      <w:pPr>
        <w:spacing w:after="0" w:line="2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On November 4, 2022, we issued a press release announcing financial results for the third quarter of 2022. The full text of the press release is furnished as Exhibit 99.01 hereto and is incorporated herein by reference</w:t>
      </w:r>
      <w:r>
        <w:rPr>
          <w:rFonts w:ascii="Times New Roman" w:cs="Times New Roman" w:eastAsia="Times New Roman" w:hAnsi="Times New Roman"/>
          <w:sz w:val="17"/>
          <w:szCs w:val="17"/>
          <w:i w:val="1"/>
          <w:iCs w:val="1"/>
          <w:color w:val="auto"/>
        </w:rPr>
        <w:t>.</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Exhibits.</w:t>
      </w:r>
    </w:p>
    <w:p>
      <w:pPr>
        <w:spacing w:after="0" w:line="233" w:lineRule="exact"/>
        <w:rPr>
          <w:sz w:val="20"/>
          <w:szCs w:val="20"/>
          <w:color w:val="auto"/>
        </w:rPr>
      </w:pPr>
    </w:p>
    <w:p>
      <w:pPr>
        <w:ind w:left="240"/>
        <w:spacing w:after="0"/>
        <w:tabs>
          <w:tab w:leader="none" w:pos="5740" w:val="left"/>
        </w:tabs>
        <w:rPr>
          <w:sz w:val="20"/>
          <w:szCs w:val="20"/>
          <w:color w:val="auto"/>
        </w:rPr>
      </w:pPr>
      <w:r>
        <w:rPr>
          <w:rFonts w:ascii="Times New Roman" w:cs="Times New Roman" w:eastAsia="Times New Roman" w:hAnsi="Times New Roman"/>
          <w:sz w:val="17"/>
          <w:szCs w:val="17"/>
          <w:b w:val="1"/>
          <w:bCs w:val="1"/>
          <w:color w:val="auto"/>
        </w:rPr>
        <w:t>Exhibit</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3740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pacing w:after="0" w:line="20" w:lineRule="exact"/>
        <w:rPr>
          <w:sz w:val="20"/>
          <w:szCs w:val="20"/>
          <w:color w:val="auto"/>
        </w:rPr>
      </w:pPr>
    </w:p>
    <w:p>
      <w:pPr>
        <w:ind w:left="320"/>
        <w:spacing w:after="0"/>
        <w:tabs>
          <w:tab w:leader="none" w:pos="1120" w:val="left"/>
        </w:tabs>
        <w:rPr>
          <w:sz w:val="20"/>
          <w:szCs w:val="20"/>
          <w:color w:val="auto"/>
        </w:rPr>
      </w:pPr>
      <w:r>
        <w:rPr>
          <w:rFonts w:ascii="Times New Roman" w:cs="Times New Roman" w:eastAsia="Times New Roman" w:hAnsi="Times New Roman"/>
          <w:sz w:val="17"/>
          <w:szCs w:val="17"/>
          <w:u w:val="single" w:color="auto"/>
          <w:color w:val="0000EE"/>
        </w:rPr>
        <w:t>99.01</w:t>
      </w:r>
      <w:r>
        <w:rPr>
          <w:sz w:val="20"/>
          <w:szCs w:val="20"/>
          <w:color w:val="auto"/>
        </w:rPr>
        <w:tab/>
      </w:r>
      <w:r>
        <w:rPr>
          <w:rFonts w:ascii="Times New Roman" w:cs="Times New Roman" w:eastAsia="Times New Roman" w:hAnsi="Times New Roman"/>
          <w:sz w:val="17"/>
          <w:szCs w:val="17"/>
          <w:color w:val="auto"/>
        </w:rPr>
        <w:t>Press Release of ACM Research, Inc. dated November 4, 2022</w:t>
      </w:r>
    </w:p>
    <w:p>
      <w:pPr>
        <w:spacing w:after="0" w:line="220"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XBRL document)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22"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4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ACM RESEARCH, INC.</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27940</wp:posOffset>
            </wp:positionV>
            <wp:extent cx="335470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4705" cy="16510"/>
                    </a:xfrm>
                    <a:prstGeom prst="rect">
                      <a:avLst/>
                    </a:prstGeom>
                    <a:noFill/>
                  </pic:spPr>
                </pic:pic>
              </a:graphicData>
            </a:graphic>
          </wp:anchor>
        </w:drawing>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Mark McKechnie</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Chief Financial Officer and Treasurer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November 4, 2022</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60325</wp:posOffset>
            </wp:positionV>
            <wp:extent cx="713740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7400" cy="3302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3225165</wp:posOffset>
            </wp:positionH>
            <wp:positionV relativeFrom="paragraph">
              <wp:posOffset>152400</wp:posOffset>
            </wp:positionV>
            <wp:extent cx="692150"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1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ACM Research Reports Third Quarter 2022 Results</w:t>
      </w:r>
    </w:p>
    <w:p>
      <w:pPr>
        <w:spacing w:after="0" w:line="222" w:lineRule="exact"/>
        <w:rPr>
          <w:sz w:val="20"/>
          <w:szCs w:val="20"/>
          <w:color w:val="auto"/>
        </w:rPr>
      </w:pPr>
    </w:p>
    <w:p>
      <w:pPr>
        <w:jc w:val="both"/>
        <w:ind w:right="520"/>
        <w:spacing w:after="0" w:line="273" w:lineRule="auto"/>
        <w:rPr>
          <w:sz w:val="20"/>
          <w:szCs w:val="20"/>
          <w:color w:val="auto"/>
        </w:rPr>
      </w:pPr>
      <w:r>
        <w:rPr>
          <w:rFonts w:ascii="Times New Roman" w:cs="Times New Roman" w:eastAsia="Times New Roman" w:hAnsi="Times New Roman"/>
          <w:sz w:val="17"/>
          <w:szCs w:val="17"/>
          <w:color w:val="auto"/>
        </w:rPr>
        <w:t>FREMONT, Calif., Nov. 04, 2022 (Globe Newswire) – ACM Research, Inc. (“ACM” or the “Company”) (NASDAQ: ACMR), a leading supplier of wafer processing solutions for semiconductor and advanced wafer-level packaging applications, today reported financial results for its third fiscal quarter ended September 30, 2022.</w:t>
      </w:r>
    </w:p>
    <w:p>
      <w:pPr>
        <w:spacing w:after="0" w:line="164"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7"/>
          <w:szCs w:val="17"/>
          <w:color w:val="auto"/>
        </w:rPr>
        <w:t>“Third quarter results represent another solid performance, with record revenue as operations largely returned to normal following the COVID-related restrictions in the first half,” said Dr. David Wang, ACM’s President and Chief Executive Officer. “Revenue nearly doubled and shipments grew by 64% year-over-year, with strong performance from our flagship cleaning tools and incremental contribution from our new ECP and furnace products.”</w:t>
      </w:r>
    </w:p>
    <w:p>
      <w:pPr>
        <w:spacing w:after="0" w:line="164"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Dr. Wang continued, “We saw good progress at major semiconductor manufacturers outside of China. The evaluation is going well of two cleaning tools at the U.S. facility of a large U.S.-based manufacturer, and we are gaining traction with potential new customers in Europe and other regions. Construction of our Lingang production and R&amp;D center is on track, and we are in the final stages of selecting a site to expand ou r R&amp;D and production facilities in South Korea.”</w:t>
      </w:r>
    </w:p>
    <w:p>
      <w:pPr>
        <w:spacing w:after="0" w:line="379" w:lineRule="exact"/>
        <w:rPr>
          <w:sz w:val="20"/>
          <w:szCs w:val="20"/>
          <w:color w:val="auto"/>
        </w:rPr>
      </w:pPr>
    </w:p>
    <w:p>
      <w:pPr>
        <w:jc w:val="both"/>
        <w:ind w:right="1120"/>
        <w:spacing w:after="0" w:line="273" w:lineRule="auto"/>
        <w:rPr>
          <w:sz w:val="20"/>
          <w:szCs w:val="20"/>
          <w:color w:val="auto"/>
        </w:rPr>
      </w:pPr>
      <w:r>
        <w:rPr>
          <w:rFonts w:ascii="Times New Roman" w:cs="Times New Roman" w:eastAsia="Times New Roman" w:hAnsi="Times New Roman"/>
          <w:sz w:val="17"/>
          <w:szCs w:val="17"/>
          <w:color w:val="auto"/>
        </w:rPr>
        <w:t>“We have lowered the upper end of our 2022 revenue outlook to reflect the impact of the new U.S. trade policies and supply chain constraints. We anticipate our PRC-based customers to adapt to the new regulations, and to increase investments in capacity for mature nodes and power devices. Meanwhile, we are accelerating our efforts to participate in advanced node development for leading-edge fabs of global customers.”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8"/>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4"/>
        </w:trPr>
        <w:tc>
          <w:tcPr>
            <w:tcW w:w="5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GAAP</w:t>
            </w:r>
          </w:p>
        </w:tc>
        <w:tc>
          <w:tcPr>
            <w:tcW w:w="8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Non-GAAP(1)</w:t>
            </w:r>
          </w:p>
        </w:tc>
        <w:tc>
          <w:tcPr>
            <w:tcW w:w="160" w:type="dxa"/>
            <w:vAlign w:val="bottom"/>
          </w:tcPr>
          <w:p>
            <w:pPr>
              <w:spacing w:after="0"/>
              <w:rPr>
                <w:sz w:val="18"/>
                <w:szCs w:val="18"/>
                <w:color w:val="auto"/>
              </w:rPr>
            </w:pPr>
          </w:p>
        </w:tc>
      </w:tr>
      <w:tr>
        <w:trPr>
          <w:trHeight w:val="214"/>
        </w:trPr>
        <w:tc>
          <w:tcPr>
            <w:tcW w:w="5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60" w:type="dxa"/>
            <w:vAlign w:val="bottom"/>
          </w:tcPr>
          <w:p>
            <w:pPr>
              <w:spacing w:after="0"/>
              <w:rPr>
                <w:sz w:val="18"/>
                <w:szCs w:val="18"/>
                <w:color w:val="auto"/>
              </w:rPr>
            </w:pPr>
          </w:p>
        </w:tc>
      </w:tr>
      <w:tr>
        <w:trPr>
          <w:trHeight w:val="208"/>
        </w:trPr>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7"/>
          </w:tcPr>
          <w:p>
            <w:pPr>
              <w:jc w:val="center"/>
              <w:ind w:right="240"/>
              <w:spacing w:after="0"/>
              <w:rPr>
                <w:sz w:val="20"/>
                <w:szCs w:val="20"/>
                <w:color w:val="auto"/>
              </w:rPr>
            </w:pPr>
            <w:r>
              <w:rPr>
                <w:rFonts w:ascii="Times New Roman" w:cs="Times New Roman" w:eastAsia="Times New Roman" w:hAnsi="Times New Roman"/>
                <w:sz w:val="17"/>
                <w:szCs w:val="17"/>
                <w:i w:val="1"/>
                <w:iCs w:val="1"/>
                <w:color w:val="auto"/>
              </w:rPr>
              <w:t>(dollars in thousands, except EPS)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7"/>
                <w:szCs w:val="17"/>
                <w:color w:val="auto"/>
              </w:rPr>
              <w:t>133,709</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7"/>
                <w:szCs w:val="17"/>
                <w:color w:val="auto"/>
              </w:rPr>
              <w:t>67,013</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7"/>
                <w:szCs w:val="17"/>
                <w:color w:val="auto"/>
              </w:rPr>
              <w:t>133,709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7"/>
                <w:szCs w:val="17"/>
                <w:color w:val="auto"/>
                <w:w w:val="98"/>
              </w:rPr>
              <w:t>67,013</w:t>
            </w:r>
          </w:p>
        </w:tc>
        <w:tc>
          <w:tcPr>
            <w:tcW w:w="160" w:type="dxa"/>
            <w:vAlign w:val="bottom"/>
            <w:shd w:val="clear" w:color="auto" w:fill="CCEEFF"/>
          </w:tcPr>
          <w:p>
            <w:pPr>
              <w:spacing w:after="0"/>
              <w:rPr>
                <w:sz w:val="18"/>
                <w:szCs w:val="18"/>
                <w:color w:val="auto"/>
              </w:rPr>
            </w:pPr>
          </w:p>
        </w:tc>
      </w:tr>
      <w:tr>
        <w:trPr>
          <w:trHeight w:val="208"/>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Gross margin</w:t>
            </w: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49.4%</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44.5%</w:t>
            </w:r>
          </w:p>
        </w:tc>
      </w:tr>
      <w:tr>
        <w:trPr>
          <w:trHeight w:val="20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from operations</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7"/>
                <w:szCs w:val="17"/>
                <w:color w:val="auto"/>
              </w:rPr>
              <w:t>31,636</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7"/>
                <w:szCs w:val="17"/>
                <w:color w:val="auto"/>
              </w:rPr>
              <w:t>11,795</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7"/>
                <w:szCs w:val="17"/>
                <w:color w:val="auto"/>
              </w:rPr>
              <w:t>33,529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7"/>
                <w:szCs w:val="17"/>
                <w:color w:val="auto"/>
                <w:w w:val="98"/>
              </w:rPr>
              <w:t>13,073</w:t>
            </w:r>
          </w:p>
        </w:tc>
        <w:tc>
          <w:tcPr>
            <w:tcW w:w="160" w:type="dxa"/>
            <w:vAlign w:val="bottom"/>
            <w:shd w:val="clear" w:color="auto" w:fill="CCEEFF"/>
          </w:tcPr>
          <w:p>
            <w:pPr>
              <w:spacing w:after="0"/>
              <w:rPr>
                <w:sz w:val="18"/>
                <w:szCs w:val="18"/>
                <w:color w:val="auto"/>
              </w:rPr>
            </w:pPr>
          </w:p>
        </w:tc>
      </w:tr>
      <w:tr>
        <w:trPr>
          <w:trHeight w:val="208"/>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Net income attributable to ACM Research, Inc.</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auto"/>
              </w:rPr>
              <w:t>21,004</w:t>
            </w:r>
          </w:p>
        </w:tc>
        <w:tc>
          <w:tcPr>
            <w:tcW w:w="140" w:type="dxa"/>
            <w:vAlign w:val="bottom"/>
          </w:tcPr>
          <w:p>
            <w:pPr>
              <w:spacing w:after="0"/>
              <w:rPr>
                <w:sz w:val="18"/>
                <w:szCs w:val="18"/>
                <w:color w:val="auto"/>
              </w:rPr>
            </w:pP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center"/>
              <w:ind w:right="53"/>
              <w:spacing w:after="0"/>
              <w:rPr>
                <w:sz w:val="20"/>
                <w:szCs w:val="20"/>
                <w:color w:val="auto"/>
              </w:rPr>
            </w:pPr>
            <w:r>
              <w:rPr>
                <w:rFonts w:ascii="Times New Roman" w:cs="Times New Roman" w:eastAsia="Times New Roman" w:hAnsi="Times New Roman"/>
                <w:sz w:val="17"/>
                <w:szCs w:val="17"/>
                <w:color w:val="auto"/>
              </w:rPr>
              <w:t>10,155</w:t>
            </w:r>
          </w:p>
        </w:tc>
        <w:tc>
          <w:tcPr>
            <w:tcW w:w="20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auto"/>
              </w:rPr>
              <w:t>28,178</w:t>
            </w:r>
          </w:p>
        </w:tc>
        <w:tc>
          <w:tcPr>
            <w:tcW w:w="26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auto"/>
                <w:w w:val="98"/>
              </w:rPr>
              <w:t>12,352</w:t>
            </w:r>
          </w:p>
        </w:tc>
        <w:tc>
          <w:tcPr>
            <w:tcW w:w="160" w:type="dxa"/>
            <w:vAlign w:val="bottom"/>
          </w:tcPr>
          <w:p>
            <w:pPr>
              <w:spacing w:after="0"/>
              <w:rPr>
                <w:sz w:val="18"/>
                <w:szCs w:val="18"/>
                <w:color w:val="auto"/>
              </w:rPr>
            </w:pPr>
          </w:p>
        </w:tc>
      </w:tr>
      <w:tr>
        <w:trPr>
          <w:trHeight w:val="20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EPS</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7"/>
                <w:szCs w:val="17"/>
                <w:color w:val="auto"/>
              </w:rPr>
              <w:t>0.35</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7"/>
                <w:szCs w:val="17"/>
                <w:color w:val="auto"/>
              </w:rPr>
              <w:t>0.17</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0.47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7"/>
                <w:szCs w:val="17"/>
                <w:color w:val="auto"/>
              </w:rPr>
              <w:t>0.21</w:t>
            </w:r>
          </w:p>
        </w:tc>
        <w:tc>
          <w:tcPr>
            <w:tcW w:w="160" w:type="dxa"/>
            <w:vAlign w:val="bottom"/>
            <w:shd w:val="clear" w:color="auto" w:fill="CCEEFF"/>
          </w:tcPr>
          <w:p>
            <w:pPr>
              <w:spacing w:after="0"/>
              <w:rPr>
                <w:sz w:val="18"/>
                <w:szCs w:val="18"/>
                <w:color w:val="auto"/>
              </w:rPr>
            </w:pPr>
          </w:p>
        </w:tc>
      </w:tr>
      <w:tr>
        <w:trPr>
          <w:trHeight w:val="226"/>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Diluted EPS (2)</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auto"/>
              </w:rPr>
              <w:t>0.32</w:t>
            </w:r>
          </w:p>
        </w:tc>
        <w:tc>
          <w:tcPr>
            <w:tcW w:w="140" w:type="dxa"/>
            <w:vAlign w:val="bottom"/>
          </w:tcPr>
          <w:p>
            <w:pPr>
              <w:spacing w:after="0"/>
              <w:rPr>
                <w:sz w:val="19"/>
                <w:szCs w:val="19"/>
                <w:color w:val="auto"/>
              </w:rPr>
            </w:pP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auto"/>
              </w:rPr>
              <w:t>0.15</w:t>
            </w:r>
          </w:p>
        </w:tc>
        <w:tc>
          <w:tcPr>
            <w:tcW w:w="200" w:type="dxa"/>
            <w:vAlign w:val="bottom"/>
          </w:tcPr>
          <w:p>
            <w:pPr>
              <w:spacing w:after="0"/>
              <w:rPr>
                <w:sz w:val="19"/>
                <w:szCs w:val="19"/>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0.42</w:t>
            </w:r>
          </w:p>
        </w:tc>
        <w:tc>
          <w:tcPr>
            <w:tcW w:w="26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auto"/>
              </w:rPr>
              <w:t>0.19</w:t>
            </w:r>
          </w:p>
        </w:tc>
        <w:tc>
          <w:tcPr>
            <w:tcW w:w="160" w:type="dxa"/>
            <w:vAlign w:val="bottom"/>
          </w:tcPr>
          <w:p>
            <w:pPr>
              <w:spacing w:after="0"/>
              <w:rPr>
                <w:sz w:val="19"/>
                <w:szCs w:val="19"/>
                <w:color w:val="auto"/>
              </w:rPr>
            </w:pPr>
          </w:p>
        </w:tc>
      </w:tr>
    </w:tbl>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8"/>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4"/>
        </w:trPr>
        <w:tc>
          <w:tcPr>
            <w:tcW w:w="5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GAAP</w:t>
            </w:r>
          </w:p>
        </w:tc>
        <w:tc>
          <w:tcPr>
            <w:tcW w:w="8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Non-GAAP(1)</w:t>
            </w:r>
          </w:p>
        </w:tc>
        <w:tc>
          <w:tcPr>
            <w:tcW w:w="160" w:type="dxa"/>
            <w:vAlign w:val="bottom"/>
          </w:tcPr>
          <w:p>
            <w:pPr>
              <w:spacing w:after="0"/>
              <w:rPr>
                <w:sz w:val="18"/>
                <w:szCs w:val="18"/>
                <w:color w:val="auto"/>
              </w:rPr>
            </w:pPr>
          </w:p>
        </w:tc>
      </w:tr>
      <w:tr>
        <w:trPr>
          <w:trHeight w:val="214"/>
        </w:trPr>
        <w:tc>
          <w:tcPr>
            <w:tcW w:w="5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60" w:type="dxa"/>
            <w:vAlign w:val="bottom"/>
          </w:tcPr>
          <w:p>
            <w:pPr>
              <w:spacing w:after="0"/>
              <w:rPr>
                <w:sz w:val="18"/>
                <w:szCs w:val="18"/>
                <w:color w:val="auto"/>
              </w:rPr>
            </w:pPr>
          </w:p>
        </w:tc>
      </w:tr>
      <w:tr>
        <w:trPr>
          <w:trHeight w:val="208"/>
        </w:trPr>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gridSpan w:val="7"/>
          </w:tcPr>
          <w:p>
            <w:pPr>
              <w:jc w:val="center"/>
              <w:ind w:right="240"/>
              <w:spacing w:after="0"/>
              <w:rPr>
                <w:sz w:val="20"/>
                <w:szCs w:val="20"/>
                <w:color w:val="auto"/>
              </w:rPr>
            </w:pPr>
            <w:r>
              <w:rPr>
                <w:rFonts w:ascii="Times New Roman" w:cs="Times New Roman" w:eastAsia="Times New Roman" w:hAnsi="Times New Roman"/>
                <w:sz w:val="17"/>
                <w:szCs w:val="17"/>
                <w:i w:val="1"/>
                <w:iCs w:val="1"/>
                <w:color w:val="auto"/>
              </w:rPr>
              <w:t>(dollars in thousands, except EPS)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7"/>
                <w:szCs w:val="17"/>
                <w:color w:val="auto"/>
              </w:rPr>
              <w:t>280,290</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7"/>
                <w:szCs w:val="17"/>
                <w:color w:val="auto"/>
              </w:rPr>
              <w:t>164,609</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7"/>
                <w:szCs w:val="17"/>
                <w:color w:val="auto"/>
              </w:rPr>
              <w:t>280,290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7"/>
                <w:szCs w:val="17"/>
                <w:color w:val="auto"/>
              </w:rPr>
              <w:t>164,609</w:t>
            </w:r>
          </w:p>
        </w:tc>
        <w:tc>
          <w:tcPr>
            <w:tcW w:w="160" w:type="dxa"/>
            <w:vAlign w:val="bottom"/>
            <w:shd w:val="clear" w:color="auto" w:fill="CCEEFF"/>
          </w:tcPr>
          <w:p>
            <w:pPr>
              <w:spacing w:after="0"/>
              <w:rPr>
                <w:sz w:val="18"/>
                <w:szCs w:val="18"/>
                <w:color w:val="auto"/>
              </w:rPr>
            </w:pPr>
          </w:p>
        </w:tc>
      </w:tr>
      <w:tr>
        <w:trPr>
          <w:trHeight w:val="208"/>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Gross margin</w:t>
            </w:r>
          </w:p>
        </w:tc>
        <w:tc>
          <w:tcPr>
            <w:tcW w:w="2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42.2%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46.4%</w:t>
            </w: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42.3%</w:t>
            </w:r>
          </w:p>
        </w:tc>
      </w:tr>
      <w:tr>
        <w:trPr>
          <w:trHeight w:val="20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from operations</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7"/>
                <w:szCs w:val="17"/>
                <w:color w:val="auto"/>
              </w:rPr>
              <w:t>42,365</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7"/>
                <w:szCs w:val="17"/>
                <w:color w:val="auto"/>
              </w:rPr>
              <w:t>19,576</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7"/>
                <w:szCs w:val="17"/>
                <w:color w:val="auto"/>
              </w:rPr>
              <w:t>47,601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23,399</w:t>
            </w:r>
          </w:p>
        </w:tc>
        <w:tc>
          <w:tcPr>
            <w:tcW w:w="160" w:type="dxa"/>
            <w:vAlign w:val="bottom"/>
            <w:shd w:val="clear" w:color="auto" w:fill="CCEEFF"/>
          </w:tcPr>
          <w:p>
            <w:pPr>
              <w:spacing w:after="0"/>
              <w:rPr>
                <w:sz w:val="18"/>
                <w:szCs w:val="18"/>
                <w:color w:val="auto"/>
              </w:rPr>
            </w:pPr>
          </w:p>
        </w:tc>
      </w:tr>
      <w:tr>
        <w:trPr>
          <w:trHeight w:val="208"/>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Net income attributable to ACM Research, Inc.</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auto"/>
              </w:rPr>
              <w:t>27,454</w:t>
            </w:r>
          </w:p>
        </w:tc>
        <w:tc>
          <w:tcPr>
            <w:tcW w:w="180" w:type="dxa"/>
            <w:vAlign w:val="bottom"/>
          </w:tcPr>
          <w:p>
            <w:pPr>
              <w:spacing w:after="0"/>
              <w:rPr>
                <w:sz w:val="18"/>
                <w:szCs w:val="18"/>
                <w:color w:val="auto"/>
              </w:rPr>
            </w:pPr>
          </w:p>
        </w:tc>
        <w:tc>
          <w:tcPr>
            <w:tcW w:w="30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auto"/>
              </w:rPr>
              <w:t>22,192</w:t>
            </w:r>
          </w:p>
        </w:tc>
        <w:tc>
          <w:tcPr>
            <w:tcW w:w="20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auto"/>
              </w:rPr>
              <w:t>42,252</w:t>
            </w:r>
          </w:p>
        </w:tc>
        <w:tc>
          <w:tcPr>
            <w:tcW w:w="26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24,198</w:t>
            </w:r>
          </w:p>
        </w:tc>
        <w:tc>
          <w:tcPr>
            <w:tcW w:w="160" w:type="dxa"/>
            <w:vAlign w:val="bottom"/>
          </w:tcPr>
          <w:p>
            <w:pPr>
              <w:spacing w:after="0"/>
              <w:rPr>
                <w:sz w:val="18"/>
                <w:szCs w:val="18"/>
                <w:color w:val="auto"/>
              </w:rPr>
            </w:pPr>
          </w:p>
        </w:tc>
      </w:tr>
      <w:tr>
        <w:trPr>
          <w:trHeight w:val="20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EPS</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7"/>
                <w:szCs w:val="17"/>
                <w:color w:val="auto"/>
              </w:rPr>
              <w:t>0.46</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7"/>
                <w:szCs w:val="17"/>
                <w:color w:val="auto"/>
              </w:rPr>
              <w:t>0.39</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0.71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0.42</w:t>
            </w:r>
          </w:p>
        </w:tc>
        <w:tc>
          <w:tcPr>
            <w:tcW w:w="160" w:type="dxa"/>
            <w:vAlign w:val="bottom"/>
            <w:shd w:val="clear" w:color="auto" w:fill="CCEEFF"/>
          </w:tcPr>
          <w:p>
            <w:pPr>
              <w:spacing w:after="0"/>
              <w:rPr>
                <w:sz w:val="18"/>
                <w:szCs w:val="18"/>
                <w:color w:val="auto"/>
              </w:rPr>
            </w:pPr>
          </w:p>
        </w:tc>
      </w:tr>
      <w:tr>
        <w:trPr>
          <w:trHeight w:val="226"/>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Diluted EPS (2)</w:t>
            </w: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auto"/>
              </w:rPr>
              <w:t>0.41</w:t>
            </w:r>
          </w:p>
        </w:tc>
        <w:tc>
          <w:tcPr>
            <w:tcW w:w="180" w:type="dxa"/>
            <w:vAlign w:val="bottom"/>
          </w:tcPr>
          <w:p>
            <w:pPr>
              <w:spacing w:after="0"/>
              <w:rPr>
                <w:sz w:val="19"/>
                <w:szCs w:val="19"/>
                <w:color w:val="auto"/>
              </w:rPr>
            </w:pPr>
          </w:p>
        </w:tc>
        <w:tc>
          <w:tcPr>
            <w:tcW w:w="30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auto"/>
              </w:rPr>
              <w:t>0.34</w:t>
            </w:r>
          </w:p>
        </w:tc>
        <w:tc>
          <w:tcPr>
            <w:tcW w:w="200" w:type="dxa"/>
            <w:vAlign w:val="bottom"/>
          </w:tcPr>
          <w:p>
            <w:pPr>
              <w:spacing w:after="0"/>
              <w:rPr>
                <w:sz w:val="19"/>
                <w:szCs w:val="19"/>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0.64</w:t>
            </w:r>
          </w:p>
        </w:tc>
        <w:tc>
          <w:tcPr>
            <w:tcW w:w="26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0.37</w:t>
            </w:r>
          </w:p>
        </w:tc>
        <w:tc>
          <w:tcPr>
            <w:tcW w:w="160" w:type="dxa"/>
            <w:vAlign w:val="bottom"/>
          </w:tcPr>
          <w:p>
            <w:pPr>
              <w:spacing w:after="0"/>
              <w:rPr>
                <w:sz w:val="19"/>
                <w:szCs w:val="19"/>
                <w:color w:val="auto"/>
              </w:rPr>
            </w:pPr>
          </w:p>
        </w:tc>
      </w:tr>
    </w:tbl>
    <w:p>
      <w:pPr>
        <w:spacing w:after="0" w:line="171" w:lineRule="exact"/>
        <w:rPr>
          <w:sz w:val="20"/>
          <w:szCs w:val="20"/>
          <w:color w:val="auto"/>
        </w:rPr>
      </w:pPr>
    </w:p>
    <w:p>
      <w:pPr>
        <w:ind w:left="320" w:right="100" w:hanging="316"/>
        <w:spacing w:after="0" w:line="262" w:lineRule="auto"/>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Reconciliations to U.S. generally accepted accounting principles (“GAAP”) financial measures from non-GAAP financial measures are presented below under “Reconciliation of GAAP to Non-GAAP Financial Measures.” Non-GAAP financial measures exclude stock-based compensation and, with respect to net income (loss) attributable to ACM Research, Inc. and basic and diluted earnings per share, also exclude unrealized loss on trading securities.</w:t>
      </w:r>
    </w:p>
    <w:p>
      <w:pPr>
        <w:spacing w:after="0" w:line="1"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period results have been adjusted to reflect the three-for-one stock split effected in the form of a stock dividend in March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3740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auto"/>
        </w:rPr>
        <w:t>Outlook</w:t>
      </w:r>
    </w:p>
    <w:p>
      <w:pPr>
        <w:spacing w:after="0" w:line="222"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For fiscal year 2022, the Company now expects revenue to be in the range of $365 million to $385 million, versus the previous guidance range of $365 million to $405 million. The range of the Company’s 2022 outlook reflects, among other things, the impact from the new US trade policy, supply chain constraints, various spending scenarios for the production ramps of key customers, and the timing of acceptances for first tools under evaluation in the field, and assumes stability with respect to the COVID-19 pandemic in China.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Impact of New Department of Commerce’s Bureau of Industry and Security Controls on Exports</w:t>
      </w:r>
    </w:p>
    <w:p>
      <w:pPr>
        <w:spacing w:after="0" w:line="22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On October 7, 2022, the U.S. Department of Commerce’s Bureau of Industry and Security (“BIS”) imposed additional controls on exports to and transfers within the PRC relating to advanced integrated circuit (“IC”) products, certain IC manufacturing equipment and technology, and supercomputers. Several of the relevant controls, which consist of export license requirements with a presumption of denial, focus on exports of specified products from the U.S. when destined to PRC-based fabrication facilities producing chips meeting certain advanced node criteria or destined to the PRC for the production of items meeting the parameters of certain export control classification numbers (“ECCNs”) on the Commerce Control List (“CCL”) (and support by U.S. persons of the supply of such products that are not subject to U.S. export controls).</w:t>
      </w:r>
    </w:p>
    <w:p>
      <w:pPr>
        <w:spacing w:after="0" w:line="17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As of now, our subsidiary ACM Research (Shanghai), Inc. (“ACM Shanghai”) has determined that several of its customers have PRC-based facilities that meet the specified criteria, and has also determined that several of its products may be items meeting the parameters of the identified ECCNs. Accordingly, ACM may not be able to import parts from the U.S. to support tool shipments to such facilities, or to import parts to be embedded into tools defined by such ECCN’s, if a license is required for, and the presumption of denial applies to, such imports. ACM Shanghai is working with its various suppliers to continue to source tool components that we and our suppliers assess are not impacted by the new controls, to enable shipments to its customer base.</w:t>
      </w:r>
    </w:p>
    <w:p>
      <w:pPr>
        <w:spacing w:after="0" w:line="171" w:lineRule="exact"/>
        <w:rPr>
          <w:sz w:val="20"/>
          <w:szCs w:val="20"/>
          <w:color w:val="auto"/>
        </w:rPr>
      </w:pPr>
    </w:p>
    <w:p>
      <w:pPr>
        <w:ind w:right="200"/>
        <w:spacing w:after="0" w:line="292" w:lineRule="auto"/>
        <w:rPr>
          <w:sz w:val="20"/>
          <w:szCs w:val="20"/>
          <w:color w:val="auto"/>
        </w:rPr>
      </w:pPr>
      <w:r>
        <w:rPr>
          <w:rFonts w:ascii="Times New Roman" w:cs="Times New Roman" w:eastAsia="Times New Roman" w:hAnsi="Times New Roman"/>
          <w:sz w:val="17"/>
          <w:szCs w:val="17"/>
          <w:color w:val="auto"/>
        </w:rPr>
        <w:t>ACM is continuing to evaluate the effects of the new restrictions, including those imposed on U.S. persons. In the interest of ensuring compliance with the new regulations, ACM has adjusted the activities of some of its U.S. persons and its supply chain during these efforts.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Operating Highlights and Recent Announcements</w:t>
      </w:r>
    </w:p>
    <w:p>
      <w:pPr>
        <w:spacing w:after="0" w:line="220" w:lineRule="exact"/>
        <w:rPr>
          <w:sz w:val="20"/>
          <w:szCs w:val="20"/>
          <w:color w:val="auto"/>
        </w:rPr>
      </w:pPr>
    </w:p>
    <w:p>
      <w:pPr>
        <w:ind w:left="320" w:hanging="316"/>
        <w:spacing w:after="0" w:line="295" w:lineRule="auto"/>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Shipments. </w:t>
      </w:r>
      <w:r>
        <w:rPr>
          <w:rFonts w:ascii="Times New Roman" w:cs="Times New Roman" w:eastAsia="Times New Roman" w:hAnsi="Times New Roman"/>
          <w:sz w:val="17"/>
          <w:szCs w:val="17"/>
          <w:color w:val="auto"/>
        </w:rPr>
        <w:t>Total shipments in the third quarter of 2022 were $163 million, versus $99 million in the third quarter of 2021. Total shipments include deliveries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revenue in the quarter and deliveries of first tool systems awaiting customer acceptance for potential revenue in future quarters.</w:t>
      </w:r>
    </w:p>
    <w:p>
      <w:pPr>
        <w:spacing w:after="0" w:line="168" w:lineRule="exact"/>
        <w:rPr>
          <w:rFonts w:ascii="Times New Roman" w:cs="Times New Roman" w:eastAsia="Times New Roman" w:hAnsi="Times New Roman"/>
          <w:sz w:val="17"/>
          <w:szCs w:val="17"/>
          <w:color w:val="auto"/>
        </w:rPr>
      </w:pPr>
    </w:p>
    <w:p>
      <w:pPr>
        <w:ind w:left="320" w:right="20" w:hanging="316"/>
        <w:spacing w:after="0" w:line="268" w:lineRule="auto"/>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Launched and Shipped First New Furnace Tool to China-Based Foundry Customer. </w:t>
      </w:r>
      <w:r>
        <w:rPr>
          <w:rFonts w:ascii="Times New Roman" w:cs="Times New Roman" w:eastAsia="Times New Roman" w:hAnsi="Times New Roman"/>
          <w:sz w:val="17"/>
          <w:szCs w:val="17"/>
          <w:color w:val="auto"/>
        </w:rPr>
        <w:t>In the third quarter, ACM expanded its 300mm Ultra Fn furnace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dry processing platform with the introduction of its Ultra Fn A furnace tool. The Ultra Fn A system adds thermal atomic layer deposition to ACM’s extensive list of supported furnace applications. The first Ultra Fn A furnace tool has been shipped to a top-tier China-based foundry manufacturer, and is expected to be qualified in 2023.</w:t>
      </w:r>
    </w:p>
    <w:p>
      <w:pPr>
        <w:spacing w:after="0" w:line="357" w:lineRule="exact"/>
        <w:rPr>
          <w:rFonts w:ascii="Times New Roman" w:cs="Times New Roman" w:eastAsia="Times New Roman" w:hAnsi="Times New Roman"/>
          <w:sz w:val="17"/>
          <w:szCs w:val="17"/>
          <w:color w:val="auto"/>
        </w:rPr>
      </w:pPr>
    </w:p>
    <w:p>
      <w:pPr>
        <w:ind w:left="5580" w:hanging="71"/>
        <w:spacing w:after="0"/>
        <w:tabs>
          <w:tab w:leader="none" w:pos="558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auto"/>
        </w:rPr>
        <w:t>Financial Summary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Unless otherwise noted, the following figures refer to the third quarter of 2022 and comparisons are with the third quarter of 2021.</w:t>
      </w:r>
    </w:p>
    <w:p>
      <w:pPr>
        <w:spacing w:after="0" w:line="220" w:lineRule="exact"/>
        <w:rPr>
          <w:sz w:val="20"/>
          <w:szCs w:val="20"/>
          <w:color w:val="auto"/>
        </w:rPr>
      </w:pPr>
    </w:p>
    <w:p>
      <w:pPr>
        <w:ind w:left="320" w:right="380" w:hanging="316"/>
        <w:spacing w:after="0" w:line="295" w:lineRule="auto"/>
        <w:tabs>
          <w:tab w:leader="none" w:pos="3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w:t>
      </w:r>
      <w:r>
        <w:rPr>
          <w:rFonts w:ascii="Times New Roman" w:cs="Times New Roman" w:eastAsia="Times New Roman" w:hAnsi="Times New Roman"/>
          <w:sz w:val="17"/>
          <w:szCs w:val="17"/>
          <w:color w:val="auto"/>
        </w:rPr>
        <w:t>was $133.7 million, up 99.5%, reflecting an increase in revenue from single wafer cleaning, Tahoe and semi-critical cleaning, and incremental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contribution from ECP, furnace and other technologies.</w:t>
      </w:r>
    </w:p>
    <w:p>
      <w:pPr>
        <w:spacing w:after="0" w:line="168" w:lineRule="exact"/>
        <w:rPr>
          <w:rFonts w:ascii="Times New Roman" w:cs="Times New Roman" w:eastAsia="Times New Roman" w:hAnsi="Times New Roman"/>
          <w:sz w:val="17"/>
          <w:szCs w:val="17"/>
          <w:b w:val="1"/>
          <w:bCs w:val="1"/>
          <w:color w:val="auto"/>
        </w:rPr>
      </w:pPr>
    </w:p>
    <w:p>
      <w:pPr>
        <w:jc w:val="both"/>
        <w:ind w:left="320" w:right="100" w:hanging="316"/>
        <w:spacing w:after="0" w:line="275" w:lineRule="auto"/>
        <w:tabs>
          <w:tab w:leader="none" w:pos="3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Gross margin </w:t>
      </w:r>
      <w:r>
        <w:rPr>
          <w:rFonts w:ascii="Times New Roman" w:cs="Times New Roman" w:eastAsia="Times New Roman" w:hAnsi="Times New Roman"/>
          <w:sz w:val="17"/>
          <w:szCs w:val="17"/>
          <w:color w:val="auto"/>
        </w:rPr>
        <w:t>was 49.3%, up from 44.3%. Non-GAAP gross margin, which excludes stock-based compensation, was 49.4%, up from 44.5%. Gross margin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exceeded the range of 40% to 45% reflected in the Company’s long-term business model. The Company expects gross margin to vary from period to period due to a variety of factors, such as sales volume, product mix and favorable currency impacts from a stronger dollar versus the Chinese RMB.</w:t>
      </w:r>
    </w:p>
    <w:p>
      <w:pPr>
        <w:spacing w:after="0" w:line="158" w:lineRule="exact"/>
        <w:rPr>
          <w:rFonts w:ascii="Times New Roman" w:cs="Times New Roman" w:eastAsia="Times New Roman" w:hAnsi="Times New Roman"/>
          <w:sz w:val="17"/>
          <w:szCs w:val="17"/>
          <w:color w:val="auto"/>
        </w:rPr>
      </w:pPr>
    </w:p>
    <w:p>
      <w:pPr>
        <w:ind w:left="320" w:right="40" w:hanging="316"/>
        <w:spacing w:after="0" w:line="275" w:lineRule="auto"/>
        <w:tabs>
          <w:tab w:leader="none" w:pos="3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Operating expenses </w:t>
      </w:r>
      <w:r>
        <w:rPr>
          <w:rFonts w:ascii="Times New Roman" w:cs="Times New Roman" w:eastAsia="Times New Roman" w:hAnsi="Times New Roman"/>
          <w:sz w:val="17"/>
          <w:szCs w:val="17"/>
          <w:color w:val="auto"/>
        </w:rPr>
        <w:t>were $34.3 million, an increase of 91.9%. Non-GAAP operating expenses, which exclude the effect of stock-based compensation, were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$32.6 million, up 94.8%. Operating expenses as a percent of revenue decreased to 25.7% from 26.7%. Non-GAAP operating expenses as a percent of revenue decreased to 24.4% from 25.0%.</w:t>
      </w:r>
    </w:p>
    <w:p>
      <w:pPr>
        <w:spacing w:after="0" w:line="158" w:lineRule="exact"/>
        <w:rPr>
          <w:rFonts w:ascii="Times New Roman" w:cs="Times New Roman" w:eastAsia="Times New Roman" w:hAnsi="Times New Roman"/>
          <w:sz w:val="17"/>
          <w:szCs w:val="17"/>
          <w:color w:val="auto"/>
        </w:rPr>
      </w:pPr>
    </w:p>
    <w:p>
      <w:pPr>
        <w:ind w:left="320" w:right="220" w:hanging="316"/>
        <w:spacing w:after="0" w:line="295" w:lineRule="auto"/>
        <w:tabs>
          <w:tab w:leader="none" w:pos="3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Operating income </w:t>
      </w:r>
      <w:r>
        <w:rPr>
          <w:rFonts w:ascii="Times New Roman" w:cs="Times New Roman" w:eastAsia="Times New Roman" w:hAnsi="Times New Roman"/>
          <w:sz w:val="17"/>
          <w:szCs w:val="17"/>
          <w:color w:val="auto"/>
        </w:rPr>
        <w:t>was $31.6 million, up from $11.8 million. Non-GAAP operating income, which excludes the effect of stock-based compensation,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$33.5 million, up from $13.1 million.</w:t>
      </w:r>
    </w:p>
    <w:p>
      <w:pPr>
        <w:spacing w:after="0" w:line="142" w:lineRule="exact"/>
        <w:rPr>
          <w:rFonts w:ascii="Times New Roman" w:cs="Times New Roman" w:eastAsia="Times New Roman" w:hAnsi="Times New Roman"/>
          <w:sz w:val="17"/>
          <w:szCs w:val="17"/>
          <w:color w:val="auto"/>
        </w:rPr>
      </w:pPr>
    </w:p>
    <w:p>
      <w:pPr>
        <w:ind w:left="320" w:right="60" w:hanging="316"/>
        <w:spacing w:after="0" w:line="275" w:lineRule="auto"/>
        <w:tabs>
          <w:tab w:leader="none" w:pos="3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Unrealized loss on trading securities </w:t>
      </w:r>
      <w:r>
        <w:rPr>
          <w:rFonts w:ascii="Times New Roman" w:cs="Times New Roman" w:eastAsia="Times New Roman" w:hAnsi="Times New Roman"/>
          <w:sz w:val="17"/>
          <w:szCs w:val="17"/>
          <w:color w:val="auto"/>
        </w:rPr>
        <w:t>was $5.3 million. The loss reflects the change in market value of the indirect investment by ACM Shanghai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STAR Market IPO shares of Semiconductor Manufacturing International Corporation (“SMIC”). The value is marked-to-market quarterly and is excluded in the non-GAAP financial metrics.</w:t>
      </w:r>
    </w:p>
    <w:p>
      <w:pPr>
        <w:spacing w:after="0" w:line="158" w:lineRule="exact"/>
        <w:rPr>
          <w:rFonts w:ascii="Times New Roman" w:cs="Times New Roman" w:eastAsia="Times New Roman" w:hAnsi="Times New Roman"/>
          <w:sz w:val="17"/>
          <w:szCs w:val="17"/>
          <w:color w:val="auto"/>
        </w:rPr>
      </w:pPr>
    </w:p>
    <w:p>
      <w:pPr>
        <w:ind w:left="320" w:right="260" w:hanging="316"/>
        <w:spacing w:after="0" w:line="295" w:lineRule="auto"/>
        <w:tabs>
          <w:tab w:leader="none" w:pos="3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Realized gain from sale of trading securities </w:t>
      </w:r>
      <w:r>
        <w:rPr>
          <w:rFonts w:ascii="Times New Roman" w:cs="Times New Roman" w:eastAsia="Times New Roman" w:hAnsi="Times New Roman"/>
          <w:sz w:val="17"/>
          <w:szCs w:val="17"/>
          <w:color w:val="auto"/>
        </w:rPr>
        <w:t>was $1.1 million due to the sale of a portion of ACM Shanghai’s shares of SMIC, and which generated net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proceeds of $4.5 million.</w:t>
      </w:r>
    </w:p>
    <w:p>
      <w:pPr>
        <w:spacing w:after="0" w:line="142" w:lineRule="exact"/>
        <w:rPr>
          <w:rFonts w:ascii="Times New Roman" w:cs="Times New Roman" w:eastAsia="Times New Roman" w:hAnsi="Times New Roman"/>
          <w:sz w:val="17"/>
          <w:szCs w:val="17"/>
          <w:color w:val="auto"/>
        </w:rPr>
      </w:pPr>
    </w:p>
    <w:p>
      <w:pPr>
        <w:ind w:left="320" w:right="140" w:hanging="316"/>
        <w:spacing w:after="0" w:line="295" w:lineRule="auto"/>
        <w:tabs>
          <w:tab w:leader="none" w:pos="3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Other income (expense), net </w:t>
      </w:r>
      <w:r>
        <w:rPr>
          <w:rFonts w:ascii="Times New Roman" w:cs="Times New Roman" w:eastAsia="Times New Roman" w:hAnsi="Times New Roman"/>
          <w:sz w:val="17"/>
          <w:szCs w:val="17"/>
          <w:color w:val="auto"/>
        </w:rPr>
        <w:t>was $7.2 million, which reflects $6.4 million due to gains recognized from the impact of exchange rates on foreign currency-denominated working capital transactions, versus ($0.3) million.</w:t>
      </w:r>
    </w:p>
    <w:p>
      <w:pPr>
        <w:spacing w:after="0" w:line="142" w:lineRule="exact"/>
        <w:rPr>
          <w:rFonts w:ascii="Times New Roman" w:cs="Times New Roman" w:eastAsia="Times New Roman" w:hAnsi="Times New Roman"/>
          <w:sz w:val="17"/>
          <w:szCs w:val="17"/>
          <w:color w:val="auto"/>
        </w:rPr>
      </w:pPr>
    </w:p>
    <w:p>
      <w:pPr>
        <w:jc w:val="both"/>
        <w:ind w:left="320" w:right="180" w:hanging="316"/>
        <w:spacing w:after="0" w:line="268" w:lineRule="auto"/>
        <w:tabs>
          <w:tab w:leader="none" w:pos="3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Income tax expense </w:t>
      </w:r>
      <w:r>
        <w:rPr>
          <w:rFonts w:ascii="Times New Roman" w:cs="Times New Roman" w:eastAsia="Times New Roman" w:hAnsi="Times New Roman"/>
          <w:sz w:val="17"/>
          <w:szCs w:val="17"/>
          <w:color w:val="auto"/>
        </w:rPr>
        <w:t>was $10.5 million, compared to a benefit of $0.3 million. As a result of a change in Section 174 of the U.S. Internal Revenue Code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1986 that became effective on January 1, 2022, the effective tax rate for 2022 has increased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primarily due to a new requirement to capitalize and amortize previously deductible research and experimental expenses. The Company’s tax provision for the nine months ended September 30, 2022 assumes the rule will not be overturned and is based on capitalization of all of its R&amp;D expenses for tax purposes.</w:t>
      </w:r>
    </w:p>
    <w:p>
      <w:pPr>
        <w:spacing w:after="0" w:line="165" w:lineRule="exact"/>
        <w:rPr>
          <w:rFonts w:ascii="Times New Roman" w:cs="Times New Roman" w:eastAsia="Times New Roman" w:hAnsi="Times New Roman"/>
          <w:sz w:val="17"/>
          <w:szCs w:val="17"/>
          <w:color w:val="auto"/>
        </w:rPr>
      </w:pPr>
    </w:p>
    <w:p>
      <w:pPr>
        <w:ind w:left="320" w:hanging="316"/>
        <w:spacing w:after="0" w:line="275" w:lineRule="auto"/>
        <w:tabs>
          <w:tab w:leader="none" w:pos="3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Net income attributable to ACM Research, Inc. </w:t>
      </w:r>
      <w:r>
        <w:rPr>
          <w:rFonts w:ascii="Times New Roman" w:cs="Times New Roman" w:eastAsia="Times New Roman" w:hAnsi="Times New Roman"/>
          <w:sz w:val="17"/>
          <w:szCs w:val="17"/>
          <w:color w:val="auto"/>
        </w:rPr>
        <w:t>was $21.0 million, compared to net income of $10.2 million. Non-GAAP net income attributable to ACM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Research, Inc., which excludes the effect of stock-based compensation and unrealized loss on trading securities, was $28.2 million, as compared to non-GAAP net income of $12.4 million.</w:t>
      </w:r>
    </w:p>
    <w:p>
      <w:pPr>
        <w:spacing w:after="0" w:line="158" w:lineRule="exact"/>
        <w:rPr>
          <w:rFonts w:ascii="Times New Roman" w:cs="Times New Roman" w:eastAsia="Times New Roman" w:hAnsi="Times New Roman"/>
          <w:sz w:val="17"/>
          <w:szCs w:val="17"/>
          <w:color w:val="auto"/>
        </w:rPr>
      </w:pPr>
    </w:p>
    <w:p>
      <w:pPr>
        <w:ind w:left="320" w:right="520" w:hanging="316"/>
        <w:spacing w:after="0" w:line="295" w:lineRule="auto"/>
        <w:tabs>
          <w:tab w:leader="none" w:pos="3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Net income per diluted share attributable to ACM Research, Inc. </w:t>
      </w:r>
      <w:r>
        <w:rPr>
          <w:rFonts w:ascii="Times New Roman" w:cs="Times New Roman" w:eastAsia="Times New Roman" w:hAnsi="Times New Roman"/>
          <w:sz w:val="17"/>
          <w:szCs w:val="17"/>
          <w:color w:val="auto"/>
        </w:rPr>
        <w:t>was $0.32, compared to $0.15. Non-GAAP net income per diluted share,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excludes the effect of stock-based compensation and unrealized loss on trading securities, was $0.42, compared to $0.19.</w:t>
      </w:r>
    </w:p>
    <w:p>
      <w:pPr>
        <w:spacing w:after="0" w:line="142" w:lineRule="exact"/>
        <w:rPr>
          <w:rFonts w:ascii="Times New Roman" w:cs="Times New Roman" w:eastAsia="Times New Roman" w:hAnsi="Times New Roman"/>
          <w:sz w:val="17"/>
          <w:szCs w:val="17"/>
          <w:color w:val="auto"/>
        </w:rPr>
      </w:pPr>
    </w:p>
    <w:p>
      <w:pPr>
        <w:ind w:left="320" w:right="180" w:hanging="316"/>
        <w:spacing w:after="0" w:line="295" w:lineRule="auto"/>
        <w:tabs>
          <w:tab w:leader="none" w:pos="3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Cash and cash equivalents </w:t>
      </w:r>
      <w:r>
        <w:rPr>
          <w:rFonts w:ascii="Times New Roman" w:cs="Times New Roman" w:eastAsia="Times New Roman" w:hAnsi="Times New Roman"/>
          <w:sz w:val="17"/>
          <w:szCs w:val="17"/>
          <w:color w:val="auto"/>
        </w:rPr>
        <w:t>were $336.3 million at September 30, 2022, versus $323.7 million at June 30, 2022. Cash and cash equivalents, plus restricted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cash and time deposits were $473.2 million at September 30, 2022, versus $468.9 million at June 30, 2022.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Conference Call Details</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 conference call to discuss results will be held on Friday, November 4, 2022, at 8:00 a.m. Eastern Time (8:00 p.m. China Time). To join the conference call via telephone, participants must use the following link to complete an online registration process. Upon registering, each participant will receive email instructions to access the conference call, including dial-in information and a PIN number allowing access to the conference call. This pre-registration process is designed by the operator to reduce delays due to operator congestion when accessing the live call.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Online Registration: </w:t>
      </w:r>
      <w:r>
        <w:rPr>
          <w:rFonts w:ascii="Times New Roman" w:cs="Times New Roman" w:eastAsia="Times New Roman" w:hAnsi="Times New Roman"/>
          <w:sz w:val="17"/>
          <w:szCs w:val="17"/>
          <w:u w:val="single" w:color="auto"/>
          <w:color w:val="auto"/>
        </w:rPr>
        <w:t>https://register.vevent.com/register/BI0816b9546a0844788d1501bc0975e22f</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Participants who have not pre-registered may join the webcast by accessing the link at ir.acmrcsh.com/events.</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color w:val="auto"/>
        </w:rPr>
        <w:t xml:space="preserve">A live and archived webcast will be available on the Investors section of the ACM website at </w:t>
      </w:r>
      <w:r>
        <w:rPr>
          <w:rFonts w:ascii="Times New Roman" w:cs="Times New Roman" w:eastAsia="Times New Roman" w:hAnsi="Times New Roman"/>
          <w:sz w:val="17"/>
          <w:szCs w:val="17"/>
          <w:u w:val="single" w:color="auto"/>
          <w:color w:val="auto"/>
        </w:rPr>
        <w:t>www.acmrcsh.com.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Use of Non-GAAP Financial Measures</w:t>
      </w:r>
    </w:p>
    <w:p>
      <w:pPr>
        <w:spacing w:after="0" w:line="22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ACM presents non-GAAP gross margin, operating expenses, operating income, net income (loss) attributable to ACM Research, Inc. and basic and diluted earnings per share as supplemental measures to GAAP financial measures regarding ACM’s operational performance. These supplemental measures exclude the impact of stock-based compensation, which ACM does not believe is indicative of its core operating results. In addition, non-GAAP net income attributable to ACM Research, Inc. and basic and diluted earnings per share exclude non-cash change in fair value of financial assets and liabilities and unrealized gain on trading securities, which ACM also believes are not indicative of its core operating results. A reconciliation of each non-GAAP financial measure to the most directly comparable GAAP financial measure is provided below under “Reconciliation of GAAP to non-GAAP Financial Measures.”</w:t>
      </w:r>
    </w:p>
    <w:p>
      <w:pPr>
        <w:spacing w:after="0" w:line="173"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168"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7"/>
          <w:szCs w:val="17"/>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Forward-Looking Statements</w:t>
      </w:r>
    </w:p>
    <w:p>
      <w:pPr>
        <w:spacing w:after="0" w:line="2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Certain statements contained in the third and fourth paragraphs of this press release, and under the heading “Outlook” and in the bullet “Launched and Shipped First New Furnace Tool to China-Based Foundry Customer” under the heading “Operating Highlights and Recent Announcements” above are not historical facts and may be forward-looking statements within the meaning of the Private Securities Litigation Reform Act of 1995. Forward-looking statements include statements regarding the intent, belief and current expectations with respect to: the Company’s assessment of opportunities with potential customers in the U.S., Europe and other regions; construction and selection of the Company’s Lingang and South Korea production and R&amp;D facilities; the Company’s expectations with respect to a renewed focus of investments in mature nodes and power devices; the Company’s assumptions with respect to the COVID-19 pandemic, customer demand, supply chain stability, and acceptances of tools; and the impact of the new U.S. Department of Commerce trade regulations on the Company’s business.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 may be unable to obtain the qualification and acceptance of its delivered tools when anticipated or at all, which would delay or preclude ACM’s recognition of revenue from the sale of those tools; suppliers may not be able to meet ACM’s demands on a timely basis; ACM’s technologies and tools may not gain market acceptance; ACM may be unable to compete effectively by, among other things, enhancing its existing tools, adding additional production capacity and engaging additional major customers; ACM may incur significant expenses long before it can recognize revenue from new products, if at all, due to the costs and length of research, development, manufacturing and customer evaluation process cycles; volatile global economic, market, industry and other conditions could result in sharply lower demand for products containing semiconductors and for ACM’s products and in disruption of capital and credit markets; ACM’s failure to successfully manage its operations, including its inability to hire, train, integrate and manage additional qualified engineers for research and development activities; and trade regulations, including those recently published by the U.S. Department of Commerce imposing certain restrictions on equipment shipments and business practices with China-based semiconductor manufacturers, currency fluctuations, political instability and war, all of which may materially and adversely affect ACM due to its substantial non-U.S. customer and supplier base and its substantial non-U.S. manufacturing operations. A further description of these risks, uncertainties and other matters can be found in filings ACM makes with the U.S. Securities and Exchange Commission. Because forward-looking statements involve risks and uncertainties, actual results and events may differ materially from results and events currently expected by ACM.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auto"/>
        </w:rPr>
        <w:t>About ACM Research, Inc.</w:t>
      </w:r>
    </w:p>
    <w:p>
      <w:pPr>
        <w:spacing w:after="0" w:line="22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Company develops, manufactures and sells semiconductor process equipment for single-wafer or batch wet cleaning, electroplating, stress-free polishing and thermal processes that are critical to advanced semiconductor device manufacturing, as well as wafer-level packaging. The Company is committed to delivering customized, high performance, cost-effective process solutions that semiconductor manufacturers can use in numerous manufacturing steps to improve productivity and product yield.</w:t>
      </w:r>
    </w:p>
    <w:p>
      <w:pPr>
        <w:spacing w:after="0" w:line="168" w:lineRule="exact"/>
        <w:rPr>
          <w:sz w:val="20"/>
          <w:szCs w:val="20"/>
          <w:color w:val="auto"/>
        </w:rPr>
      </w:pPr>
    </w:p>
    <w:p>
      <w:pPr>
        <w:ind w:right="280" w:firstLine="4"/>
        <w:spacing w:after="0" w:line="292" w:lineRule="auto"/>
        <w:tabs>
          <w:tab w:leader="none" w:pos="17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ACM Research, Inc. ULTRA C and the ACM Research logo are trademarks of ACM Research, Inc. For convenience, these trademarks appear in this press release without ™ symbols, but that practice does not mean that ACM will not assert, to the fullest extent under applicable law, its rights to the trademarks.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investor and media inquiries, please contact: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 the United States:</w:t>
            </w:r>
          </w:p>
        </w:tc>
        <w:tc>
          <w:tcPr>
            <w:tcW w:w="25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The Blueshirt Group</w:t>
            </w:r>
          </w:p>
        </w:tc>
      </w:tr>
      <w:tr>
        <w:trPr>
          <w:trHeight w:val="208"/>
        </w:trPr>
        <w:tc>
          <w:tcPr>
            <w:tcW w:w="6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5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Yujia Zhai</w:t>
            </w:r>
          </w:p>
        </w:tc>
      </w:tr>
      <w:tr>
        <w:trPr>
          <w:trHeight w:val="206"/>
        </w:trPr>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+1 (860) 214-0809</w:t>
            </w:r>
          </w:p>
        </w:tc>
      </w:tr>
      <w:tr>
        <w:trPr>
          <w:trHeight w:val="228"/>
        </w:trPr>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60" w:type="dxa"/>
            <w:vAlign w:val="bottom"/>
          </w:tcPr>
          <w:p>
            <w:pPr>
              <w:ind w:left="700"/>
              <w:spacing w:after="0"/>
              <w:rPr>
                <w:sz w:val="20"/>
                <w:szCs w:val="20"/>
                <w:color w:val="auto"/>
              </w:rPr>
            </w:pPr>
            <w:r>
              <w:rPr>
                <w:rFonts w:ascii="Times New Roman" w:cs="Times New Roman" w:eastAsia="Times New Roman" w:hAnsi="Times New Roman"/>
                <w:sz w:val="17"/>
                <w:szCs w:val="17"/>
                <w:i w:val="1"/>
                <w:iCs w:val="1"/>
                <w:color w:val="auto"/>
              </w:rPr>
              <w:t>yujia@blueshirtgroup.com</w:t>
            </w:r>
          </w:p>
        </w:tc>
      </w:tr>
      <w:tr>
        <w:trPr>
          <w:trHeight w:val="376"/>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 China:</w:t>
            </w:r>
          </w:p>
        </w:tc>
        <w:tc>
          <w:tcPr>
            <w:tcW w:w="25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The Blueshirt Group Asia</w:t>
            </w:r>
          </w:p>
        </w:tc>
      </w:tr>
      <w:tr>
        <w:trPr>
          <w:trHeight w:val="208"/>
        </w:trPr>
        <w:tc>
          <w:tcPr>
            <w:tcW w:w="66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5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Gary Dvorchak, CFA</w:t>
            </w:r>
          </w:p>
        </w:tc>
      </w:tr>
      <w:tr>
        <w:trPr>
          <w:trHeight w:val="206"/>
        </w:trPr>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+86 (138) 1079-1480</w:t>
            </w:r>
          </w:p>
        </w:tc>
      </w:tr>
      <w:tr>
        <w:trPr>
          <w:trHeight w:val="228"/>
        </w:trPr>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60" w:type="dxa"/>
            <w:vAlign w:val="bottom"/>
          </w:tcPr>
          <w:p>
            <w:pPr>
              <w:ind w:left="700"/>
              <w:spacing w:after="0"/>
              <w:rPr>
                <w:sz w:val="20"/>
                <w:szCs w:val="20"/>
                <w:color w:val="auto"/>
              </w:rPr>
            </w:pPr>
            <w:r>
              <w:rPr>
                <w:rFonts w:ascii="Times New Roman" w:cs="Times New Roman" w:eastAsia="Times New Roman" w:hAnsi="Times New Roman"/>
                <w:sz w:val="17"/>
                <w:szCs w:val="17"/>
                <w:i w:val="1"/>
                <w:iCs w:val="1"/>
                <w:color w:val="auto"/>
              </w:rPr>
              <w:t>gary@blueshirtgroup.com</w:t>
            </w:r>
          </w:p>
        </w:tc>
      </w:tr>
    </w:tbl>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4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gridSpan w:val="3"/>
          </w:tcPr>
          <w:p>
            <w:pPr>
              <w:ind w:left="920"/>
              <w:spacing w:after="0" w:line="187" w:lineRule="exact"/>
              <w:rPr>
                <w:sz w:val="20"/>
                <w:szCs w:val="20"/>
                <w:color w:val="auto"/>
              </w:rPr>
            </w:pPr>
            <w:r>
              <w:rPr>
                <w:rFonts w:ascii="Times New Roman" w:cs="Times New Roman" w:eastAsia="Times New Roman" w:hAnsi="Times New Roman"/>
                <w:sz w:val="17"/>
                <w:szCs w:val="17"/>
                <w:i w:val="1"/>
                <w:iCs w:val="1"/>
                <w:color w:val="auto"/>
              </w:rPr>
              <w:t>(Unaudited)</w:t>
            </w: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40" w:type="dxa"/>
            <w:vAlign w:val="bottom"/>
            <w:vMerge w:val="restart"/>
          </w:tcPr>
          <w:p>
            <w:pPr>
              <w:ind w:left="376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5"/>
          </w:tcPr>
          <w:p>
            <w:pPr>
              <w:jc w:val="right"/>
              <w:ind w:right="380"/>
              <w:spacing w:after="0"/>
              <w:rPr>
                <w:sz w:val="20"/>
                <w:szCs w:val="20"/>
                <w:color w:val="auto"/>
              </w:rPr>
            </w:pPr>
            <w:r>
              <w:rPr>
                <w:rFonts w:ascii="Times New Roman" w:cs="Times New Roman" w:eastAsia="Times New Roman" w:hAnsi="Times New Roman"/>
                <w:sz w:val="17"/>
                <w:szCs w:val="17"/>
                <w:i w:val="1"/>
                <w:iCs w:val="1"/>
                <w:color w:val="auto"/>
              </w:rPr>
              <w:t>(In thousands, except for par value)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120" w:type="dxa"/>
            <w:vAlign w:val="bottom"/>
            <w:gridSpan w:val="2"/>
          </w:tcPr>
          <w:p>
            <w:pPr>
              <w:ind w:left="29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336,275</w:t>
            </w:r>
          </w:p>
        </w:tc>
        <w:tc>
          <w:tcPr>
            <w:tcW w:w="2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562,548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367</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Short-term time deposits</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66,176</w:t>
            </w: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Trading securities</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14,164</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29,498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188,341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105,553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receivable</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Other receivables</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15,135</w:t>
            </w: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18,979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Inventories</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327,792</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218,116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Advances to related party</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5,158</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17,771</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14,256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current assets</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971,242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952,934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66,470</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14,042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Land use right, net</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9,667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right-of-use assets, net</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2,647</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873</w:t>
            </w: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time deposits</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70,400</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6,576</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13,166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investments</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18,538</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12,694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Other long-term assets</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2,373</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45,017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1,147,666</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1,052,179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40" w:type="dxa"/>
            <w:vAlign w:val="bottom"/>
          </w:tcPr>
          <w:p>
            <w:pPr>
              <w:ind w:left="318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borrowings</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50,688</w:t>
            </w: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9,591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Current portion of long-term borrowings</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Related party accounts payable</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6,589</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7,899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92,325</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93,451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Advances from customers</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136,610</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52,824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revenue</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4,911</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taxes payable</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FIN-48 payable</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2,054</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payables and accrued expenses</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40,281</w:t>
            </w: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31,735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Current portion of operating lease liability</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2,313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345,602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205,939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borrowings</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18,810</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22,957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Long-term operating lease liability</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1,869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liability</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6,660</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8,447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9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373,568</w:t>
            </w: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240,514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 A Common Stock</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Class B Common Stock</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w:t>
            </w: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 in capital</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601,431</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595,045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Retained earnings</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91,186</w:t>
            </w: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63,732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Statutory surplus reserve</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8,312</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8,312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Accumulated other comprehensive income (loss)</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(57,920)</w:t>
            </w: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9,109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ACM Research, Inc. stockholders’ equity</w:t>
            </w:r>
          </w:p>
        </w:tc>
        <w:tc>
          <w:tcPr>
            <w:tcW w:w="29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643,015</w:t>
            </w: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Non-controlling interests</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131,083</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135,461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2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774,098</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811,665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4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3120" w:type="dxa"/>
            <w:vAlign w:val="bottom"/>
            <w:gridSpan w:val="2"/>
          </w:tcPr>
          <w:p>
            <w:pPr>
              <w:ind w:left="29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1,147,666</w:t>
            </w:r>
          </w:p>
        </w:tc>
        <w:tc>
          <w:tcPr>
            <w:tcW w:w="2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1,052,179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940" w:type="dxa"/>
            <w:vAlign w:val="bottom"/>
            <w:vMerge w:val="restart"/>
          </w:tcPr>
          <w:p>
            <w:pPr>
              <w:jc w:val="right"/>
              <w:ind w:right="2279"/>
              <w:spacing w:after="0"/>
              <w:rPr>
                <w:sz w:val="20"/>
                <w:szCs w:val="20"/>
                <w:color w:val="auto"/>
              </w:rPr>
            </w:pPr>
            <w:r>
              <w:rPr>
                <w:rFonts w:ascii="Times New Roman" w:cs="Times New Roman" w:eastAsia="Times New Roman" w:hAnsi="Times New Roman"/>
                <w:sz w:val="14"/>
                <w:szCs w:val="14"/>
                <w:color w:val="auto"/>
              </w:rPr>
              <w:t>- 6 -</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514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280" w:type="dxa"/>
            <w:vAlign w:val="bottom"/>
            <w:gridSpan w:val="4"/>
          </w:tcPr>
          <w:p>
            <w:pPr>
              <w:ind w:left="4680"/>
              <w:spacing w:after="0"/>
              <w:rPr>
                <w:sz w:val="20"/>
                <w:szCs w:val="20"/>
                <w:color w:val="auto"/>
              </w:rPr>
            </w:pPr>
            <w:r>
              <w:rPr>
                <w:rFonts w:ascii="Times New Roman" w:cs="Times New Roman" w:eastAsia="Times New Roman" w:hAnsi="Times New Roman"/>
                <w:sz w:val="17"/>
                <w:szCs w:val="17"/>
                <w:b w:val="1"/>
                <w:bCs w:val="1"/>
                <w:color w:val="auto"/>
              </w:rPr>
              <w:t>ACM RESEARCH, INC.</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8940" w:type="dxa"/>
            <w:vAlign w:val="bottom"/>
            <w:gridSpan w:val="9"/>
          </w:tcPr>
          <w:p>
            <w:pPr>
              <w:ind w:left="24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Income (Loss)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6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24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4"/>
          </w:tcPr>
          <w:p>
            <w:pPr>
              <w:jc w:val="center"/>
              <w:ind w:left="493"/>
              <w:spacing w:after="0" w:line="187" w:lineRule="exact"/>
              <w:rPr>
                <w:sz w:val="20"/>
                <w:szCs w:val="20"/>
                <w:color w:val="auto"/>
              </w:rPr>
            </w:pPr>
            <w:r>
              <w:rPr>
                <w:rFonts w:ascii="Times New Roman" w:cs="Times New Roman" w:eastAsia="Times New Roman" w:hAnsi="Times New Roman"/>
                <w:sz w:val="17"/>
                <w:szCs w:val="17"/>
                <w:i w:val="1"/>
                <w:iCs w:val="1"/>
                <w:color w:val="auto"/>
              </w:rPr>
              <w:t>(Unaudited)</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3"/>
          </w:tcPr>
          <w:p>
            <w:pPr>
              <w:jc w:val="right"/>
              <w:spacing w:after="0" w:line="187" w:lineRule="exact"/>
              <w:rPr>
                <w:sz w:val="20"/>
                <w:szCs w:val="20"/>
                <w:color w:val="auto"/>
              </w:rPr>
            </w:pPr>
            <w:r>
              <w:rPr>
                <w:rFonts w:ascii="Times New Roman" w:cs="Times New Roman" w:eastAsia="Times New Roman" w:hAnsi="Times New Roman"/>
                <w:sz w:val="17"/>
                <w:szCs w:val="17"/>
                <w:i w:val="1"/>
                <w:iCs w:val="1"/>
                <w:color w:val="auto"/>
              </w:rPr>
              <w:t>(Unaudited)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780" w:type="dxa"/>
            <w:vAlign w:val="bottom"/>
            <w:gridSpan w:val="7"/>
          </w:tcPr>
          <w:p>
            <w:pPr>
              <w:jc w:val="center"/>
              <w:ind w:right="100"/>
              <w:spacing w:after="0"/>
              <w:rPr>
                <w:sz w:val="20"/>
                <w:szCs w:val="20"/>
                <w:color w:val="auto"/>
              </w:rPr>
            </w:pPr>
            <w:r>
              <w:rPr>
                <w:rFonts w:ascii="Times New Roman" w:cs="Times New Roman" w:eastAsia="Times New Roman" w:hAnsi="Times New Roman"/>
                <w:sz w:val="17"/>
                <w:szCs w:val="17"/>
                <w:i w:val="1"/>
                <w:iCs w:val="1"/>
                <w:color w:val="auto"/>
              </w:rPr>
              <w:t>( In thousands, except share and per</w:t>
            </w: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7"/>
                <w:szCs w:val="17"/>
                <w:i w:val="1"/>
                <w:iCs w:val="1"/>
                <w:color w:val="auto"/>
              </w:rPr>
              <w:t>( In thousands, except share and per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4"/>
          </w:tcPr>
          <w:p>
            <w:pPr>
              <w:jc w:val="center"/>
              <w:ind w:left="493"/>
              <w:spacing w:after="0"/>
              <w:rPr>
                <w:sz w:val="20"/>
                <w:szCs w:val="20"/>
                <w:color w:val="auto"/>
              </w:rPr>
            </w:pPr>
            <w:r>
              <w:rPr>
                <w:rFonts w:ascii="Times New Roman" w:cs="Times New Roman" w:eastAsia="Times New Roman" w:hAnsi="Times New Roman"/>
                <w:sz w:val="17"/>
                <w:szCs w:val="17"/>
                <w:i w:val="1"/>
                <w:iCs w:val="1"/>
                <w:color w:val="auto"/>
              </w:rPr>
              <w:t>share data)</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i w:val="1"/>
                <w:iCs w:val="1"/>
                <w:color w:val="auto"/>
              </w:rPr>
              <w:t>share data)</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133,709</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67,013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280,290</w:t>
            </w:r>
          </w:p>
        </w:tc>
        <w:tc>
          <w:tcPr>
            <w:tcW w:w="3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164,609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37,328</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150,480</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95,199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65,967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29,685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129,810</w:t>
            </w: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Sales and marketing</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6,363</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27,494</w:t>
            </w:r>
          </w:p>
        </w:tc>
        <w:tc>
          <w:tcPr>
            <w:tcW w:w="3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7,856</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44,391</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21,293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15,560</w:t>
            </w:r>
          </w:p>
        </w:tc>
        <w:tc>
          <w:tcPr>
            <w:tcW w:w="3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87,445</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11,795</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42,365</w:t>
            </w:r>
          </w:p>
        </w:tc>
        <w:tc>
          <w:tcPr>
            <w:tcW w:w="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19,576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33</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5,965</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(419)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(986)</w:t>
            </w:r>
          </w:p>
        </w:tc>
        <w:tc>
          <w:tcPr>
            <w:tcW w:w="3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Realized gain from sale of trading securities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1,136</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gain (loss) on trading securities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(5,281)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(919)</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(9,562)</w:t>
            </w:r>
          </w:p>
        </w:tc>
        <w:tc>
          <w:tcPr>
            <w:tcW w:w="3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(expense),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(255)</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9,949</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income in net income of affiliates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1,652</w:t>
            </w:r>
          </w:p>
        </w:tc>
        <w:tc>
          <w:tcPr>
            <w:tcW w:w="3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50,519</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(10,470)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266</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(14,138)</w:t>
            </w:r>
          </w:p>
        </w:tc>
        <w:tc>
          <w:tcPr>
            <w:tcW w:w="3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36,381</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24,306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Net income attributable to non-controlling interests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8,927</w:t>
            </w:r>
          </w:p>
        </w:tc>
        <w:tc>
          <w:tcPr>
            <w:tcW w:w="3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Net income attributable to ACM Research, Inc.</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10,155</w:t>
            </w:r>
          </w:p>
        </w:tc>
        <w:tc>
          <w:tcPr>
            <w:tcW w:w="1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27,454</w:t>
            </w:r>
          </w:p>
        </w:tc>
        <w:tc>
          <w:tcPr>
            <w:tcW w:w="36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22,192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income: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11,150</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36,381</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24,306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(42,416)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(409)</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(80,334)</w:t>
            </w:r>
          </w:p>
        </w:tc>
        <w:tc>
          <w:tcPr>
            <w:tcW w:w="3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rPr>
              <w:t>Comprehensive Income (loss)</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(15,340)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10,741</w:t>
            </w: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(43,953)</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Less: Comprehensive income (loss) attributable to non-controlling interests and</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redeemable non-controlling interests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(1,057)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757</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(4,378)</w:t>
            </w:r>
          </w:p>
        </w:tc>
        <w:tc>
          <w:tcPr>
            <w:tcW w:w="36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rPr>
              <w:t>Comprehensive income (loss) attributable to ACM Research, Inc.</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(14,283)</w:t>
            </w:r>
          </w:p>
        </w:tc>
        <w:tc>
          <w:tcPr>
            <w:tcW w:w="460" w:type="dxa"/>
            <w:vAlign w:val="bottom"/>
            <w:gridSpan w:val="2"/>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9,984</w:t>
            </w:r>
          </w:p>
        </w:tc>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(39,575)</w:t>
            </w:r>
          </w:p>
        </w:tc>
        <w:tc>
          <w:tcPr>
            <w:tcW w:w="36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23,094</w:t>
            </w:r>
          </w:p>
        </w:tc>
        <w:tc>
          <w:tcPr>
            <w:tcW w:w="0" w:type="dxa"/>
            <w:vAlign w:val="bottom"/>
          </w:tcPr>
          <w:p>
            <w:pPr>
              <w:spacing w:after="0"/>
              <w:rPr>
                <w:sz w:val="1"/>
                <w:szCs w:val="1"/>
                <w:color w:val="auto"/>
              </w:rPr>
            </w:pPr>
          </w:p>
        </w:tc>
      </w:tr>
      <w:tr>
        <w:trPr>
          <w:trHeight w:val="20"/>
        </w:trPr>
        <w:tc>
          <w:tcPr>
            <w:tcW w:w="594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restart"/>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Net income attributable to ACM Research, Inc. per common share: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0.46</w:t>
            </w:r>
          </w:p>
        </w:tc>
        <w:tc>
          <w:tcPr>
            <w:tcW w:w="3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Diluted</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0.41</w:t>
            </w:r>
          </w:p>
        </w:tc>
        <w:tc>
          <w:tcPr>
            <w:tcW w:w="36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7"/>
          <w:szCs w:val="17"/>
          <w:color w:val="auto"/>
        </w:rPr>
        <w:t>Weighted average common shares outstanding used in computing per share amounts: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Basic</w:t>
            </w:r>
          </w:p>
        </w:tc>
        <w:tc>
          <w:tcPr>
            <w:tcW w:w="28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59,360,790</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58,267,638</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59,123,895</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57,340,059</w:t>
            </w:r>
          </w:p>
        </w:tc>
        <w:tc>
          <w:tcPr>
            <w:tcW w:w="0" w:type="dxa"/>
            <w:vAlign w:val="bottom"/>
          </w:tcPr>
          <w:p>
            <w:pPr>
              <w:spacing w:after="0"/>
              <w:rPr>
                <w:sz w:val="1"/>
                <w:szCs w:val="1"/>
                <w:color w:val="auto"/>
              </w:rPr>
            </w:pPr>
          </w:p>
        </w:tc>
      </w:tr>
      <w:tr>
        <w:trPr>
          <w:trHeight w:val="26"/>
        </w:trPr>
        <w:tc>
          <w:tcPr>
            <w:tcW w:w="310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Diluted</w:t>
            </w:r>
          </w:p>
        </w:tc>
        <w:tc>
          <w:tcPr>
            <w:tcW w:w="28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65,612,665</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66,127,548</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65,629,273</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65,191,020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84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color w:val="auto"/>
              </w:rPr>
              <w:t>- 7 -</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10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10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119"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Total Revenue by Product Category, by Equipment Type and by Region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20"/>
                <w:szCs w:val="20"/>
                <w:color w:val="auto"/>
              </w:rPr>
            </w:pPr>
          </w:p>
        </w:tc>
        <w:tc>
          <w:tcPr>
            <w:tcW w:w="284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 In thousands)</w:t>
            </w:r>
          </w:p>
        </w:tc>
        <w:tc>
          <w:tcPr>
            <w:tcW w:w="6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Single wafer cleaning, Tahoe and semi-critical cleaning equipment</w:t>
            </w: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99,720</w:t>
            </w:r>
          </w:p>
        </w:tc>
        <w:tc>
          <w:tcPr>
            <w:tcW w:w="3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49,448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198,336</w:t>
            </w:r>
          </w:p>
        </w:tc>
        <w:tc>
          <w:tcPr>
            <w:tcW w:w="3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ECP (front-end and packaging), furnace and other technologies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24,521</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57,269</w:t>
            </w:r>
          </w:p>
        </w:tc>
        <w:tc>
          <w:tcPr>
            <w:tcW w:w="3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13,750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Advanced packaging (excluding ECP), services &amp; spares</w:t>
            </w: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9,468</w:t>
            </w:r>
          </w:p>
        </w:tc>
        <w:tc>
          <w:tcPr>
            <w:tcW w:w="3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24,685</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23,537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Revenue By Product Category</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133,709</w:t>
            </w:r>
          </w:p>
        </w:tc>
        <w:tc>
          <w:tcPr>
            <w:tcW w:w="38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67,013</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280,290</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164,609</w:t>
            </w:r>
          </w:p>
        </w:tc>
        <w:tc>
          <w:tcPr>
            <w:tcW w:w="0" w:type="dxa"/>
            <w:vAlign w:val="bottom"/>
          </w:tcPr>
          <w:p>
            <w:pPr>
              <w:spacing w:after="0"/>
              <w:rPr>
                <w:sz w:val="1"/>
                <w:szCs w:val="1"/>
                <w:color w:val="auto"/>
              </w:rPr>
            </w:pPr>
          </w:p>
        </w:tc>
      </w:tr>
      <w:tr>
        <w:trPr>
          <w:trHeight w:val="20"/>
        </w:trPr>
        <w:tc>
          <w:tcPr>
            <w:tcW w:w="50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restart"/>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Wet cleaning and other front-end processing tools</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117,941</w:t>
            </w:r>
          </w:p>
        </w:tc>
        <w:tc>
          <w:tcPr>
            <w:tcW w:w="3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49,448</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229,195</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127,322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Advanced packaging, other processing tools, services and spares</w:t>
            </w: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15,768</w:t>
            </w:r>
          </w:p>
        </w:tc>
        <w:tc>
          <w:tcPr>
            <w:tcW w:w="3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17,565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51,095</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37,287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Revenue Front-end and Back-End</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133,709</w:t>
            </w:r>
          </w:p>
        </w:tc>
        <w:tc>
          <w:tcPr>
            <w:tcW w:w="38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67,013</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280,290</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164,609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4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4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Mainland China</w:t>
            </w: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131,180</w:t>
            </w:r>
          </w:p>
        </w:tc>
        <w:tc>
          <w:tcPr>
            <w:tcW w:w="3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66,887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273,585</w:t>
            </w:r>
          </w:p>
        </w:tc>
        <w:tc>
          <w:tcPr>
            <w:tcW w:w="3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Other Regions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2,529</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6,705</w:t>
            </w:r>
          </w:p>
        </w:tc>
        <w:tc>
          <w:tcPr>
            <w:tcW w:w="3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133,709</w:t>
            </w:r>
          </w:p>
        </w:tc>
        <w:tc>
          <w:tcPr>
            <w:tcW w:w="3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67,013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280,290</w:t>
            </w:r>
          </w:p>
        </w:tc>
        <w:tc>
          <w:tcPr>
            <w:tcW w:w="3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164,609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920" w:type="dxa"/>
            <w:vAlign w:val="bottom"/>
            <w:gridSpan w:val="2"/>
          </w:tcPr>
          <w:p>
            <w:pPr>
              <w:jc w:val="right"/>
              <w:ind w:right="153"/>
              <w:spacing w:after="0"/>
              <w:rPr>
                <w:sz w:val="20"/>
                <w:szCs w:val="20"/>
                <w:color w:val="auto"/>
              </w:rPr>
            </w:pPr>
            <w:r>
              <w:rPr>
                <w:rFonts w:ascii="Times New Roman" w:cs="Times New Roman" w:eastAsia="Times New Roman" w:hAnsi="Times New Roman"/>
                <w:sz w:val="14"/>
                <w:szCs w:val="14"/>
                <w:color w:val="auto"/>
              </w:rPr>
              <w:t>- 8 -</w:t>
            </w: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GAAP to Non-GAAP Financial Measures</w:t>
      </w:r>
    </w:p>
    <w:p>
      <w:pPr>
        <w:spacing w:after="0" w:line="20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As described under “Use of Non-GAAP Financial Measures” above, ACM presents non-GAAP gross margin, operating expenses, operating income, net income attributable to ACM Research, Inc., and basic and diluted earnings per share as supplemental measures to GAAP financial measures, each of which excludes stock-based compensation (SBC) from the equivalent GAAP financial line items. In addition, non-GAAP net income attributable to ACM Research, Inc., and basic and diluted earnings per share exclude unrealized gain on trading securities. The following table reconciles gross margin, operating expenses, operating income, net income attributable to ACM Research, Inc., and basic and diluted earnings per share to the related non-GAAP financial measures: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7"/>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left="493"/>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793"/>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restart"/>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Actual</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Other non-</w:t>
            </w:r>
          </w:p>
        </w:tc>
        <w:tc>
          <w:tcPr>
            <w:tcW w:w="200" w:type="dxa"/>
            <w:vAlign w:val="bottom"/>
          </w:tcPr>
          <w:p>
            <w:pPr>
              <w:spacing w:after="0"/>
              <w:rPr>
                <w:sz w:val="19"/>
                <w:szCs w:val="19"/>
                <w:color w:val="auto"/>
              </w:rPr>
            </w:pPr>
          </w:p>
        </w:tc>
        <w:tc>
          <w:tcPr>
            <w:tcW w:w="960" w:type="dxa"/>
            <w:vAlign w:val="bottom"/>
            <w:vMerge w:val="restart"/>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Adjusted</w:t>
            </w:r>
          </w:p>
        </w:tc>
        <w:tc>
          <w:tcPr>
            <w:tcW w:w="220" w:type="dxa"/>
            <w:vAlign w:val="bottom"/>
          </w:tcPr>
          <w:p>
            <w:pPr>
              <w:spacing w:after="0"/>
              <w:rPr>
                <w:sz w:val="19"/>
                <w:szCs w:val="19"/>
                <w:color w:val="auto"/>
              </w:rPr>
            </w:pPr>
          </w:p>
        </w:tc>
        <w:tc>
          <w:tcPr>
            <w:tcW w:w="820" w:type="dxa"/>
            <w:vAlign w:val="bottom"/>
            <w:vMerge w:val="restart"/>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Actual</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Other non-</w:t>
            </w:r>
          </w:p>
        </w:tc>
        <w:tc>
          <w:tcPr>
            <w:tcW w:w="220" w:type="dxa"/>
            <w:vAlign w:val="bottom"/>
          </w:tcPr>
          <w:p>
            <w:pPr>
              <w:spacing w:after="0"/>
              <w:rPr>
                <w:sz w:val="19"/>
                <w:szCs w:val="19"/>
                <w:color w:val="auto"/>
              </w:rPr>
            </w:pPr>
          </w:p>
        </w:tc>
        <w:tc>
          <w:tcPr>
            <w:tcW w:w="76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w w:val="99"/>
              </w:rPr>
              <w:t>Adjusted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SBC</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operating</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SBC</w:t>
            </w:r>
          </w:p>
        </w:tc>
        <w:tc>
          <w:tcPr>
            <w:tcW w:w="200" w:type="dxa"/>
            <w:vAlign w:val="bottom"/>
          </w:tcPr>
          <w:p>
            <w:pPr>
              <w:spacing w:after="0"/>
              <w:rPr>
                <w:sz w:val="18"/>
                <w:szCs w:val="18"/>
                <w:color w:val="auto"/>
              </w:rPr>
            </w:pPr>
          </w:p>
        </w:tc>
        <w:tc>
          <w:tcPr>
            <w:tcW w:w="900" w:type="dxa"/>
            <w:vAlign w:val="bottom"/>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operating</w:t>
            </w:r>
          </w:p>
        </w:tc>
        <w:tc>
          <w:tcPr>
            <w:tcW w:w="220" w:type="dxa"/>
            <w:vAlign w:val="bottom"/>
          </w:tcPr>
          <w:p>
            <w:pPr>
              <w:spacing w:after="0"/>
              <w:rPr>
                <w:sz w:val="18"/>
                <w:szCs w:val="18"/>
                <w:color w:val="auto"/>
              </w:rPr>
            </w:pPr>
          </w:p>
        </w:tc>
        <w:tc>
          <w:tcPr>
            <w:tcW w:w="8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(Non-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(GAAP)</w:t>
            </w: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(Non-GAAP)</w:t>
            </w:r>
          </w:p>
        </w:tc>
        <w:tc>
          <w:tcPr>
            <w:tcW w:w="220" w:type="dxa"/>
            <w:vAlign w:val="bottom"/>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(GAAP)</w:t>
            </w: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22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GAAP)</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2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133,709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133,709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67,013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67,013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(67,742)</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4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(67,612)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(37,328)</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(37,220)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Gross profit</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65,967</w:t>
            </w: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4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66,097</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29,685</w:t>
            </w: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29,793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Sales and marketing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(6,363)</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(5,946)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(15,678)</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4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(15,012)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(7,856)</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(7,563)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(4,772)</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(3,671)</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31,636</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(1,893)</w:t>
            </w:r>
          </w:p>
        </w:tc>
        <w:tc>
          <w:tcPr>
            <w:tcW w:w="400" w:type="dxa"/>
            <w:vAlign w:val="bottom"/>
            <w:tcBorders>
              <w:top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33,529</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11,795</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13,073</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80" w:type="dxa"/>
            <w:vAlign w:val="bottom"/>
            <w:shd w:val="clear" w:color="auto" w:fill="CCEEFF"/>
          </w:tcPr>
          <w:p>
            <w:pPr>
              <w:ind w:left="460"/>
              <w:spacing w:after="0" w:line="189" w:lineRule="exact"/>
              <w:rPr>
                <w:sz w:val="20"/>
                <w:szCs w:val="20"/>
                <w:color w:val="auto"/>
              </w:rPr>
            </w:pPr>
            <w:r>
              <w:rPr>
                <w:rFonts w:ascii="Times New Roman" w:cs="Times New Roman" w:eastAsia="Times New Roman" w:hAnsi="Times New Roman"/>
                <w:sz w:val="17"/>
                <w:szCs w:val="17"/>
                <w:color w:val="auto"/>
              </w:rPr>
              <w:t>Unrealized loss on trading</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securities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(5,281)</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(5,281)</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780" w:type="dxa"/>
            <w:vAlign w:val="bottom"/>
            <w:tcBorders>
              <w:top w:val="single" w:sz="8" w:color="CCEEFF"/>
            </w:tcBorders>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Net income (loss)</w:t>
            </w: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0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attributable to ACM Research, Inc. $</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21,004</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(1,893)</w:t>
            </w:r>
          </w:p>
        </w:tc>
        <w:tc>
          <w:tcPr>
            <w:tcW w:w="400" w:type="dxa"/>
            <w:vAlign w:val="bottom"/>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(5,281)</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28,178</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10,155</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(1,278)</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(919)</w:t>
            </w:r>
          </w:p>
        </w:tc>
        <w:tc>
          <w:tcPr>
            <w:tcW w:w="2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12,352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Basic EPS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0.35</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0.47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Diluted EPS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0.32</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0.42</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center"/>
              <w:ind w:left="43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153"/>
              <w:spacing w:after="0" w:line="187" w:lineRule="exact"/>
              <w:rPr>
                <w:sz w:val="20"/>
                <w:szCs w:val="20"/>
                <w:color w:val="auto"/>
              </w:rPr>
            </w:pPr>
            <w:r>
              <w:rPr>
                <w:rFonts w:ascii="Times New Roman" w:cs="Times New Roman" w:eastAsia="Times New Roman" w:hAnsi="Times New Roman"/>
                <w:sz w:val="17"/>
                <w:szCs w:val="17"/>
                <w:b w:val="1"/>
                <w:bCs w:val="1"/>
                <w:color w:val="auto"/>
                <w:w w:val="99"/>
              </w:rPr>
              <w:t>Actual</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gridSpan w:val="2"/>
          </w:tcPr>
          <w:p>
            <w:pPr>
              <w:jc w:val="right"/>
              <w:ind w:right="74"/>
              <w:spacing w:after="0" w:line="187" w:lineRule="exact"/>
              <w:rPr>
                <w:sz w:val="20"/>
                <w:szCs w:val="20"/>
                <w:color w:val="auto"/>
              </w:rPr>
            </w:pPr>
            <w:r>
              <w:rPr>
                <w:rFonts w:ascii="Times New Roman" w:cs="Times New Roman" w:eastAsia="Times New Roman" w:hAnsi="Times New Roman"/>
                <w:sz w:val="17"/>
                <w:szCs w:val="17"/>
                <w:b w:val="1"/>
                <w:bCs w:val="1"/>
                <w:color w:val="auto"/>
              </w:rPr>
              <w:t>Other non-</w:t>
            </w:r>
          </w:p>
        </w:tc>
        <w:tc>
          <w:tcPr>
            <w:tcW w:w="200" w:type="dxa"/>
            <w:vAlign w:val="bottom"/>
          </w:tcPr>
          <w:p>
            <w:pPr>
              <w:spacing w:after="0"/>
              <w:rPr>
                <w:sz w:val="16"/>
                <w:szCs w:val="16"/>
                <w:color w:val="auto"/>
              </w:rPr>
            </w:pPr>
          </w:p>
        </w:tc>
        <w:tc>
          <w:tcPr>
            <w:tcW w:w="960" w:type="dxa"/>
            <w:vAlign w:val="bottom"/>
          </w:tcPr>
          <w:p>
            <w:pPr>
              <w:jc w:val="right"/>
              <w:ind w:right="193"/>
              <w:spacing w:after="0" w:line="187" w:lineRule="exact"/>
              <w:rPr>
                <w:sz w:val="20"/>
                <w:szCs w:val="20"/>
                <w:color w:val="auto"/>
              </w:rPr>
            </w:pPr>
            <w:r>
              <w:rPr>
                <w:rFonts w:ascii="Times New Roman" w:cs="Times New Roman" w:eastAsia="Times New Roman" w:hAnsi="Times New Roman"/>
                <w:sz w:val="17"/>
                <w:szCs w:val="17"/>
                <w:b w:val="1"/>
                <w:bCs w:val="1"/>
                <w:color w:val="auto"/>
                <w:w w:val="99"/>
              </w:rPr>
              <w:t>Adjusted</w:t>
            </w:r>
          </w:p>
        </w:tc>
        <w:tc>
          <w:tcPr>
            <w:tcW w:w="220" w:type="dxa"/>
            <w:vAlign w:val="bottom"/>
          </w:tcPr>
          <w:p>
            <w:pPr>
              <w:spacing w:after="0"/>
              <w:rPr>
                <w:sz w:val="16"/>
                <w:szCs w:val="16"/>
                <w:color w:val="auto"/>
              </w:rPr>
            </w:pPr>
          </w:p>
        </w:tc>
        <w:tc>
          <w:tcPr>
            <w:tcW w:w="820" w:type="dxa"/>
            <w:vAlign w:val="bottom"/>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Actual</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ind w:right="133"/>
              <w:spacing w:after="0" w:line="187" w:lineRule="exact"/>
              <w:rPr>
                <w:sz w:val="20"/>
                <w:szCs w:val="20"/>
                <w:color w:val="auto"/>
              </w:rPr>
            </w:pPr>
            <w:r>
              <w:rPr>
                <w:rFonts w:ascii="Times New Roman" w:cs="Times New Roman" w:eastAsia="Times New Roman" w:hAnsi="Times New Roman"/>
                <w:sz w:val="17"/>
                <w:szCs w:val="17"/>
                <w:b w:val="1"/>
                <w:bCs w:val="1"/>
                <w:color w:val="auto"/>
              </w:rPr>
              <w:t>Other non-</w:t>
            </w:r>
          </w:p>
        </w:tc>
        <w:tc>
          <w:tcPr>
            <w:tcW w:w="980" w:type="dxa"/>
            <w:vAlign w:val="bottom"/>
            <w:gridSpan w:val="2"/>
          </w:tcPr>
          <w:p>
            <w:pPr>
              <w:jc w:val="right"/>
              <w:ind w:right="53"/>
              <w:spacing w:after="0" w:line="187" w:lineRule="exact"/>
              <w:rPr>
                <w:sz w:val="20"/>
                <w:szCs w:val="20"/>
                <w:color w:val="auto"/>
              </w:rPr>
            </w:pPr>
            <w:r>
              <w:rPr>
                <w:rFonts w:ascii="Times New Roman" w:cs="Times New Roman" w:eastAsia="Times New Roman" w:hAnsi="Times New Roman"/>
                <w:sz w:val="17"/>
                <w:szCs w:val="17"/>
                <w:b w:val="1"/>
                <w:bCs w:val="1"/>
                <w:color w:val="auto"/>
              </w:rPr>
              <w:t>Adjusted</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SBC</w:t>
            </w:r>
          </w:p>
        </w:tc>
        <w:tc>
          <w:tcPr>
            <w:tcW w:w="10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operating</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SBC</w:t>
            </w:r>
          </w:p>
        </w:tc>
        <w:tc>
          <w:tcPr>
            <w:tcW w:w="1100" w:type="dxa"/>
            <w:vAlign w:val="bottom"/>
            <w:gridSpan w:val="2"/>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operating</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rPr>
              <w:t>(GAAP)</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(Non-GAAP)</w:t>
            </w:r>
          </w:p>
        </w:tc>
        <w:tc>
          <w:tcPr>
            <w:tcW w:w="1040" w:type="dxa"/>
            <w:vAlign w:val="bottom"/>
            <w:gridSpan w:val="2"/>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(GAAP)</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(Non-GAAP)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278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280,290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center"/>
              <w:ind w:right="11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280,290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164,609</w:t>
            </w:r>
          </w:p>
        </w:tc>
        <w:tc>
          <w:tcPr>
            <w:tcW w:w="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164,609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(150,480)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400" w:type="dxa"/>
            <w:vAlign w:val="bottom"/>
          </w:tcPr>
          <w:p>
            <w:pPr>
              <w:spacing w:after="0"/>
              <w:rPr>
                <w:sz w:val="18"/>
                <w:szCs w:val="18"/>
                <w:color w:val="auto"/>
              </w:rPr>
            </w:pPr>
          </w:p>
        </w:tc>
        <w:tc>
          <w:tcPr>
            <w:tcW w:w="6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(150,097)</w:t>
            </w:r>
          </w:p>
        </w:tc>
        <w:tc>
          <w:tcPr>
            <w:tcW w:w="22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(95,199)</w:t>
            </w:r>
          </w:p>
        </w:tc>
        <w:tc>
          <w:tcPr>
            <w:tcW w:w="26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(289)</w:t>
            </w:r>
          </w:p>
        </w:tc>
        <w:tc>
          <w:tcPr>
            <w:tcW w:w="20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(94,910)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129,810</w:t>
            </w: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4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130,193</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69,410</w:t>
            </w: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(289)</w:t>
            </w: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69,699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Sales and marketing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(27,494)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(1,277)</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(26,217)</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(17,460)</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(1,400)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(16,060)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(44,391)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(1,733)</w:t>
            </w:r>
          </w:p>
        </w:tc>
        <w:tc>
          <w:tcPr>
            <w:tcW w:w="400" w:type="dxa"/>
            <w:vAlign w:val="bottom"/>
          </w:tcPr>
          <w:p>
            <w:pPr>
              <w:spacing w:after="0"/>
              <w:rPr>
                <w:sz w:val="18"/>
                <w:szCs w:val="18"/>
                <w:color w:val="auto"/>
              </w:rPr>
            </w:pPr>
          </w:p>
        </w:tc>
        <w:tc>
          <w:tcPr>
            <w:tcW w:w="6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(42,658)</w:t>
            </w:r>
          </w:p>
        </w:tc>
        <w:tc>
          <w:tcPr>
            <w:tcW w:w="22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(21,293)</w:t>
            </w:r>
          </w:p>
        </w:tc>
        <w:tc>
          <w:tcPr>
            <w:tcW w:w="26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(801)</w:t>
            </w:r>
          </w:p>
        </w:tc>
        <w:tc>
          <w:tcPr>
            <w:tcW w:w="20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(20,492)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(15,560)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(13,717)</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(11,081)</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(1,333)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(9,748)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Income from operations</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42,365</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(5,236)</w:t>
            </w:r>
          </w:p>
        </w:tc>
        <w:tc>
          <w:tcPr>
            <w:tcW w:w="400" w:type="dxa"/>
            <w:vAlign w:val="bottom"/>
            <w:tcBorders>
              <w:top w:val="single" w:sz="8" w:color="auto"/>
              <w:bottom w:val="single" w:sz="8" w:color="auto"/>
            </w:tcBorders>
          </w:tcPr>
          <w:p>
            <w:pPr>
              <w:jc w:val="center"/>
              <w:ind w:right="11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47,601</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19,576</w:t>
            </w:r>
          </w:p>
        </w:tc>
        <w:tc>
          <w:tcPr>
            <w:tcW w:w="2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(3,823)</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23,399</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80" w:type="dxa"/>
            <w:vAlign w:val="bottom"/>
            <w:shd w:val="clear" w:color="auto" w:fill="CCEEFF"/>
          </w:tcPr>
          <w:p>
            <w:pPr>
              <w:ind w:left="460"/>
              <w:spacing w:after="0" w:line="189" w:lineRule="exact"/>
              <w:rPr>
                <w:sz w:val="20"/>
                <w:szCs w:val="20"/>
                <w:color w:val="auto"/>
              </w:rPr>
            </w:pPr>
            <w:r>
              <w:rPr>
                <w:rFonts w:ascii="Times New Roman" w:cs="Times New Roman" w:eastAsia="Times New Roman" w:hAnsi="Times New Roman"/>
                <w:sz w:val="17"/>
                <w:szCs w:val="17"/>
                <w:color w:val="auto"/>
              </w:rPr>
              <w:t>Unrealized gain (loss) on</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trading securities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(9,562)</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(9,562)</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1,817</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1,817</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780" w:type="dxa"/>
            <w:vAlign w:val="bottom"/>
            <w:tcBorders>
              <w:top w:val="single" w:sz="8" w:color="CCEEFF"/>
            </w:tcBorders>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Net income (loss)</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0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attributable to ACM Research, Inc. $</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27,454</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(5,236)</w:t>
            </w:r>
          </w:p>
        </w:tc>
        <w:tc>
          <w:tcPr>
            <w:tcW w:w="40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(9,562)</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42,252</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22,192</w:t>
            </w:r>
          </w:p>
        </w:tc>
        <w:tc>
          <w:tcPr>
            <w:tcW w:w="26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(3,823)</w:t>
            </w: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1,817</w:t>
            </w: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24,198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EPS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0.46</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0.71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0.39</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Diluted EPS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0.41</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0.64</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0.34</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- 9 -</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7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2022-11-04T06:58:21Z</dcterms:created>
  <dcterms:modified xsi:type="dcterms:W3CDTF">2022-11-04T06:58:21Z</dcterms:modified>
</cp:coreProperties>
</file>