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FF0000"/>
          <w:sz w:val="20"/>
        </w:rPr>
      </w:pPr>
      <w:r>
        <w:rPr>
          <w:rFonts w:ascii="Times New Roman;sans-serif" w:hAnsi="Times New Roman;sans-serif"/>
          <w:b/>
          <w:color w:val="FF0000"/>
          <w:sz w:val="20"/>
        </w:rPr>
        <w:t>As filed with the Securities and Exchange Commission on May 15, 2023</w:t>
      </w:r>
    </w:p>
    <w:p>
      <w:pPr>
        <w:pStyle w:val="TextBody"/>
        <w:bidi w:val="0"/>
        <w:spacing w:lineRule="auto" w:line="240" w:before="0" w:after="0"/>
        <w:jc w:val="left"/>
        <w:rPr/>
      </w:pPr>
      <w:r>
        <w:rPr>
          <w:color w:val="000000"/>
        </w:rPr>
        <w:t>    </w:t>
      </w:r>
      <w:r>
        <w:rPr>
          <w:rFonts w:ascii="Times New Roman;sans-serif" w:hAnsi="Times New Roman;sans-serif"/>
          <w:b/>
          <w:color w:val="000000"/>
          <w:sz w:val="20"/>
        </w:rPr>
        <w:t>Registration No. 333-</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40" w:before="0" w:after="12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FORM S-8</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REGISTRATION STATEMENT</w:t>
      </w:r>
    </w:p>
    <w:p>
      <w:pPr>
        <w:pStyle w:val="TextBody"/>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UNDER</w:t>
      </w:r>
    </w:p>
    <w:p>
      <w:pPr>
        <w:pStyle w:val="TextBody"/>
        <w:bidi w:val="0"/>
        <w:spacing w:lineRule="auto" w:line="240" w:before="0" w:after="120"/>
        <w:jc w:val="center"/>
        <w:rPr>
          <w:rFonts w:ascii="Times New Roman;sans-serif" w:hAnsi="Times New Roman;sans-serif"/>
          <w:b/>
          <w:i/>
          <w:color w:val="000000"/>
          <w:sz w:val="20"/>
        </w:rPr>
      </w:pPr>
      <w:r>
        <w:rPr>
          <w:rFonts w:ascii="Times New Roman;sans-serif" w:hAnsi="Times New Roman;sans-serif"/>
          <w:b/>
          <w:i/>
          <w:color w:val="000000"/>
          <w:sz w:val="20"/>
        </w:rPr>
        <w:t>THE SECURITIES ACT OF 1933</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ACM RESEARCH, INC.</w:t>
      </w:r>
    </w:p>
    <w:p>
      <w:pPr>
        <w:pStyle w:val="TextBody"/>
        <w:bidi w:val="0"/>
        <w:spacing w:lineRule="auto" w:line="240" w:before="0" w:after="12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5741" w:type="dxa"/>
        <w:jc w:val="left"/>
        <w:tblInd w:w="0" w:type="dxa"/>
        <w:tblLayout w:type="fixed"/>
        <w:tblCellMar>
          <w:top w:w="28" w:type="dxa"/>
          <w:left w:w="28" w:type="dxa"/>
          <w:bottom w:w="28" w:type="dxa"/>
          <w:right w:w="28" w:type="dxa"/>
        </w:tblCellMar>
      </w:tblPr>
      <w:tblGrid>
        <w:gridCol w:w="1007"/>
        <w:gridCol w:w="888"/>
        <w:gridCol w:w="894"/>
        <w:gridCol w:w="109"/>
        <w:gridCol w:w="109"/>
        <w:gridCol w:w="109"/>
        <w:gridCol w:w="765"/>
        <w:gridCol w:w="765"/>
        <w:gridCol w:w="1095"/>
      </w:tblGrid>
      <w:tr>
        <w:trPr/>
        <w:tc>
          <w:tcPr>
            <w:tcW w:w="100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94-3290283</w:t>
            </w:r>
          </w:p>
        </w:tc>
      </w:tr>
      <w:tr>
        <w:trPr/>
        <w:tc>
          <w:tcPr>
            <w:tcW w:w="278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278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42307 Osgood Road, Suite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Fremont,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94539</w:t>
            </w:r>
          </w:p>
        </w:tc>
      </w:tr>
      <w:tr>
        <w:trPr/>
        <w:tc>
          <w:tcPr>
            <w:tcW w:w="278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2016 Omnibus Incentive Plan</w:t>
      </w:r>
    </w:p>
    <w:p>
      <w:pPr>
        <w:pStyle w:val="TextBody"/>
        <w:bidi w:val="0"/>
        <w:spacing w:lineRule="auto" w:line="240" w:before="0" w:after="120"/>
        <w:jc w:val="center"/>
        <w:rPr>
          <w:rFonts w:ascii="Times New Roman;sans-serif" w:hAnsi="Times New Roman;sans-serif"/>
          <w:b w:val="false"/>
          <w:i/>
          <w:color w:val="000000"/>
          <w:sz w:val="16"/>
        </w:rPr>
      </w:pPr>
      <w:r>
        <w:rPr>
          <w:rFonts w:ascii="Times New Roman;sans-serif" w:hAnsi="Times New Roman;sans-serif"/>
          <w:b w:val="false"/>
          <w:i/>
          <w:color w:val="000000"/>
          <w:sz w:val="16"/>
        </w:rPr>
        <w:t>(Full title of the plan)</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David H. Wang</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Chief Executive Officer and President</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ACM Research, Inc.</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42307 Osgood Road, Suite I</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Fremont, California 94539</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(510) 445-3700</w:t>
      </w:r>
    </w:p>
    <w:p>
      <w:pPr>
        <w:pStyle w:val="TextBody"/>
        <w:bidi w:val="0"/>
        <w:spacing w:lineRule="auto" w:line="240" w:before="0" w:after="120"/>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address, including zip code, and telephone number, including area code, of agent for service)</w:t>
      </w:r>
    </w:p>
    <w:p>
      <w:pPr>
        <w:pStyle w:val="TextBody"/>
        <w:bidi w:val="0"/>
        <w:spacing w:lineRule="auto" w:line="240" w:before="0" w:after="40"/>
        <w:jc w:val="center"/>
        <w:rPr>
          <w:rFonts w:ascii="Times New Roman;sans-serif" w:hAnsi="Times New Roman;sans-serif"/>
          <w:b w:val="false"/>
          <w:i/>
          <w:color w:val="000000"/>
          <w:sz w:val="16"/>
        </w:rPr>
      </w:pPr>
      <w:r>
        <w:rPr>
          <w:rFonts w:ascii="Times New Roman;sans-serif" w:hAnsi="Times New Roman;sans-serif"/>
          <w:b w:val="false"/>
          <w:i/>
          <w:color w:val="000000"/>
          <w:sz w:val="16"/>
        </w:rPr>
        <w:t>With a copy to:</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Michael A. Hedge</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Jason C. Dreibelbis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K&amp;L Gates LLP</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 Park Plaza, Twelfth Floor</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Irvine, California 92614</w:t>
      </w:r>
    </w:p>
    <w:p>
      <w:pPr>
        <w:pStyle w:val="TextBody"/>
        <w:bidi w:val="0"/>
        <w:spacing w:lineRule="auto" w:line="240" w:before="0" w:after="120"/>
        <w:jc w:val="center"/>
        <w:rPr>
          <w:rFonts w:ascii="Times New Roman;sans-serif" w:hAnsi="Times New Roman;sans-serif"/>
          <w:b/>
          <w:color w:val="000000"/>
          <w:sz w:val="18"/>
        </w:rPr>
      </w:pPr>
      <w:r>
        <w:rPr>
          <w:rFonts w:ascii="Times New Roman;sans-serif" w:hAnsi="Times New Roman;sans-serif"/>
          <w:b/>
          <w:color w:val="000000"/>
          <w:sz w:val="18"/>
        </w:rPr>
        <w:t>(949) 253-0900</w:t>
      </w:r>
    </w:p>
    <w:p>
      <w:pPr>
        <w:pStyle w:val="TextBody"/>
        <w:bidi w:val="0"/>
        <w:spacing w:lineRule="auto" w:line="240"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37" w:type="dxa"/>
        <w:jc w:val="left"/>
        <w:tblInd w:w="0" w:type="dxa"/>
        <w:tblLayout w:type="fixed"/>
        <w:tblCellMar>
          <w:top w:w="28" w:type="dxa"/>
          <w:left w:w="28" w:type="dxa"/>
          <w:bottom w:w="28" w:type="dxa"/>
          <w:right w:w="28" w:type="dxa"/>
        </w:tblCellMar>
      </w:tblPr>
      <w:tblGrid>
        <w:gridCol w:w="603"/>
        <w:gridCol w:w="530"/>
        <w:gridCol w:w="532"/>
        <w:gridCol w:w="125"/>
        <w:gridCol w:w="125"/>
        <w:gridCol w:w="125"/>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p>
        </w:tc>
        <w:tc>
          <w:tcPr>
            <w:tcW w:w="202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bl>
    <w:p>
      <w:pPr>
        <w:pStyle w:val="TextBody"/>
        <w:bidi w:val="0"/>
        <w:spacing w:before="0" w:after="0"/>
        <w:jc w:val="center"/>
        <w:rPr/>
      </w:pPr>
      <w:r>
        <w:rPr/>
      </w:r>
    </w:p>
    <w:p>
      <w:pPr>
        <w:pStyle w:val="TextBody"/>
        <w:bidi w:val="0"/>
        <w:spacing w:lineRule="auto" w:line="240" w:before="0" w:after="12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80"/>
              <w:ind w:left="0" w:right="0" w:hanging="274"/>
              <w:jc w:val="both"/>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41045"/>
                <wp:effectExtent l="0" t="0" r="0" b="0"/>
                <wp:wrapNone/>
                <wp:docPr id="1" name="Frame1"/>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r>
                                    <w:br w:type="page"/>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506190184.3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506190184.3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STATEMENT OF INCORPORATION BY REFERENCE</w: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This Registration Statement on Form S-8 relating to the 2016 Omnibus Incentive Plan of the registrant is being filed for the purpose of registering additional securities of the same class as other securities for which a Registration Statement on Form S-8 has previously been filed and is effective. Pursuant to General Instruction E to Form S-8, except as otherwise set forth below, this Registration Statement incorporates by reference the contents of the Registration Statement on Form S-8, File No. 333-222702, filed by the registrant with the Securities and Exchange Commission on January 25, 2018.</w:t>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lineRule="auto" w:line="240" w:before="0" w:after="200"/>
        <w:jc w:val="left"/>
        <w:rPr>
          <w:rFonts w:ascii="Times New Roman;sans-serif" w:hAnsi="Times New Roman;sans-serif"/>
          <w:b/>
          <w:color w:val="000000"/>
          <w:sz w:val="20"/>
        </w:rPr>
      </w:pPr>
      <w:r>
        <w:rPr>
          <w:rFonts w:ascii="Times New Roman;sans-serif" w:hAnsi="Times New Roman;sans-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380"/>
        <w:gridCol w:w="333"/>
        <w:gridCol w:w="336"/>
        <w:gridCol w:w="109"/>
        <w:gridCol w:w="109"/>
        <w:gridCol w:w="109"/>
        <w:gridCol w:w="2575"/>
        <w:gridCol w:w="2575"/>
        <w:gridCol w:w="3679"/>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Description</w:t>
            </w:r>
          </w:p>
        </w:tc>
      </w:tr>
      <w:tr>
        <w:trPr/>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r:id="rId2">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Certificate of Incorporation of ACM Research, Inc.</w:t>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r:id="rId3">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to Restated Certificate of Incorporation of ACM Research, Inc., dated July 13, 2021</w:t>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r:id="rId4">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Bylaws of ACM Research, Inc.</w:t>
            </w:r>
          </w:p>
        </w:tc>
      </w:tr>
      <w:tr>
        <w:trPr/>
        <w:tc>
          <w:tcPr>
            <w:tcW w:w="1049"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exhibit51.htm">
              <w:r>
                <w:rPr>
                  <w:rStyle w:val="InternetLink"/>
                  <w:rFonts w:ascii="Times New Roman;sans-serif" w:hAnsi="Times New Roman;sans-serif"/>
                  <w:b w:val="false"/>
                  <w:color w:val="0E32E1"/>
                  <w:sz w:val="20"/>
                  <w:u w:val="single"/>
                </w:rPr>
                <w:t>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Opinion of K&amp;L Gates LLP</w:t>
            </w:r>
          </w:p>
        </w:tc>
      </w:tr>
      <w:tr>
        <w:trPr/>
        <w:tc>
          <w:tcPr>
            <w:tcW w:w="1049"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exhibit231.htm">
              <w:r>
                <w:rPr>
                  <w:rStyle w:val="InternetLink"/>
                  <w:rFonts w:ascii="Times New Roman;sans-serif" w:hAnsi="Times New Roman;sans-serif"/>
                  <w:b w:val="false"/>
                  <w:color w:val="0E32E1"/>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BDO China Shu Lan Pan Certified Public Accountants LLP</w:t>
            </w:r>
          </w:p>
        </w:tc>
      </w:tr>
      <w:tr>
        <w:trPr/>
        <w:tc>
          <w:tcPr>
            <w:tcW w:w="1049"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exhibit232.htm">
              <w:r>
                <w:rPr>
                  <w:rStyle w:val="InternetLink"/>
                  <w:rFonts w:ascii="Times New Roman;sans-serif" w:hAnsi="Times New Roman;sans-serif"/>
                  <w:b w:val="false"/>
                  <w:color w:val="0E32E1"/>
                  <w:sz w:val="20"/>
                  <w:u w:val="single"/>
                </w:rPr>
                <w:t>23.2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Armanino LLP</w:t>
            </w:r>
          </w:p>
        </w:tc>
      </w:tr>
      <w:tr>
        <w:trPr/>
        <w:tc>
          <w:tcPr>
            <w:tcW w:w="1049"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exhibit51.htm">
              <w:r>
                <w:rPr>
                  <w:rStyle w:val="InternetLink"/>
                  <w:rFonts w:ascii="Times New Roman;sans-serif" w:hAnsi="Times New Roman;sans-serif"/>
                  <w:b w:val="false"/>
                  <w:color w:val="3051F2"/>
                  <w:sz w:val="20"/>
                  <w:u w:val="single"/>
                </w:rPr>
                <w:t>23.3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K&amp;L Gates LLP (included in Exhibit 5.1)</w:t>
            </w:r>
          </w:p>
        </w:tc>
      </w:tr>
      <w:tr>
        <w:trPr/>
        <w:tc>
          <w:tcPr>
            <w:tcW w:w="1049"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52f76d9715f04131a747b82b88cb43f6_7">
              <w:r>
                <w:rPr>
                  <w:rStyle w:val="InternetLink"/>
                  <w:rFonts w:ascii="Times New Roman;sans-serif" w:hAnsi="Times New Roman;sans-serif"/>
                  <w:b w:val="false"/>
                  <w:color w:val="3051F2"/>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the signature page of this registration statement)</w:t>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r:id="rId5">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Inc. 2016 Omnibus Incentive Plan</w:t>
            </w:r>
          </w:p>
        </w:tc>
      </w:tr>
      <w:tr>
        <w:trPr/>
        <w:tc>
          <w:tcPr>
            <w:tcW w:w="1049"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exhibit107.htm">
              <w:r>
                <w:rPr>
                  <w:rStyle w:val="InternetLink"/>
                  <w:rFonts w:ascii="Times New Roman;sans-serif" w:hAnsi="Times New Roman;sans-serif"/>
                  <w:b w:val="false"/>
                  <w:color w:val="3051F2"/>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Filing Fee Table</w:t>
            </w:r>
          </w:p>
        </w:tc>
      </w:tr>
    </w:tbl>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41045"/>
                <wp:effectExtent l="0" t="0" r="0" b="0"/>
                <wp:wrapNone/>
                <wp:docPr id="2" name="Frame2"/>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r>
                                    <w:br w:type="page"/>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506190184.3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506190184.3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as of May 15, 2023.</w:t>
      </w:r>
    </w:p>
    <w:p>
      <w:pPr>
        <w:pStyle w:val="TextBody"/>
        <w:bidi w:val="0"/>
        <w:spacing w:lineRule="auto" w:line="240" w:before="0" w:after="0"/>
        <w:ind w:left="0" w:right="0" w:firstLine="4680"/>
        <w:jc w:val="left"/>
        <w:rPr>
          <w:rFonts w:ascii="Times New Roman;sans-serif" w:hAnsi="Times New Roman;sans-serif"/>
          <w:b/>
          <w:color w:val="000000"/>
          <w:sz w:val="20"/>
        </w:rPr>
      </w:pPr>
      <w:r>
        <w:rPr>
          <w:rFonts w:ascii="Times New Roman;sans-serif" w:hAnsi="Times New Roman;sans-serif"/>
          <w:b/>
          <w:color w:val="000000"/>
          <w:sz w:val="20"/>
        </w:rPr>
        <w:t>ACM RESEARCH, INC.</w:t>
      </w:r>
    </w:p>
    <w:tbl>
      <w:tblPr>
        <w:tblW w:w="6795" w:type="dxa"/>
        <w:jc w:val="left"/>
        <w:tblInd w:w="0" w:type="dxa"/>
        <w:tblLayout w:type="fixed"/>
        <w:tblCellMar>
          <w:top w:w="28" w:type="dxa"/>
          <w:left w:w="28" w:type="dxa"/>
          <w:bottom w:w="28" w:type="dxa"/>
          <w:right w:w="28" w:type="dxa"/>
        </w:tblCellMar>
      </w:tblPr>
      <w:tblGrid>
        <w:gridCol w:w="2176"/>
        <w:gridCol w:w="1914"/>
        <w:gridCol w:w="2705"/>
      </w:tblGrid>
      <w:tr>
        <w:trPr/>
        <w:tc>
          <w:tcPr>
            <w:tcW w:w="217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680"/>
              <w:jc w:val="left"/>
              <w:rPr>
                <w:rFonts w:ascii="Times New Roman;sans-serif" w:hAnsi="Times New Roman;sans-serif"/>
                <w:b w:val="false"/>
                <w:color w:val="000000"/>
                <w:sz w:val="20"/>
              </w:rPr>
            </w:pPr>
            <w:r>
              <w:rPr>
                <w:rFonts w:ascii="Times New Roman;sans-serif" w:hAnsi="Times New Roman;sans-serif"/>
                <w:b w:val="false"/>
                <w:color w:val="000000"/>
                <w:sz w:val="20"/>
              </w:rPr>
              <w:t>//s/ Mark A. McKechnie</w:t>
            </w:r>
          </w:p>
        </w:tc>
      </w:tr>
      <w:tr>
        <w:trPr/>
        <w:tc>
          <w:tcPr>
            <w:tcW w:w="6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A. McKechnie</w:t>
            </w:r>
          </w:p>
        </w:tc>
      </w:tr>
      <w:tr>
        <w:trPr/>
        <w:tc>
          <w:tcPr>
            <w:tcW w:w="67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r>
    </w:tbl>
    <w:p>
      <w:pPr>
        <w:pStyle w:val="TextBody"/>
        <w:bidi w:val="0"/>
        <w:spacing w:before="0" w:after="0"/>
        <w:jc w:val="left"/>
        <w:rPr/>
      </w:pPr>
      <w:r>
        <w:rPr/>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POWER OF ATTORNEY AND SIGNATURES</w: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David H. Wang and Mark A. McKechnie,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pStyle w:val="TextBody"/>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this registration statement has been signed below by the following persons on behalf of the registrant in the capacities and on the dates indicated.</w:t>
      </w:r>
    </w:p>
    <w:tbl>
      <w:tblPr>
        <w:tblW w:w="8533" w:type="dxa"/>
        <w:jc w:val="left"/>
        <w:tblInd w:w="0" w:type="dxa"/>
        <w:tblLayout w:type="fixed"/>
        <w:tblCellMar>
          <w:top w:w="28" w:type="dxa"/>
          <w:left w:w="28" w:type="dxa"/>
          <w:bottom w:w="28" w:type="dxa"/>
          <w:right w:w="28" w:type="dxa"/>
        </w:tblCellMar>
      </w:tblPr>
      <w:tblGrid>
        <w:gridCol w:w="727"/>
        <w:gridCol w:w="640"/>
        <w:gridCol w:w="642"/>
        <w:gridCol w:w="1738"/>
        <w:gridCol w:w="1738"/>
        <w:gridCol w:w="1759"/>
        <w:gridCol w:w="375"/>
        <w:gridCol w:w="375"/>
        <w:gridCol w:w="539"/>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523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128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David H. Wang</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r>
      <w:tr>
        <w:trPr/>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520"/>
              <w:jc w:val="left"/>
              <w:rPr>
                <w:rFonts w:ascii="Times New Roman;sans-serif" w:hAnsi="Times New Roman;sans-serif"/>
                <w:b w:val="false"/>
                <w:color w:val="000000"/>
                <w:sz w:val="20"/>
              </w:rPr>
            </w:pPr>
            <w:r>
              <w:rPr>
                <w:rFonts w:ascii="Times New Roman;sans-serif" w:hAnsi="Times New Roman;sans-serif"/>
                <w:b w:val="false"/>
                <w:color w:val="000000"/>
                <w:sz w:val="20"/>
              </w:rPr>
              <w:t>David H Wang</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A. McKechnie</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0"/>
              <w:jc w:val="left"/>
              <w:rPr/>
            </w:pPr>
            <w:r>
              <w:rPr>
                <w:rFonts w:ascii="Times New Roman;sans-serif" w:hAnsi="Times New Roman;sans-serif"/>
                <w:b w:val="false"/>
                <w:color w:val="000000"/>
                <w:sz w:val="20"/>
              </w:rPr>
              <w:t>and Chair of the Board of Directors</w:t>
              <w:br/>
            </w:r>
            <w:r>
              <w:rPr>
                <w:rFonts w:ascii="Times New Roman;sans-serif" w:hAnsi="Times New Roman;sans-serif"/>
                <w:b w:val="false"/>
                <w:i/>
                <w:color w:val="000000"/>
                <w:sz w:val="20"/>
              </w:rPr>
              <w:t>(Principal Executive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Executive Vice President and Treasurer</w:t>
            </w:r>
          </w:p>
        </w:tc>
        <w:tc>
          <w:tcPr>
            <w:tcW w:w="128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r>
      <w:tr>
        <w:trPr/>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520"/>
              <w:jc w:val="left"/>
              <w:rPr>
                <w:rFonts w:ascii="Times New Roman;sans-serif" w:hAnsi="Times New Roman;sans-serif"/>
                <w:b w:val="false"/>
                <w:color w:val="000000"/>
                <w:sz w:val="20"/>
              </w:rPr>
            </w:pPr>
            <w:r>
              <w:rPr>
                <w:rFonts w:ascii="Times New Roman;sans-serif" w:hAnsi="Times New Roman;sans-serif"/>
                <w:b w:val="false"/>
                <w:color w:val="000000"/>
                <w:sz w:val="20"/>
              </w:rPr>
              <w:t>Mark A. McKechnie</w:t>
            </w:r>
          </w:p>
          <w:p>
            <w:pPr>
              <w:pStyle w:val="TableContents"/>
              <w:bidi w:val="0"/>
              <w:spacing w:lineRule="auto" w:line="240" w:before="0" w:after="520"/>
              <w:jc w:val="left"/>
              <w:rPr>
                <w:rFonts w:ascii="Times New Roman;sans-serif" w:hAnsi="Times New Roman;sans-serif"/>
                <w:b w:val="false"/>
                <w:color w:val="000000"/>
                <w:sz w:val="20"/>
              </w:rPr>
            </w:pPr>
            <w:r>
              <w:rPr>
                <w:rFonts w:ascii="Times New Roman;sans-serif" w:hAnsi="Times New Roman;sans-serif"/>
                <w:b w:val="false"/>
                <w:color w:val="000000"/>
                <w:sz w:val="20"/>
              </w:rPr>
              <w:t>/s/ Haiping Dun</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Director</w:t>
            </w:r>
          </w:p>
        </w:tc>
        <w:tc>
          <w:tcPr>
            <w:tcW w:w="128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r>
      <w:tr>
        <w:trPr/>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Haiping Dun</w:t>
            </w:r>
          </w:p>
          <w:p>
            <w:pPr>
              <w:pStyle w:val="TableContents"/>
              <w:bidi w:val="0"/>
              <w:spacing w:lineRule="auto" w:line="240"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/s/ Chenming Hu</w:t>
            </w:r>
          </w:p>
        </w:tc>
        <w:tc>
          <w:tcPr>
            <w:tcW w:w="523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28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r>
      <w:tr>
        <w:trPr/>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Chenming Hu</w:t>
            </w:r>
          </w:p>
          <w:p>
            <w:pPr>
              <w:pStyle w:val="TableContents"/>
              <w:bidi w:val="0"/>
              <w:spacing w:lineRule="auto" w:line="240"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/s/ Tracy Liu</w:t>
            </w:r>
          </w:p>
        </w:tc>
        <w:tc>
          <w:tcPr>
            <w:tcW w:w="523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28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r>
      <w:tr>
        <w:trPr/>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Tracy Liu</w:t>
            </w:r>
          </w:p>
          <w:p>
            <w:pPr>
              <w:pStyle w:val="TableContents"/>
              <w:bidi w:val="0"/>
              <w:spacing w:lineRule="auto" w:line="240"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/s/ Xiao Xing</w:t>
            </w:r>
          </w:p>
        </w:tc>
        <w:tc>
          <w:tcPr>
            <w:tcW w:w="523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28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r>
      <w:tr>
        <w:trPr/>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Xing</w:t>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41045"/>
                <wp:effectExtent l="0" t="0" r="0" b="0"/>
                <wp:wrapNone/>
                <wp:docPr id="3" name="Frame3"/>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506190184.3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506190184.3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Calculation of Filing Fee Table </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ACM Research, Inc. </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Table 1—Newly Registered Securities</w:t>
      </w:r>
    </w:p>
    <w:p>
      <w:pPr>
        <w:pStyle w:val="TextBody"/>
        <w:bidi w:val="0"/>
        <w:spacing w:before="0" w:after="0"/>
        <w:jc w:val="center"/>
        <w:rPr/>
      </w:pPr>
      <w:r>
        <w:rPr/>
      </w:r>
    </w:p>
    <w:tbl>
      <w:tblPr>
        <w:tblW w:w="11248"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250"/>
        <w:gridCol w:w="235"/>
        <w:gridCol w:w="236"/>
        <w:gridCol w:w="109"/>
        <w:gridCol w:w="109"/>
        <w:gridCol w:w="109"/>
        <w:gridCol w:w="315"/>
        <w:gridCol w:w="315"/>
        <w:gridCol w:w="316"/>
        <w:gridCol w:w="109"/>
        <w:gridCol w:w="109"/>
        <w:gridCol w:w="109"/>
        <w:gridCol w:w="290"/>
        <w:gridCol w:w="290"/>
        <w:gridCol w:w="291"/>
        <w:gridCol w:w="109"/>
        <w:gridCol w:w="109"/>
        <w:gridCol w:w="109"/>
        <w:gridCol w:w="140"/>
        <w:gridCol w:w="140"/>
        <w:gridCol w:w="140"/>
        <w:gridCol w:w="140"/>
        <w:gridCol w:w="140"/>
        <w:gridCol w:w="141"/>
        <w:gridCol w:w="109"/>
        <w:gridCol w:w="109"/>
        <w:gridCol w:w="109"/>
        <w:gridCol w:w="109"/>
        <w:gridCol w:w="109"/>
        <w:gridCol w:w="109"/>
        <w:gridCol w:w="145"/>
        <w:gridCol w:w="145"/>
        <w:gridCol w:w="145"/>
        <w:gridCol w:w="379"/>
        <w:gridCol w:w="379"/>
        <w:gridCol w:w="383"/>
        <w:gridCol w:w="109"/>
        <w:gridCol w:w="109"/>
        <w:gridCol w:w="109"/>
        <w:gridCol w:w="109"/>
        <w:gridCol w:w="109"/>
        <w:gridCol w:w="109"/>
        <w:gridCol w:w="319"/>
        <w:gridCol w:w="319"/>
        <w:gridCol w:w="323"/>
        <w:gridCol w:w="109"/>
        <w:gridCol w:w="109"/>
        <w:gridCol w:w="109"/>
        <w:gridCol w:w="266"/>
        <w:gridCol w:w="147"/>
        <w:gridCol w:w="147"/>
        <w:gridCol w:w="242"/>
        <w:gridCol w:w="242"/>
        <w:gridCol w:w="252"/>
        <w:gridCol w:w="109"/>
        <w:gridCol w:w="109"/>
        <w:gridCol w:w="15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Security Class</w:t>
              <w:b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w:t>
              <w:br/>
              <w:t>Calculation</w:t>
              <w:br/>
              <w:t>Rule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Registered</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w:t>
              <w:br/>
              <w:t>Maximum</w:t>
              <w:br/>
              <w:t xml:space="preserve">Offering </w:t>
              <w:br/>
              <w:t xml:space="preserve">Price Per </w:t>
              <w:br/>
              <w:t>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Maximum</w:t>
              <w:br/>
              <w:t xml:space="preserve">Aggregate </w:t>
              <w:br/>
              <w:t xml:space="preserve">Offering </w:t>
              <w:br/>
              <w:t>Price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w:t>
              <w:br/>
              <w:t xml:space="preserve">Registration </w:t>
              <w:br/>
              <w:t>Fee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Rules 457(c) and 457(h)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4,734,952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47,302,170.48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0.00011020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5,212.70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Offering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47,302,170.48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5,212.70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Fee Offsets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Fee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5,212.70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Consists of additional shares available for issuance under the registrant’s 2016 Omnibus Incentive Plan as the result of annual increases effective as of January 1, 2022 and 2023. In accordance with Rule 416 under the Securities Act of 1933, this registration statement shall be deemed to cover any additional securities that may from time to time be offered or issued to prevent dilution resulting from stock splits, stock dividends or similar transactions.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Estimated solely for the purpose of calculating the registration fee pursuant to Rules 457(c) and (h) under the Securities Act of 1933 and based upon the average of the high and low prices of the registrant’s Class A common stock as reported on The NASDAQ Global Market on May 9, 2023.</w:t>
            </w:r>
          </w:p>
        </w:tc>
      </w:tr>
    </w:tbl>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5.1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br/>
        <w:t>K&amp;L Gates LLP</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Park Plaza, Twelfth Floor</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Irvine, California 92614</w:t>
      </w:r>
    </w:p>
    <w:p>
      <w:pPr>
        <w:pStyle w:val="TextBody"/>
        <w:bidi w:val="0"/>
        <w:spacing w:before="0" w:after="0"/>
        <w:jc w:val="center"/>
        <w:rPr/>
      </w:pPr>
      <w:r>
        <w:rPr/>
      </w:r>
    </w:p>
    <w:p>
      <w:pPr>
        <w:pStyle w:val="TextBody"/>
        <w:bidi w:val="0"/>
        <w:spacing w:lineRule="auto" w:line="240" w:before="0" w:after="0"/>
        <w:ind w:left="0" w:right="0" w:firstLine="4680"/>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2023</w:t>
      </w:r>
    </w:p>
    <w:p>
      <w:pPr>
        <w:pStyle w:val="TextBody"/>
        <w:bidi w:val="0"/>
        <w:spacing w:lineRule="auto" w:line="240" w:before="6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ACM Research, Inc.</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42307 Osgood Road, Suite I </w:t>
      </w:r>
    </w:p>
    <w:p>
      <w:pPr>
        <w:pStyle w:val="TextBody"/>
        <w:bidi w:val="0"/>
        <w:spacing w:lineRule="auto" w:line="240" w:before="0" w:after="220"/>
        <w:jc w:val="left"/>
        <w:rPr>
          <w:rFonts w:ascii="Times New Roman;sans-serif" w:hAnsi="Times New Roman;sans-serif"/>
          <w:b w:val="false"/>
          <w:color w:val="000000"/>
          <w:sz w:val="20"/>
        </w:rPr>
      </w:pPr>
      <w:r>
        <w:rPr>
          <w:rFonts w:ascii="Times New Roman;sans-serif" w:hAnsi="Times New Roman;sans-serif"/>
          <w:b w:val="false"/>
          <w:color w:val="000000"/>
          <w:sz w:val="20"/>
        </w:rPr>
        <w:t>Fremont, California 94539</w:t>
      </w:r>
    </w:p>
    <w:p>
      <w:pPr>
        <w:pStyle w:val="TextBody"/>
        <w:bidi w:val="0"/>
        <w:spacing w:lineRule="auto" w:line="240" w:before="0" w:after="2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Ladies and Gentlemen: </w:t>
      </w:r>
    </w:p>
    <w:p>
      <w:pPr>
        <w:pStyle w:val="TextBody"/>
        <w:bidi w:val="0"/>
        <w:spacing w:lineRule="auto" w:line="240" w:before="0" w:after="220"/>
        <w:ind w:left="0" w:right="0" w:firstLine="360"/>
        <w:jc w:val="both"/>
        <w:rPr/>
      </w:pPr>
      <w:r>
        <w:rPr>
          <w:rFonts w:ascii="Times New Roman;sans-serif" w:hAnsi="Times New Roman;sans-serif"/>
          <w:b w:val="false"/>
          <w:color w:val="000000"/>
          <w:sz w:val="20"/>
        </w:rPr>
        <w:t>We have acted as counsel to ACM Research, Inc., a Delaware corporation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in connection with the preparation of the Registration Statement on Form S-8 (the “</w:t>
      </w:r>
      <w:r>
        <w:rPr>
          <w:rFonts w:ascii="Times New Roman;sans-serif" w:hAnsi="Times New Roman;sans-serif"/>
          <w:b w:val="false"/>
          <w:i/>
          <w:color w:val="000000"/>
          <w:sz w:val="20"/>
        </w:rPr>
        <w:t>Registration Statement</w:t>
      </w:r>
      <w:r>
        <w:rPr>
          <w:color w:val="000000"/>
        </w:rPr>
        <w:t>”</w:t>
      </w:r>
      <w:r>
        <w:rPr>
          <w:rFonts w:ascii="Times New Roman;sans-serif" w:hAnsi="Times New Roman;sans-serif"/>
          <w:b w:val="false"/>
          <w:color w:val="000000"/>
          <w:sz w:val="20"/>
        </w:rPr>
        <w:t>) to be filed by the Company with the Securities and Exchange Commission for the registration under the Securities Act of 1933, as amended (the “</w:t>
      </w:r>
      <w:r>
        <w:rPr>
          <w:rFonts w:ascii="Times New Roman;sans-serif" w:hAnsi="Times New Roman;sans-serif"/>
          <w:b w:val="false"/>
          <w:i/>
          <w:color w:val="000000"/>
          <w:sz w:val="20"/>
        </w:rPr>
        <w:t>Securities Act</w:t>
      </w:r>
      <w:r>
        <w:rPr>
          <w:color w:val="000000"/>
        </w:rPr>
        <w:t>”</w:t>
      </w:r>
      <w:r>
        <w:rPr>
          <w:rFonts w:ascii="Times New Roman;sans-serif" w:hAnsi="Times New Roman;sans-serif"/>
          <w:b w:val="false"/>
          <w:color w:val="000000"/>
          <w:sz w:val="20"/>
        </w:rPr>
        <w:t>), of 4,734,952 shares (the “</w:t>
      </w:r>
      <w:r>
        <w:rPr>
          <w:rFonts w:ascii="Times New Roman;sans-serif" w:hAnsi="Times New Roman;sans-serif"/>
          <w:b w:val="false"/>
          <w:i/>
          <w:color w:val="000000"/>
          <w:sz w:val="20"/>
        </w:rPr>
        <w:t>Shares</w:t>
      </w:r>
      <w:r>
        <w:rPr>
          <w:color w:val="000000"/>
        </w:rPr>
        <w:t>”</w:t>
      </w:r>
      <w:r>
        <w:rPr>
          <w:rFonts w:ascii="Times New Roman;sans-serif" w:hAnsi="Times New Roman;sans-serif"/>
          <w:b w:val="false"/>
          <w:color w:val="000000"/>
          <w:sz w:val="20"/>
        </w:rPr>
        <w:t>) of the Company’s Class A common stock, $0.0001 par value per share, which are to be issued from time to time in connection with the Company’s 2016 Omnibus Incentive Plan (the “</w:t>
      </w:r>
      <w:r>
        <w:rPr>
          <w:rFonts w:ascii="Times New Roman;sans-serif" w:hAnsi="Times New Roman;sans-serif"/>
          <w:b w:val="false"/>
          <w:i/>
          <w:color w:val="000000"/>
          <w:sz w:val="20"/>
        </w:rPr>
        <w:t>Plan</w:t>
      </w:r>
      <w:r>
        <w:rPr>
          <w:color w:val="000000"/>
        </w:rPr>
        <w:t>”</w:t>
      </w:r>
      <w:r>
        <w:rPr>
          <w:rFonts w:ascii="Times New Roman;sans-serif" w:hAnsi="Times New Roman;sans-serif"/>
          <w:b w:val="false"/>
          <w:color w:val="000000"/>
          <w:sz w:val="20"/>
        </w:rPr>
        <w:t xml:space="preserve">). </w:t>
      </w:r>
    </w:p>
    <w:p>
      <w:pPr>
        <w:pStyle w:val="TextBody"/>
        <w:bidi w:val="0"/>
        <w:spacing w:lineRule="auto" w:line="240" w:before="0" w:after="2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opinion is being delivered in accordance with the requirements of Item 601(b)(5) of Regulation S-K under the Securities Act.</w:t>
      </w:r>
    </w:p>
    <w:p>
      <w:pPr>
        <w:pStyle w:val="TextBody"/>
        <w:bidi w:val="0"/>
        <w:spacing w:lineRule="auto" w:line="240" w:before="0" w:after="2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have requested our opinion as to the matters set forth below in connection with the Registration Statement. For purposes of rendering that opinion, we have examined copies of the Plan, the Registration Statement, the Company’s Restated Certificate of Incorporation (as amended to date) and Restated Bylaws, and the corporate actions of the Company that provide for the issuance of the Shares, and we have made such other investigation as we have deemed appropriate. We also have examined and relied upon certificates of public officials and, in rendering our opinion, we have made the assumptions that are customary in opinion letters of this kind. We have not verified any of those assumptions. </w:t>
      </w:r>
    </w:p>
    <w:p>
      <w:pPr>
        <w:pStyle w:val="TextBody"/>
        <w:bidi w:val="0"/>
        <w:spacing w:lineRule="auto" w:line="240" w:before="0" w:after="2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upon and subject to the foregoing and the additional qualifications and other matters set forth below, we are of the opinion that the Shares have been duly and validly authorized and reserved for issuance and that the Shares, when issued in accordance with the terms of the Plan, will be validly issued, fully paid and nonassessable. </w:t>
      </w:r>
    </w:p>
    <w:p>
      <w:pPr>
        <w:pStyle w:val="TextBody"/>
        <w:bidi w:val="0"/>
        <w:spacing w:lineRule="auto" w:line="240" w:before="0" w:after="2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opinion expressed in this opinion letter is limited to the laws of the State of Delaware. The foregoing opinion is rendered as of the date of this letter. We assume no obligation to update or supplement such opinion in order to reflect any changes of law or fact that may occur. </w:t>
      </w:r>
    </w:p>
    <w:p>
      <w:pPr>
        <w:pStyle w:val="TextBody"/>
        <w:bidi w:val="0"/>
        <w:spacing w:lineRule="auto" w:line="240" w:before="0" w:after="2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furnishing this opinion letter to you solely in connection with the Registration Statement. You may not rely on this opinion letter in any other connection, and it may not be furnished to or relied upon by any other person for any purpose, without our specific prior written consent. We hereby consent to the filing of this opinion as Exhibit 5.1 to the Registration Statement. In giving our consent we do not thereby admit that we are in the category of persons whose consent is required under Section 7 of the Securities Act or the rules and regulations thereunder.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Yours truly, </w:t>
      </w:r>
    </w:p>
    <w:p>
      <w:pPr>
        <w:pStyle w:val="TextBody"/>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K&amp;L Gates LLP</w:t>
      </w:r>
    </w:p>
    <w:p>
      <w:pPr>
        <w:pStyle w:val="TextBody"/>
        <w:bidi w:val="0"/>
        <w:spacing w:before="0" w:after="0"/>
        <w:jc w:val="left"/>
        <w:rPr/>
      </w:pPr>
      <w:r>
        <w:rPr/>
      </w:r>
    </w:p>
    <w:p>
      <w:pPr>
        <w:pStyle w:val="TextBody"/>
        <w:bidi w:val="0"/>
        <w:spacing w:lineRule="auto" w:line="319"/>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K&amp;L Gates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before="0" w:after="0"/>
        <w:jc w:val="left"/>
        <w:rPr/>
      </w:pPr>
      <w:r>
        <w:rPr/>
        <w:drawing>
          <wp:inline distT="0" distB="0" distL="0" distR="0">
            <wp:extent cx="5943600" cy="6000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6"/>
                    <a:stretch>
                      <a:fillRect/>
                    </a:stretch>
                  </pic:blipFill>
                  <pic:spPr bwMode="auto">
                    <a:xfrm>
                      <a:off x="0" y="0"/>
                      <a:ext cx="5943600" cy="6000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8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ACM Research, Inc.</w:t>
      </w:r>
    </w:p>
    <w:p>
      <w:pPr>
        <w:pStyle w:val="TextBody"/>
        <w:bidi w:val="0"/>
        <w:spacing w:lineRule="auto" w:line="28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42307 Osgood Road, Suite I</w:t>
      </w:r>
    </w:p>
    <w:p>
      <w:pPr>
        <w:pStyle w:val="TextBody"/>
        <w:bidi w:val="0"/>
        <w:spacing w:lineRule="auto" w:line="28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Fremont, California 94539</w:t>
      </w:r>
    </w:p>
    <w:p>
      <w:pPr>
        <w:pStyle w:val="TextBody"/>
        <w:bidi w:val="0"/>
        <w:spacing w:lineRule="auto" w:line="28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before="0" w:after="0"/>
        <w:jc w:val="left"/>
        <w:rPr/>
      </w:pPr>
      <w:r>
        <w:rPr/>
      </w:r>
    </w:p>
    <w:p>
      <w:pPr>
        <w:pStyle w:val="TextBody"/>
        <w:bidi w:val="0"/>
        <w:spacing w:lineRule="auto" w:line="33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 on Form S-8 of ACM Research, Inc. (the “Company”) of our report dated March 1, 2022 except for the effects of the common stock split discussed in Notes 1 and 2 to the consolidated financial statements, as to which the date is March 1, 2023, relating to the consolidated financial statements, which appear in the Company’s Annual Report on Form 10-K for the year ended December 31, 2022.</w:t>
      </w:r>
    </w:p>
    <w:p>
      <w:pPr>
        <w:pStyle w:val="TextBody"/>
        <w:bidi w:val="0"/>
        <w:spacing w:before="0" w:after="0"/>
        <w:jc w:val="both"/>
        <w:rPr/>
      </w:pPr>
      <w:r>
        <w:rPr/>
      </w:r>
    </w:p>
    <w:p>
      <w:pPr>
        <w:pStyle w:val="TextBody"/>
        <w:bidi w:val="0"/>
        <w:spacing w:lineRule="auto" w:line="33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China Shu Lun Pan Certified Public Accountants LLP</w:t>
      </w:r>
    </w:p>
    <w:p>
      <w:pPr>
        <w:pStyle w:val="TextBody"/>
        <w:bidi w:val="0"/>
        <w:spacing w:lineRule="auto" w:line="33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BDO China Shu Lun Pan Certified Public Accountants LLP</w:t>
      </w:r>
    </w:p>
    <w:p>
      <w:pPr>
        <w:pStyle w:val="TextBody"/>
        <w:bidi w:val="0"/>
        <w:spacing w:before="0" w:after="0"/>
        <w:jc w:val="left"/>
        <w:rPr/>
      </w:pPr>
      <w:r>
        <w:rPr/>
      </w:r>
    </w:p>
    <w:p>
      <w:pPr>
        <w:pStyle w:val="TextBody"/>
        <w:bidi w:val="0"/>
        <w:spacing w:lineRule="auto" w:line="33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Shenzhen, the People’s Republic of China</w:t>
      </w:r>
    </w:p>
    <w:p>
      <w:pPr>
        <w:pStyle w:val="TextBody"/>
        <w:bidi w:val="0"/>
        <w:spacing w:lineRule="auto" w:line="336"/>
        <w:jc w:val="both"/>
        <w:rPr>
          <w:rFonts w:ascii="Times New Roman;sans-serif" w:hAnsi="Times New Roman;sans-serif"/>
          <w:b w:val="false"/>
          <w:color w:val="000000"/>
          <w:sz w:val="20"/>
        </w:rPr>
      </w:pPr>
      <w:r>
        <w:rPr>
          <w:rFonts w:ascii="Times New Roman;sans-serif" w:hAnsi="Times New Roman;sans-serif"/>
          <w:b w:val="false"/>
          <w:color w:val="000000"/>
          <w:sz w:val="20"/>
        </w:rPr>
        <w:t>May 15,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 on Form S-8 of our reports dated March 1, 2023, relating to the consolidated financial statements and the effectiveness of internal control over financial reporting of ACM Research, Inc. and subsidiaries (the “Company”) appearing in its Annual Report on Form 10-K for the year ended December 31, 2022. Our report on the effectiveness of internal control over financial reporting expresses an adverse opinion on the effectiveness of the Company’s internal control over financial reporting as of December 31, 2022.</w:t>
      </w:r>
    </w:p>
    <w:p>
      <w:pPr>
        <w:pStyle w:val="TextBody"/>
        <w:bidi w:val="0"/>
        <w:spacing w:before="0" w:after="0"/>
        <w:jc w:val="left"/>
        <w:rPr/>
      </w:pPr>
      <w:r>
        <w:rPr/>
      </w:r>
    </w:p>
    <w:p>
      <w:pPr>
        <w:pStyle w:val="TextBody"/>
        <w:bidi w:val="0"/>
        <w:spacing w:lineRule="auto" w:line="268" w:before="0" w:after="0"/>
        <w:ind w:left="0" w:right="0" w:firstLine="5040"/>
        <w:jc w:val="both"/>
        <w:rPr>
          <w:rFonts w:ascii="Times New Roman;sans-serif" w:hAnsi="Times New Roman;sans-serif"/>
          <w:b w:val="false"/>
          <w:color w:val="000000"/>
          <w:sz w:val="20"/>
        </w:rPr>
      </w:pPr>
      <w:r>
        <w:rPr>
          <w:rFonts w:ascii="Times New Roman;sans-serif" w:hAnsi="Times New Roman;sans-serif"/>
          <w:b w:val="false"/>
          <w:color w:val="000000"/>
          <w:sz w:val="20"/>
        </w:rPr>
        <w:t>/s/ Armanino LLP</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20"/>
        </w:rPr>
        <w:t>Armanino LLP</w:t>
      </w:r>
    </w:p>
    <w:p>
      <w:pPr>
        <w:pStyle w:val="TextBody"/>
        <w:bidi w:val="0"/>
        <w:spacing w:lineRule="auto" w:line="268" w:before="0" w:after="0"/>
        <w:jc w:val="left"/>
        <w:rPr>
          <w:color w:val="000000"/>
        </w:rPr>
      </w:pPr>
      <w:r>
        <w:rPr>
          <w:color w:val="000000"/>
        </w:rPr>
        <w:t xml:space="preserve">         </w:t>
      </w:r>
      <w:r>
        <w:rPr>
          <w:rFonts w:ascii="Times New Roman;sans-serif" w:hAnsi="Times New Roman;sans-serif"/>
          <w:b w:val="false"/>
          <w:color w:val="000000"/>
          <w:sz w:val="20"/>
        </w:rPr>
        <w:t>San Jose, California</w:t>
      </w:r>
    </w:p>
    <w:p>
      <w:pPr>
        <w:pStyle w:val="TextBody"/>
        <w:bidi w:val="0"/>
        <w:spacing w:before="0" w:after="0"/>
        <w:jc w:val="left"/>
        <w:rPr/>
      </w:pPr>
      <w:r>
        <w:rPr/>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0062/000119312517342650/d407541dex301.htm" TargetMode="External"/><Relationship Id="rId3" Type="http://schemas.openxmlformats.org/officeDocument/2006/relationships/hyperlink" Target="https://www.sec.gov/Archives/edgar/data/0001680062/000114036121024240/brhc10026736_ex3-01.htm" TargetMode="External"/><Relationship Id="rId4" Type="http://schemas.openxmlformats.org/officeDocument/2006/relationships/hyperlink" Target="http://www.sec.gov/Archives/edgar/data/1680062/000119312517342650/d407541dex302.htm" TargetMode="External"/><Relationship Id="rId5" Type="http://schemas.openxmlformats.org/officeDocument/2006/relationships/hyperlink" Target="https://www.sec.gov/Archives/edgar/data/1680062/000119312517364926/d481028dex1001.htm" TargetMode="Externa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1801</Words>
  <Characters>9420</Characters>
  <CharactersWithSpaces>11086</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