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11, 2022</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i w:val="1"/>
          <w:iCs w:val="1"/>
          <w:color w:val="auto"/>
        </w:rPr>
        <w:t>(State or Other</w:t>
      </w:r>
    </w:p>
    <w:p>
      <w:pPr>
        <w:spacing w:after="0" w:line="9" w:lineRule="exact"/>
        <w:rPr>
          <w:sz w:val="24"/>
          <w:szCs w:val="24"/>
          <w:color w:val="auto"/>
        </w:rPr>
      </w:pPr>
    </w:p>
    <w:p>
      <w:pPr>
        <w:ind w:left="780"/>
        <w:spacing w:after="0"/>
        <w:rPr>
          <w:sz w:val="20"/>
          <w:szCs w:val="20"/>
          <w:color w:val="auto"/>
        </w:rPr>
      </w:pPr>
      <w:r>
        <w:rPr>
          <w:rFonts w:ascii="Arial" w:cs="Arial" w:eastAsia="Arial" w:hAnsi="Arial"/>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6"/>
          <w:szCs w:val="16"/>
          <w:i w:val="1"/>
          <w:iCs w:val="1"/>
          <w:color w:val="auto"/>
        </w:rPr>
        <w:t>(Commission</w:t>
      </w:r>
    </w:p>
    <w:p>
      <w:pPr>
        <w:spacing w:after="0" w:line="32" w:lineRule="exact"/>
        <w:rPr>
          <w:sz w:val="24"/>
          <w:szCs w:val="24"/>
          <w:color w:val="auto"/>
        </w:rPr>
      </w:pPr>
    </w:p>
    <w:p>
      <w:pPr>
        <w:jc w:val="center"/>
        <w:ind w:right="190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i w:val="1"/>
          <w:iCs w:val="1"/>
          <w:color w:val="auto"/>
        </w:rPr>
        <w:t>Identification No.)</w:t>
      </w:r>
    </w:p>
    <w:p>
      <w:pPr>
        <w:spacing w:after="0" w:line="200" w:lineRule="exact"/>
        <w:rPr>
          <w:sz w:val="24"/>
          <w:szCs w:val="24"/>
          <w:color w:val="auto"/>
        </w:rPr>
      </w:pPr>
    </w:p>
    <w:p>
      <w:pPr>
        <w:sectPr>
          <w:pgSz w:w="11900" w:h="16838" w:orient="portrait"/>
          <w:cols w:equalWidth="0" w:num="3">
            <w:col w:w="4380" w:space="720"/>
            <w:col w:w="2880" w:space="720"/>
            <w:col w:w="2540"/>
          </w:cols>
          <w:pgMar w:left="320" w:top="535" w:right="339" w:bottom="1440" w:gutter="0" w:footer="0" w:header="0"/>
          <w:type w:val="continuous"/>
        </w:sectPr>
      </w:pPr>
    </w:p>
    <w:p>
      <w:pPr>
        <w:spacing w:after="0" w:line="18"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9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Trading symbol</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5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 Act of 1934:</w:t>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our operating subsidiary ACM Research (Shanghai), Inc. are listed on the Shanghai Stock Exchange’s, or the SSE’s, Sci-Tech innovAtion board, or the STAR Market. In accordance with the SSE’s rules governing the STAR Market, ACM Research (Shanghai), Inc. filed with the SSE a Record of January 2022 Investor Relation Activity, or the Record. The SSE posted the Record to the SSE’s website on February 11, 2022. A copy of the Record is included as exhibit 99.01 to this report.</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ind w:left="140"/>
        <w:spacing w:after="0"/>
        <w:tabs>
          <w:tab w:leader="none" w:pos="57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160" w:hanging="982"/>
        <w:spacing w:after="0" w:line="277" w:lineRule="auto"/>
        <w:tabs>
          <w:tab w:leader="none" w:pos="114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99.01*</w:t>
        </w:r>
      </w:hyperlink>
      <w:r>
        <w:rPr>
          <w:rFonts w:ascii="Arial" w:cs="Arial" w:eastAsia="Arial" w:hAnsi="Arial"/>
          <w:sz w:val="18"/>
          <w:szCs w:val="18"/>
          <w:color w:val="0000EE"/>
        </w:rPr>
        <w:tab/>
        <w:t>Record of January 2022 Investor Relations Activity filed by ACM Research (Shanghai), Inc. with the Shanghai Stock Exchange on February 11, 2022</w:t>
      </w:r>
    </w:p>
    <w:p>
      <w:pPr>
        <w:spacing w:after="0" w:line="170" w:lineRule="exact"/>
        <w:rPr>
          <w:sz w:val="20"/>
          <w:szCs w:val="20"/>
          <w:color w:val="auto"/>
        </w:rPr>
      </w:pPr>
    </w:p>
    <w:p>
      <w:pPr>
        <w:ind w:right="4760" w:firstLine="298"/>
        <w:spacing w:after="0" w:line="430" w:lineRule="auto"/>
        <w:tabs>
          <w:tab w:leader="none" w:pos="1161" w:val="left"/>
        </w:tabs>
        <w:numPr>
          <w:ilvl w:val="1"/>
          <w:numId w:val="3"/>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XBRL document) * Unofficial English translation of original document prepared in Mandarin Chinese.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2022</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0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Stock Code: 688082</w:t>
            </w:r>
          </w:p>
        </w:tc>
        <w:tc>
          <w:tcPr>
            <w:tcW w:w="2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0" w:type="dxa"/>
            <w:vAlign w:val="bottom"/>
            <w:gridSpan w:val="2"/>
          </w:tcPr>
          <w:p>
            <w:pPr>
              <w:ind w:left="2080"/>
              <w:spacing w:after="0"/>
              <w:rPr>
                <w:sz w:val="20"/>
                <w:szCs w:val="20"/>
                <w:color w:val="auto"/>
              </w:rPr>
            </w:pPr>
            <w:r>
              <w:rPr>
                <w:rFonts w:ascii="Arial" w:cs="Arial" w:eastAsia="Arial" w:hAnsi="Arial"/>
                <w:sz w:val="18"/>
                <w:szCs w:val="18"/>
                <w:b w:val="1"/>
                <w:bCs w:val="1"/>
                <w:color w:val="auto"/>
                <w:w w:val="95"/>
              </w:rPr>
              <w:t>Short Name: ACMSH</w:t>
            </w:r>
          </w:p>
        </w:tc>
        <w:tc>
          <w:tcPr>
            <w:tcW w:w="0" w:type="dxa"/>
            <w:vAlign w:val="bottom"/>
          </w:tcPr>
          <w:p>
            <w:pPr>
              <w:spacing w:after="0"/>
              <w:rPr>
                <w:sz w:val="1"/>
                <w:szCs w:val="1"/>
                <w:color w:val="auto"/>
              </w:rPr>
            </w:pPr>
          </w:p>
        </w:tc>
      </w:tr>
      <w:tr>
        <w:trPr>
          <w:trHeight w:val="459"/>
        </w:trPr>
        <w:tc>
          <w:tcPr>
            <w:tcW w:w="2300" w:type="dxa"/>
            <w:vAlign w:val="bottom"/>
          </w:tcPr>
          <w:p>
            <w:pPr>
              <w:spacing w:after="0"/>
              <w:rPr>
                <w:sz w:val="24"/>
                <w:szCs w:val="24"/>
                <w:color w:val="auto"/>
              </w:rPr>
            </w:pPr>
          </w:p>
        </w:tc>
        <w:tc>
          <w:tcPr>
            <w:tcW w:w="8960" w:type="dxa"/>
            <w:vAlign w:val="bottom"/>
            <w:gridSpan w:val="5"/>
          </w:tcPr>
          <w:p>
            <w:pPr>
              <w:ind w:left="2100"/>
              <w:spacing w:after="0"/>
              <w:rPr>
                <w:sz w:val="20"/>
                <w:szCs w:val="20"/>
                <w:color w:val="auto"/>
              </w:rPr>
            </w:pPr>
            <w:r>
              <w:rPr>
                <w:rFonts w:ascii="Arial" w:cs="Arial" w:eastAsia="Arial" w:hAnsi="Arial"/>
                <w:sz w:val="18"/>
                <w:szCs w:val="18"/>
                <w:b w:val="1"/>
                <w:bCs w:val="1"/>
                <w:color w:val="auto"/>
              </w:rPr>
              <w:t>ACM Research (Shanghai), Inc.</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8960" w:type="dxa"/>
            <w:vAlign w:val="bottom"/>
            <w:gridSpan w:val="5"/>
          </w:tcPr>
          <w:p>
            <w:pPr>
              <w:ind w:left="1380"/>
              <w:spacing w:after="0"/>
              <w:rPr>
                <w:sz w:val="20"/>
                <w:szCs w:val="20"/>
                <w:color w:val="auto"/>
              </w:rPr>
            </w:pPr>
            <w:r>
              <w:rPr>
                <w:rFonts w:ascii="Arial" w:cs="Arial" w:eastAsia="Arial" w:hAnsi="Arial"/>
                <w:sz w:val="18"/>
                <w:szCs w:val="18"/>
                <w:b w:val="1"/>
                <w:bCs w:val="1"/>
                <w:color w:val="auto"/>
              </w:rPr>
              <w:t>Record of January 2022 Investor Relation Activity</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30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Category of</w:t>
            </w:r>
          </w:p>
        </w:tc>
        <w:tc>
          <w:tcPr>
            <w:tcW w:w="2740" w:type="dxa"/>
            <w:vAlign w:val="bottom"/>
          </w:tcPr>
          <w:p>
            <w:pPr>
              <w:ind w:left="80"/>
              <w:spacing w:after="0" w:line="198"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Specific object research</w:t>
            </w:r>
          </w:p>
        </w:tc>
        <w:tc>
          <w:tcPr>
            <w:tcW w:w="6200" w:type="dxa"/>
            <w:vAlign w:val="bottom"/>
            <w:tcBorders>
              <w:right w:val="single" w:sz="8" w:color="auto"/>
            </w:tcBorders>
            <w:gridSpan w:val="3"/>
          </w:tcPr>
          <w:p>
            <w:pPr>
              <w:ind w:left="40"/>
              <w:spacing w:after="0" w:line="198"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Analyst meeting</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8"/>
              </w:rPr>
              <w:t>investor</w:t>
            </w:r>
          </w:p>
        </w:tc>
        <w:tc>
          <w:tcPr>
            <w:tcW w:w="2740" w:type="dxa"/>
            <w:vAlign w:val="bottom"/>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Media interview</w:t>
            </w:r>
          </w:p>
        </w:tc>
        <w:tc>
          <w:tcPr>
            <w:tcW w:w="6200" w:type="dxa"/>
            <w:vAlign w:val="bottom"/>
            <w:tcBorders>
              <w:right w:val="single" w:sz="8" w:color="auto"/>
            </w:tcBorders>
            <w:gridSpan w:val="3"/>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Performance briefing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relation</w:t>
            </w:r>
          </w:p>
        </w:tc>
        <w:tc>
          <w:tcPr>
            <w:tcW w:w="2740" w:type="dxa"/>
            <w:vAlign w:val="bottom"/>
            <w:vMerge w:val="continue"/>
          </w:tcPr>
          <w:p>
            <w:pPr>
              <w:spacing w:after="0"/>
              <w:rPr>
                <w:sz w:val="18"/>
                <w:szCs w:val="18"/>
                <w:color w:val="auto"/>
              </w:rPr>
            </w:pPr>
          </w:p>
        </w:tc>
        <w:tc>
          <w:tcPr>
            <w:tcW w:w="6200" w:type="dxa"/>
            <w:vAlign w:val="bottom"/>
            <w:tcBorders>
              <w:right w:val="single" w:sz="8" w:color="auto"/>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activity</w:t>
            </w:r>
          </w:p>
        </w:tc>
        <w:tc>
          <w:tcPr>
            <w:tcW w:w="2740" w:type="dxa"/>
            <w:vAlign w:val="bottom"/>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Press conference</w:t>
            </w:r>
          </w:p>
        </w:tc>
        <w:tc>
          <w:tcPr>
            <w:tcW w:w="6200" w:type="dxa"/>
            <w:vAlign w:val="bottom"/>
            <w:tcBorders>
              <w:right w:val="single" w:sz="8" w:color="auto"/>
            </w:tcBorders>
            <w:gridSpan w:val="3"/>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Roadshow</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00" w:type="dxa"/>
            <w:vAlign w:val="bottom"/>
            <w:tcBorders>
              <w:left w:val="single" w:sz="8" w:color="auto"/>
              <w:right w:val="single" w:sz="8" w:color="auto"/>
            </w:tcBorders>
          </w:tcPr>
          <w:p>
            <w:pPr>
              <w:spacing w:after="0"/>
              <w:rPr>
                <w:sz w:val="20"/>
                <w:szCs w:val="20"/>
                <w:color w:val="auto"/>
              </w:rPr>
            </w:pPr>
          </w:p>
        </w:tc>
        <w:tc>
          <w:tcPr>
            <w:tcW w:w="2740" w:type="dxa"/>
            <w:vAlign w:val="bottom"/>
            <w:vMerge w:val="continue"/>
          </w:tcPr>
          <w:p>
            <w:pPr>
              <w:spacing w:after="0"/>
              <w:rPr>
                <w:sz w:val="20"/>
                <w:szCs w:val="20"/>
                <w:color w:val="auto"/>
              </w:rPr>
            </w:pPr>
          </w:p>
        </w:tc>
        <w:tc>
          <w:tcPr>
            <w:tcW w:w="6200" w:type="dxa"/>
            <w:vAlign w:val="bottom"/>
            <w:tcBorders>
              <w:right w:val="single" w:sz="8" w:color="auto"/>
            </w:tcBorders>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300" w:type="dxa"/>
            <w:vAlign w:val="bottom"/>
            <w:tcBorders>
              <w:left w:val="single" w:sz="8" w:color="auto"/>
              <w:right w:val="single" w:sz="8" w:color="auto"/>
            </w:tcBorders>
          </w:tcPr>
          <w:p>
            <w:pPr>
              <w:spacing w:after="0"/>
              <w:rPr>
                <w:sz w:val="24"/>
                <w:szCs w:val="24"/>
                <w:color w:val="auto"/>
              </w:rPr>
            </w:pPr>
          </w:p>
        </w:tc>
        <w:tc>
          <w:tcPr>
            <w:tcW w:w="274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Site visit</w:t>
            </w:r>
          </w:p>
        </w:tc>
        <w:tc>
          <w:tcPr>
            <w:tcW w:w="6200" w:type="dxa"/>
            <w:vAlign w:val="bottom"/>
            <w:tcBorders>
              <w:right w:val="single" w:sz="8" w:color="auto"/>
            </w:tcBorders>
            <w:gridSpan w:val="3"/>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Others (Please describe in text)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5"/>
              </w:rPr>
              <w:t>Time</w:t>
            </w:r>
          </w:p>
        </w:tc>
        <w:tc>
          <w:tcPr>
            <w:tcW w:w="2740" w:type="dxa"/>
            <w:vAlign w:val="bottom"/>
          </w:tcPr>
          <w:p>
            <w:pPr>
              <w:ind w:left="120"/>
              <w:spacing w:after="0"/>
              <w:rPr>
                <w:sz w:val="20"/>
                <w:szCs w:val="20"/>
                <w:color w:val="auto"/>
              </w:rPr>
            </w:pPr>
            <w:r>
              <w:rPr>
                <w:rFonts w:ascii="Arial" w:cs="Arial" w:eastAsia="Arial" w:hAnsi="Arial"/>
                <w:sz w:val="18"/>
                <w:szCs w:val="18"/>
                <w:color w:val="auto"/>
              </w:rPr>
              <w:t>January 2022</w:t>
            </w:r>
          </w:p>
        </w:tc>
        <w:tc>
          <w:tcPr>
            <w:tcW w:w="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4"/>
              </w:rPr>
              <w:t>Place</w:t>
            </w:r>
          </w:p>
        </w:tc>
        <w:tc>
          <w:tcPr>
            <w:tcW w:w="2740" w:type="dxa"/>
            <w:vAlign w:val="bottom"/>
          </w:tcPr>
          <w:p>
            <w:pPr>
              <w:ind w:left="120"/>
              <w:spacing w:after="0"/>
              <w:rPr>
                <w:sz w:val="20"/>
                <w:szCs w:val="20"/>
                <w:color w:val="auto"/>
              </w:rPr>
            </w:pPr>
            <w:r>
              <w:rPr>
                <w:rFonts w:ascii="Arial" w:cs="Arial" w:eastAsia="Arial" w:hAnsi="Arial"/>
                <w:sz w:val="18"/>
                <w:szCs w:val="18"/>
                <w:color w:val="auto"/>
                <w:w w:val="89"/>
              </w:rPr>
              <w:t>Company, Online or Teleconference</w:t>
            </w:r>
          </w:p>
        </w:tc>
        <w:tc>
          <w:tcPr>
            <w:tcW w:w="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30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Receptionists</w:t>
            </w:r>
          </w:p>
        </w:tc>
        <w:tc>
          <w:tcPr>
            <w:tcW w:w="2740" w:type="dxa"/>
            <w:vAlign w:val="bottom"/>
          </w:tcPr>
          <w:p>
            <w:pPr>
              <w:ind w:left="80"/>
              <w:spacing w:after="0" w:line="198" w:lineRule="exact"/>
              <w:rPr>
                <w:sz w:val="20"/>
                <w:szCs w:val="20"/>
                <w:color w:val="auto"/>
              </w:rPr>
            </w:pPr>
            <w:r>
              <w:rPr>
                <w:rFonts w:ascii="Arial" w:cs="Arial" w:eastAsia="Arial" w:hAnsi="Arial"/>
                <w:sz w:val="18"/>
                <w:szCs w:val="18"/>
                <w:color w:val="auto"/>
              </w:rPr>
              <w:t>Chairman: HUI WANG</w:t>
            </w:r>
          </w:p>
        </w:tc>
        <w:tc>
          <w:tcPr>
            <w:tcW w:w="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of the listed</w:t>
            </w:r>
          </w:p>
        </w:tc>
        <w:tc>
          <w:tcPr>
            <w:tcW w:w="2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company</w:t>
            </w:r>
          </w:p>
        </w:tc>
        <w:tc>
          <w:tcPr>
            <w:tcW w:w="89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Director and General Manager: JIAN WANG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Borders>
              <w:left w:val="single" w:sz="8" w:color="auto"/>
              <w:right w:val="single" w:sz="8" w:color="auto"/>
            </w:tcBorders>
          </w:tcPr>
          <w:p>
            <w:pPr>
              <w:spacing w:after="0"/>
              <w:rPr>
                <w:sz w:val="24"/>
                <w:szCs w:val="24"/>
                <w:color w:val="auto"/>
              </w:rPr>
            </w:pPr>
          </w:p>
        </w:tc>
        <w:tc>
          <w:tcPr>
            <w:tcW w:w="89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Person in Charge of Financial Matters: LISA YI LU FENG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300" w:type="dxa"/>
            <w:vAlign w:val="bottom"/>
            <w:tcBorders>
              <w:left w:val="single" w:sz="8" w:color="auto"/>
              <w:bottom w:val="single" w:sz="8" w:color="auto"/>
              <w:right w:val="single" w:sz="8" w:color="auto"/>
            </w:tcBorders>
          </w:tcPr>
          <w:p>
            <w:pPr>
              <w:spacing w:after="0"/>
              <w:rPr>
                <w:sz w:val="24"/>
                <w:szCs w:val="24"/>
                <w:color w:val="auto"/>
              </w:rPr>
            </w:pPr>
          </w:p>
        </w:tc>
        <w:tc>
          <w:tcPr>
            <w:tcW w:w="2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Board Secretary: MINGZHU LUO</w:t>
            </w:r>
          </w:p>
        </w:tc>
        <w:tc>
          <w:tcPr>
            <w:tcW w:w="8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30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Introduction</w:t>
            </w:r>
          </w:p>
        </w:tc>
        <w:tc>
          <w:tcPr>
            <w:tcW w:w="274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I</w:t>
            </w:r>
            <w:r>
              <w:rPr>
                <w:rFonts w:ascii="MS PGothic" w:cs="MS PGothic" w:eastAsia="MS PGothic" w:hAnsi="MS PGothic"/>
                <w:sz w:val="18"/>
                <w:szCs w:val="18"/>
                <w:color w:val="auto"/>
              </w:rPr>
              <w:t>．</w:t>
            </w:r>
            <w:r>
              <w:rPr>
                <w:rFonts w:ascii="Arial" w:cs="Arial" w:eastAsia="Arial" w:hAnsi="Arial"/>
                <w:sz w:val="18"/>
                <w:szCs w:val="18"/>
                <w:b w:val="1"/>
                <w:bCs w:val="1"/>
                <w:color w:val="auto"/>
              </w:rPr>
              <w:t>Company Profile</w:t>
            </w:r>
          </w:p>
        </w:tc>
        <w:tc>
          <w:tcPr>
            <w:tcW w:w="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main</w:t>
            </w:r>
          </w:p>
        </w:tc>
        <w:tc>
          <w:tcPr>
            <w:tcW w:w="2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contents of</w:t>
            </w:r>
          </w:p>
        </w:tc>
        <w:tc>
          <w:tcPr>
            <w:tcW w:w="2740" w:type="dxa"/>
            <w:vAlign w:val="bottom"/>
          </w:tcPr>
          <w:p>
            <w:pPr>
              <w:ind w:left="40"/>
              <w:spacing w:after="0" w:line="207" w:lineRule="exact"/>
              <w:rPr>
                <w:sz w:val="20"/>
                <w:szCs w:val="20"/>
                <w:color w:val="auto"/>
              </w:rPr>
            </w:pPr>
            <w:r>
              <w:rPr>
                <w:rFonts w:ascii="Arial" w:cs="Arial" w:eastAsia="Arial" w:hAnsi="Arial"/>
                <w:sz w:val="18"/>
                <w:szCs w:val="18"/>
                <w:b w:val="1"/>
                <w:bCs w:val="1"/>
                <w:color w:val="auto"/>
              </w:rPr>
              <w:t>II</w:t>
            </w:r>
            <w:r>
              <w:rPr>
                <w:rFonts w:ascii="MS PGothic" w:cs="MS PGothic" w:eastAsia="MS PGothic" w:hAnsi="MS PGothic"/>
                <w:sz w:val="18"/>
                <w:szCs w:val="18"/>
                <w:color w:val="auto"/>
              </w:rPr>
              <w:t>．</w:t>
            </w:r>
            <w:r>
              <w:rPr>
                <w:rFonts w:ascii="Arial" w:cs="Arial" w:eastAsia="Arial" w:hAnsi="Arial"/>
                <w:sz w:val="18"/>
                <w:szCs w:val="18"/>
                <w:b w:val="1"/>
                <w:bCs w:val="1"/>
                <w:color w:val="auto"/>
              </w:rPr>
              <w:t>Q&amp;A</w:t>
            </w:r>
          </w:p>
        </w:tc>
        <w:tc>
          <w:tcPr>
            <w:tcW w:w="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investor</w:t>
            </w:r>
          </w:p>
        </w:tc>
        <w:tc>
          <w:tcPr>
            <w:tcW w:w="2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relation</w:t>
            </w:r>
          </w:p>
        </w:tc>
        <w:tc>
          <w:tcPr>
            <w:tcW w:w="89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3"/>
              </w:rPr>
              <w:t>1.  In terms of cleaning equipment, CO2 and IPA drying technologies can be launched this year. How much will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activity</w:t>
            </w:r>
          </w:p>
        </w:tc>
        <w:tc>
          <w:tcPr>
            <w:tcW w:w="8940" w:type="dxa"/>
            <w:vAlign w:val="bottom"/>
            <w:tcBorders>
              <w:right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the launch of these two technologies benefit us?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2300" w:type="dxa"/>
            <w:vAlign w:val="bottom"/>
            <w:tcBorders>
              <w:left w:val="single" w:sz="8" w:color="auto"/>
              <w:right w:val="single" w:sz="8" w:color="auto"/>
            </w:tcBorders>
          </w:tcPr>
          <w:p>
            <w:pPr>
              <w:spacing w:after="0"/>
              <w:rPr>
                <w:sz w:val="24"/>
                <w:szCs w:val="24"/>
                <w:color w:val="auto"/>
              </w:rPr>
            </w:pPr>
          </w:p>
        </w:tc>
        <w:tc>
          <w:tcPr>
            <w:tcW w:w="89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2"/>
              </w:rPr>
              <w:t xml:space="preserve">A: </w:t>
            </w:r>
            <w:r>
              <w:rPr>
                <w:rFonts w:ascii="Arial" w:cs="Arial" w:eastAsia="Arial" w:hAnsi="Arial"/>
                <w:sz w:val="18"/>
                <w:szCs w:val="18"/>
                <w:color w:val="auto"/>
                <w:w w:val="92"/>
              </w:rPr>
              <w:t>The current mainstream technology can only be used to dry, rather than completely clean the particles and pollution 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9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1"/>
              </w:rPr>
              <w:t>the 3D structure. We expect to combine both technologies of supercritical CO2 and advanced high-temperature IPA drying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9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3"/>
              </w:rPr>
              <w:t>with the TEBO megasonic nondestructive cleaning technology to the domestic and foreign markets for DRAM and logic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89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0"/>
              </w:rPr>
              <w:t>device applications, differentiate from the existing technologies in the market, and achieve cleaning and drying at the same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Borders>
              <w:left w:val="single" w:sz="8" w:color="auto"/>
              <w:right w:val="single" w:sz="8" w:color="auto"/>
            </w:tcBorders>
          </w:tcPr>
          <w:p>
            <w:pPr>
              <w:spacing w:after="0"/>
              <w:rPr>
                <w:sz w:val="20"/>
                <w:szCs w:val="20"/>
                <w:color w:val="auto"/>
              </w:rPr>
            </w:pPr>
          </w:p>
        </w:tc>
        <w:tc>
          <w:tcPr>
            <w:tcW w:w="89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time, so as to open the markets both at home and abroad.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300" w:type="dxa"/>
            <w:vAlign w:val="bottom"/>
            <w:tcBorders>
              <w:left w:val="single" w:sz="8" w:color="auto"/>
              <w:right w:val="single" w:sz="8" w:color="auto"/>
            </w:tcBorders>
          </w:tcPr>
          <w:p>
            <w:pPr>
              <w:spacing w:after="0"/>
              <w:rPr>
                <w:sz w:val="24"/>
                <w:szCs w:val="24"/>
                <w:color w:val="auto"/>
              </w:rPr>
            </w:pPr>
          </w:p>
        </w:tc>
        <w:tc>
          <w:tcPr>
            <w:tcW w:w="89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2"/>
              </w:rPr>
              <w:t>2.  The Company used to focus on wet process and began to layout dry process equipment in recent years. Can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tcPr>
          <w:p>
            <w:pPr>
              <w:spacing w:after="0"/>
              <w:rPr>
                <w:sz w:val="20"/>
                <w:szCs w:val="20"/>
                <w:color w:val="auto"/>
              </w:rPr>
            </w:pPr>
          </w:p>
        </w:tc>
        <w:tc>
          <w:tcPr>
            <w:tcW w:w="8940" w:type="dxa"/>
            <w:vAlign w:val="bottom"/>
            <w:tcBorders>
              <w:right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you introduce the course of layout?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300" w:type="dxa"/>
            <w:vAlign w:val="bottom"/>
            <w:tcBorders>
              <w:left w:val="single" w:sz="8" w:color="auto"/>
              <w:bottom w:val="single" w:sz="8" w:color="auto"/>
              <w:right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-2571750</wp:posOffset>
            </wp:positionV>
            <wp:extent cx="17145" cy="17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 cy="17780"/>
                    </a:xfrm>
                    <a:prstGeom prst="rect">
                      <a:avLst/>
                    </a:prstGeom>
                    <a:noFill/>
                  </pic:spPr>
                </pic:pic>
              </a:graphicData>
            </a:graphic>
          </wp:anchor>
        </w:drawing>
        <w:drawing>
          <wp:anchor simplePos="0" relativeHeight="251657728" behindDoc="1" locked="0" layoutInCell="0" allowOverlap="1">
            <wp:simplePos x="0" y="0"/>
            <wp:positionH relativeFrom="column">
              <wp:posOffset>1628140</wp:posOffset>
            </wp:positionH>
            <wp:positionV relativeFrom="paragraph">
              <wp:posOffset>-2280285</wp:posOffset>
            </wp:positionV>
            <wp:extent cx="17145" cy="17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jc w:val="both"/>
        <w:ind w:left="1220" w:hanging="10"/>
        <w:spacing w:after="0" w:line="293" w:lineRule="auto"/>
        <w:tabs>
          <w:tab w:leader="none" w:pos="1468"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4320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20540"/>
                    </a:xfrm>
                    <a:prstGeom prst="rect">
                      <a:avLst/>
                    </a:prstGeom>
                    <a:noFill/>
                  </pic:spPr>
                </pic:pic>
              </a:graphicData>
            </a:graphic>
          </wp:anchor>
        </w:drawing>
        <w:t>We have begun the layout of furnace tube equipment since several years ago. The dry process equipment was jointly developed by our Shanghai and South Korea teams. With years of technical accumulation in cleaning equipment, we are able to strictly meet the stability of software and hardware systems which are highly required for dry process and wet process equipment. The layout of LPCVD (silicon oxide, silicon nitride, doped polysilicon and undoped polysilicon), high vacuum tempering and high temperature oxidation furnace was basically completed last year. Whilst some of the above equipment are in the production verification, some have passed the verification at the client.</w:t>
      </w:r>
    </w:p>
    <w:p>
      <w:pPr>
        <w:spacing w:after="0" w:line="160" w:lineRule="exact"/>
        <w:rPr>
          <w:sz w:val="20"/>
          <w:szCs w:val="20"/>
          <w:color w:val="auto"/>
        </w:rPr>
      </w:pPr>
    </w:p>
    <w:p>
      <w:pPr>
        <w:ind w:left="1540" w:hanging="330"/>
        <w:spacing w:after="0"/>
        <w:tabs>
          <w:tab w:leader="none" w:pos="1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approximate cycle from shipment to revenue recognition?</w:t>
      </w:r>
    </w:p>
    <w:p>
      <w:pPr>
        <w:spacing w:after="0" w:line="27" w:lineRule="exact"/>
        <w:rPr>
          <w:sz w:val="20"/>
          <w:szCs w:val="20"/>
          <w:color w:val="auto"/>
        </w:rPr>
      </w:pPr>
    </w:p>
    <w:p>
      <w:pPr>
        <w:ind w:left="1220" w:right="20" w:hanging="10"/>
        <w:spacing w:after="0" w:line="290" w:lineRule="auto"/>
        <w:tabs>
          <w:tab w:leader="none" w:pos="1458"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It takes 1 to 2 years for new equipment to be validated, and usually takes 8 to 12 months for mature equipment to enter a new client. The sale of equipment with repeated orders can be recognized in 2 to 3 months.</w:t>
      </w:r>
    </w:p>
    <w:p>
      <w:pPr>
        <w:spacing w:after="0" w:line="157" w:lineRule="exact"/>
        <w:rPr>
          <w:sz w:val="20"/>
          <w:szCs w:val="20"/>
          <w:color w:val="auto"/>
        </w:rPr>
      </w:pPr>
    </w:p>
    <w:p>
      <w:pPr>
        <w:ind w:left="1540" w:right="260" w:hanging="330"/>
        <w:spacing w:after="0" w:line="261" w:lineRule="auto"/>
        <w:tabs>
          <w:tab w:leader="none" w:pos="1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gross profit margin level in the first three quarters of 2021? How about advanced packaging wet equipment?</w:t>
      </w:r>
    </w:p>
    <w:p>
      <w:pPr>
        <w:jc w:val="both"/>
        <w:ind w:left="1220" w:hanging="10"/>
        <w:spacing w:after="0" w:line="253" w:lineRule="auto"/>
        <w:tabs>
          <w:tab w:leader="none" w:pos="1468"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overall gross profit margin in the first three quarters is basically the same as that from January to June 2021, ranging from 40% to 45%. The gross profit margin of advanced packaging wet equipment depends on the products, with different products having different gross profit margin. In the future, we expect to increase the R&amp;D investment in products with high gross margin and reduce the cost of products with low gross margin, at the aim of keeping the overall gross margin between 40% and 45%.</w:t>
      </w:r>
    </w:p>
    <w:p>
      <w:pPr>
        <w:spacing w:after="0" w:line="187" w:lineRule="exact"/>
        <w:rPr>
          <w:sz w:val="20"/>
          <w:szCs w:val="20"/>
          <w:color w:val="auto"/>
        </w:rPr>
      </w:pPr>
    </w:p>
    <w:p>
      <w:pPr>
        <w:ind w:left="1540" w:right="100" w:hanging="330"/>
        <w:spacing w:after="0" w:line="261" w:lineRule="auto"/>
        <w:tabs>
          <w:tab w:leader="none" w:pos="1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do you think about the Company’s R&amp;D investment? Why can the Company launch new products while the R&amp;D expenses accounting for a relatively low proportion?</w:t>
      </w:r>
    </w:p>
    <w:p>
      <w:pPr>
        <w:jc w:val="both"/>
        <w:ind w:left="1220" w:hanging="10"/>
        <w:spacing w:after="0" w:line="253" w:lineRule="auto"/>
        <w:tabs>
          <w:tab w:leader="none" w:pos="148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have been focusing on differentiated product development. When developing new products, we target market demand of at least two generations, which can help us save some unnecessary intermediate iterative investment. Meanwhile, owing to our high-efficient R&amp;D team, we have a short cycle from a R&amp;D prototype to a model for mass production, by which our R&amp;D costs can also be saved.</w:t>
      </w:r>
    </w:p>
    <w:p>
      <w:pPr>
        <w:spacing w:after="0" w:line="189" w:lineRule="exact"/>
        <w:rPr>
          <w:sz w:val="20"/>
          <w:szCs w:val="20"/>
          <w:color w:val="auto"/>
        </w:rPr>
      </w:pPr>
    </w:p>
    <w:p>
      <w:pPr>
        <w:ind w:left="1540" w:hanging="330"/>
        <w:spacing w:after="0"/>
        <w:tabs>
          <w:tab w:leader="none" w:pos="1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impact of the listing of the Company on the STAR Market on the Company?</w:t>
      </w:r>
    </w:p>
    <w:p>
      <w:pPr>
        <w:spacing w:after="0" w:line="27" w:lineRule="exact"/>
        <w:rPr>
          <w:sz w:val="20"/>
          <w:szCs w:val="20"/>
          <w:color w:val="auto"/>
        </w:rPr>
      </w:pPr>
    </w:p>
    <w:p>
      <w:pPr>
        <w:jc w:val="both"/>
        <w:ind w:left="1220" w:right="20" w:hanging="10"/>
        <w:spacing w:after="0" w:line="302" w:lineRule="auto"/>
        <w:tabs>
          <w:tab w:leader="none" w:pos="1468"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While investing in capacity expansion, we will accelerate the development of new products to lay a foundation for medium and long-term development after raising funds from the listing on the STAR Market. In the future, we will continue to promote the platform-based construction and work to speed up the development of international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253365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87" w:right="359" w:bottom="1440" w:gutter="0" w:footer="0" w:header="0"/>
        </w:sectPr>
      </w:pPr>
    </w:p>
    <w:bookmarkStart w:id="5" w:name="page6"/>
    <w:bookmarkEnd w:id="5"/>
    <w:p>
      <w:pPr>
        <w:ind w:left="1840" w:hanging="711"/>
        <w:spacing w:after="0"/>
        <w:tabs>
          <w:tab w:leader="none" w:pos="1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3909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909060"/>
                    </a:xfrm>
                    <a:prstGeom prst="rect">
                      <a:avLst/>
                    </a:prstGeom>
                    <a:noFill/>
                  </pic:spPr>
                </pic:pic>
              </a:graphicData>
            </a:graphic>
          </wp:anchor>
        </w:drawing>
        <w:t>Can electroplating equipment form synergy with cleaning equipment?</w:t>
      </w:r>
    </w:p>
    <w:p>
      <w:pPr>
        <w:spacing w:after="0" w:line="27" w:lineRule="exact"/>
        <w:rPr>
          <w:sz w:val="20"/>
          <w:szCs w:val="20"/>
          <w:color w:val="auto"/>
        </w:rPr>
      </w:pPr>
    </w:p>
    <w:p>
      <w:pPr>
        <w:jc w:val="both"/>
        <w:ind w:left="1120" w:firstLine="9"/>
        <w:spacing w:after="0" w:line="253" w:lineRule="auto"/>
        <w:tabs>
          <w:tab w:leader="none" w:pos="135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 the Chinese market, the sales of electroplating equipment are mainly driven by the sales of cleaning equipment after the latter is recognized by customers. In the international market, where there are many manufacturers engaged in the production of cleaning equipment and few manufacturers producing electroplating equipment (front-end), our electroplating equipment is also very attractive and we are aiming to expand customers through both the electroplating equipment and cleaning equipment at the same time.</w:t>
      </w:r>
    </w:p>
    <w:p>
      <w:pPr>
        <w:spacing w:after="0" w:line="187" w:lineRule="exact"/>
        <w:rPr>
          <w:sz w:val="20"/>
          <w:szCs w:val="20"/>
          <w:color w:val="auto"/>
        </w:rPr>
      </w:pPr>
    </w:p>
    <w:p>
      <w:pPr>
        <w:ind w:left="1840" w:right="960" w:hanging="711"/>
        <w:spacing w:after="0" w:line="261" w:lineRule="auto"/>
        <w:tabs>
          <w:tab w:leader="none" w:pos="18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Can you further share the Company’s platform-based strategy and R&amp;D trend? How about the comparison with international leading companies?</w:t>
      </w:r>
    </w:p>
    <w:p>
      <w:pPr>
        <w:jc w:val="both"/>
        <w:ind w:left="1120" w:firstLine="9"/>
        <w:spacing w:after="0" w:line="253" w:lineRule="auto"/>
        <w:tabs>
          <w:tab w:leader="none" w:pos="1382"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We have considered the platform-based strategy for quite a long time. Currently, our main platform-based products include: cleaning equipment, copper plating equipment, furnace tubes, advanced packaging wet equipment series and two new types of equipment under development. When developing new products, we have always focused on differentiation in order to explore and capture the market. Lam, an international manufacturer, has been well done as to the platform, setting a good example for us.</w:t>
      </w:r>
    </w:p>
    <w:p>
      <w:pPr>
        <w:spacing w:after="0" w:line="187" w:lineRule="exact"/>
        <w:rPr>
          <w:sz w:val="20"/>
          <w:szCs w:val="20"/>
          <w:color w:val="auto"/>
        </w:rPr>
      </w:pPr>
    </w:p>
    <w:p>
      <w:pPr>
        <w:ind w:left="1840" w:hanging="711"/>
        <w:spacing w:after="0" w:line="276" w:lineRule="auto"/>
        <w:tabs>
          <w:tab w:leader="none" w:pos="18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Could you respectively describe the advantages of differentiation and price, etc., of the Company having the cleaning equipment, copper plating equipment and furnace tubes as the main products?</w:t>
      </w:r>
    </w:p>
    <w:p>
      <w:pPr>
        <w:spacing w:after="0" w:line="1" w:lineRule="exact"/>
        <w:rPr>
          <w:sz w:val="20"/>
          <w:szCs w:val="20"/>
          <w:color w:val="auto"/>
        </w:rPr>
      </w:pPr>
    </w:p>
    <w:p>
      <w:pPr>
        <w:jc w:val="both"/>
        <w:ind w:left="1120" w:firstLine="9"/>
        <w:spacing w:after="0" w:line="271" w:lineRule="auto"/>
        <w:tabs>
          <w:tab w:leader="none" w:pos="1362"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The primary advantages lie in technologies. As to cleaning equipment, we have some products that are the same as and some that are different from those at home and abroad. Meanwhile, our hardware and software can be modified according to the needs of customers. Our R&amp;D team has great advantages over foreign manufacturers in terms of service and technical exchange, with strong product reliability. We take technology and service as the competitive basis, and the prices of our main products are basically consistent with the mainstream prices in the market.</w:t>
      </w:r>
    </w:p>
    <w:p>
      <w:pPr>
        <w:spacing w:after="0" w:line="174" w:lineRule="exact"/>
        <w:rPr>
          <w:sz w:val="20"/>
          <w:szCs w:val="20"/>
          <w:color w:val="auto"/>
        </w:rPr>
      </w:pPr>
    </w:p>
    <w:p>
      <w:pPr>
        <w:ind w:left="1840" w:hanging="711"/>
        <w:spacing w:after="0"/>
        <w:tabs>
          <w:tab w:leader="none" w:pos="18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about the development of international customers?</w:t>
      </w:r>
    </w:p>
    <w:p>
      <w:pPr>
        <w:spacing w:after="0" w:line="27" w:lineRule="exact"/>
        <w:rPr>
          <w:sz w:val="20"/>
          <w:szCs w:val="20"/>
          <w:color w:val="auto"/>
        </w:rPr>
      </w:pPr>
    </w:p>
    <w:p>
      <w:pPr>
        <w:jc w:val="both"/>
        <w:ind w:left="1120" w:firstLine="9"/>
        <w:spacing w:after="0" w:line="302" w:lineRule="auto"/>
        <w:tabs>
          <w:tab w:leader="none" w:pos="1357"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Two of our equipment have been purchased by the first-tier semiconductor enterprise in the US. Taking this opportunity, we will develop the market in Taiwan (China), Singapore, South Korea and Europe, among others. Last year, we received several orders from customers outside Mainland China. This year, we hope to get more orders from international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253365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83"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Encl.: List of Participants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Bin Yuan Capital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FranchiseCapital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Court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LyGHCapital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Parantoux Capital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Toroa Management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Baijia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AEON INSURANCE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Beijing Caiyu Asset Management Enterprise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Beijing Win Integrity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Chengyang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Hongcheng Capital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SunCapital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StarRock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Sunshine Tianhong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BODAO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Boshi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Boyuan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Chenyan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Chuangjin Hexin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Dacheng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Dajia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Northeast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Oriental Alpha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Orient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Soochow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Soochow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East Asia Qianhai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Fengyan Investment Management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Fuanda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Perseverance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ICBC Credit Suisse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Pramerica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Guangdong Jinyu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GF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GF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Guangzhou Xiangyuan Private Equity Securities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Partnership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SINOLINK SECURITIES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China Life Insurance Security Fund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China Life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HFT Fund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Hainan Tuopu Private Equity Fund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Tenbagger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Hangzhou BoLiErXiang Asset Management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Hangzhou Oriental Jiafu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EVERGRANDE LIFE ASSURANCE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Ariose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Sinosafe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Hwabao WP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Jintrust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Amundi BOC Wealth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Huisheng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Chaos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Harvest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CCB Principal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Jianxin Fiduciary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CCB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Golden Eagle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Partners Goldstate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Great Wall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 Tower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Nine Thai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Minsheng Royal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DIB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DIB Asset Management (Zhuhai)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ABC Financial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Lion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Panjing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Panhou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Ping 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AXA SPDB INVESTMENT MANAGERS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Qianhai Alliance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Picc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Asset Management (Shanghai)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Ruiyuan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SHANXI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HAITONG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HeXi Youfang Investing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Shanghai Greenwoods Asset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Juming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Kandao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Linfu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Ningquan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Tai Yang Asset Management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Shanghai Xihong Private Fund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Shanghai Silver Leaf Investment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Shanghai Chongyang Investment Management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Shenwan Hongyuan Securities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Shenzhen Qianhai Leifu Asset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Shenzhen Rongxin Yingtong Asset Management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Shenzhen Fushengde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Taishi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Wangzheng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Schroeder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Tenbagger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Taiping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Taikang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Tianchong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Tianhong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Nature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Wanjia Asset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Western Leadbank Fund Management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Western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Xiniu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China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Xinhua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Xincheng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State Cinda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Aegon-industrial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Bank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CIB Wealth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Sunshine Asset Management Corporation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Galaxy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Yinhua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AIA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WINFOR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Longrising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Yuance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Great Wall 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Changjian Investment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Changjiang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Changsheng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Changsheng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Zheshang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Capital Corporation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Asset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Zhonghai Fund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Bank of Beijing Scotiabank Asset Management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CICC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CICC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 Richland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 Ou Asset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Zhongrong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ZHONGTAI SECURITIES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CITIC-PRUDENTIAL Fund Management Company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CHINA SECURITIES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CHINA SECURITIES Asset Management Department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GENERALI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China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Post &amp; Capital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Chongqing Derui Hengfeng Asset Management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Chongyang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10" w:name="page11"/>
    <w:bookmarkEnd w:id="10"/>
    <w:p>
      <w:pPr>
        <w:jc w:val="center"/>
        <w:spacing w:after="0"/>
        <w:tabs>
          <w:tab w:leader="none" w:pos="200" w:val="left"/>
          <w:tab w:leader="none" w:pos="220" w:val="left"/>
        </w:tabs>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w:t>
        <w:tab/>
        <w:t>*</w:t>
        <w:tab/>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information is provided in connection with the furnishing of the above Record of January 2022 Investor Relation Activity of ACM Research (Shanghai), Inc. (the “Record”) pursuant to the Current Report on Form 8-K reporting requirements of ACM Research,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TEBO is a trademark of ACM Research, Inc. For convenience, this trademark appears in the Record without ™ symbols, but that practice does not mean that ACM Research, Inc. will not assert, to the fullest extent under applicable law, its rights to the trademark.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ACMS’s failure to successfully manage its operations, including its inability to hire, train, integrate and manage additional qualified engineers for research and development activities; and trade regulations, currency fluctuations, political instability and war may materially adversely affect ACMSH due to its substantial non-U.S. customer and supplier base and its substantial non-U.S. manufacturing operations.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
      <w:numFmt w:val="bullet"/>
      <w:start w:val="1"/>
    </w:lvl>
    <w:lvl w:ilvl="1">
      <w:lvlJc w:val="left"/>
      <w:lvlText w:val="%2"/>
      <w:numFmt w:val="decimal"/>
      <w:start w:val="104"/>
    </w:lvl>
  </w:abstractNum>
  <w:abstractNum w:abstractNumId="3">
    <w:nsid w:val="66EF438D"/>
    <w:multiLevelType w:val="hybridMultilevel"/>
    <w:lvl w:ilvl="0">
      <w:lvlJc w:val="left"/>
      <w:lvlText w:val="%1:"/>
      <w:numFmt w:val="upperLetter"/>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upperLetter"/>
      <w:start w:val="1"/>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upperLetter"/>
      <w:start w:val="1"/>
    </w:lvl>
  </w:abstractNum>
  <w:abstractNum w:abstractNumId="8">
    <w:nsid w:val="7FDCC233"/>
    <w:multiLevelType w:val="hybridMultilevel"/>
    <w:lvl w:ilvl="0">
      <w:lvlJc w:val="left"/>
      <w:lvlText w:val="%1."/>
      <w:numFmt w:val="decimal"/>
      <w:start w:val="5"/>
    </w:lvl>
  </w:abstractNum>
  <w:abstractNum w:abstractNumId="9">
    <w:nsid w:val="1BEFD79F"/>
    <w:multiLevelType w:val="hybridMultilevel"/>
    <w:lvl w:ilvl="0">
      <w:lvlJc w:val="left"/>
      <w:lvlText w:val="%1:"/>
      <w:numFmt w:val="upperLetter"/>
      <w:start w:val="1"/>
    </w:lvl>
  </w:abstractNum>
  <w:abstractNum w:abstractNumId="10">
    <w:nsid w:val="41A7C4C9"/>
    <w:multiLevelType w:val="hybridMultilevel"/>
    <w:lvl w:ilvl="0">
      <w:lvlJc w:val="left"/>
      <w:lvlText w:val="%1."/>
      <w:numFmt w:val="decimal"/>
      <w:start w:val="6"/>
    </w:lvl>
  </w:abstractNum>
  <w:abstractNum w:abstractNumId="11">
    <w:nsid w:val="6B68079A"/>
    <w:multiLevelType w:val="hybridMultilevel"/>
    <w:lvl w:ilvl="0">
      <w:lvlJc w:val="left"/>
      <w:lvlText w:val="%1:"/>
      <w:numFmt w:val="upperLetter"/>
      <w:start w:val="1"/>
    </w:lvl>
  </w:abstractNum>
  <w:abstractNum w:abstractNumId="12">
    <w:nsid w:val="4E6AFB66"/>
    <w:multiLevelType w:val="hybridMultilevel"/>
    <w:lvl w:ilvl="0">
      <w:lvlJc w:val="left"/>
      <w:lvlText w:val="%1."/>
      <w:numFmt w:val="decimal"/>
      <w:start w:val="7"/>
    </w:lvl>
  </w:abstractNum>
  <w:abstractNum w:abstractNumId="13">
    <w:nsid w:val="25E45D32"/>
    <w:multiLevelType w:val="hybridMultilevel"/>
    <w:lvl w:ilvl="0">
      <w:lvlJc w:val="left"/>
      <w:lvlText w:val="%1:"/>
      <w:numFmt w:val="upperLetter"/>
      <w:start w:val="1"/>
    </w:lvl>
  </w:abstractNum>
  <w:abstractNum w:abstractNumId="14">
    <w:nsid w:val="519B500D"/>
    <w:multiLevelType w:val="hybridMultilevel"/>
    <w:lvl w:ilvl="0">
      <w:lvlJc w:val="left"/>
      <w:lvlText w:val="%1."/>
      <w:numFmt w:val="decimal"/>
      <w:start w:val="8"/>
    </w:lvl>
  </w:abstractNum>
  <w:abstractNum w:abstractNumId="15">
    <w:nsid w:val="431BD7B7"/>
    <w:multiLevelType w:val="hybridMultilevel"/>
    <w:lvl w:ilvl="0">
      <w:lvlJc w:val="left"/>
      <w:lvlText w:val="%1:"/>
      <w:numFmt w:val="upperLetter"/>
      <w:start w:val="1"/>
    </w:lvl>
  </w:abstractNum>
  <w:abstractNum w:abstractNumId="16">
    <w:nsid w:val="3F2DBA31"/>
    <w:multiLevelType w:val="hybridMultilevel"/>
    <w:lvl w:ilvl="0">
      <w:lvlJc w:val="left"/>
      <w:lvlText w:val="%1."/>
      <w:numFmt w:val="decimal"/>
      <w:start w:val="9"/>
    </w:lvl>
  </w:abstractNum>
  <w:abstractNum w:abstractNumId="17">
    <w:nsid w:val="7C83E458"/>
    <w:multiLevelType w:val="hybridMultilevel"/>
    <w:lvl w:ilvl="0">
      <w:lvlJc w:val="left"/>
      <w:lvlText w:val="%1:"/>
      <w:numFmt w:val="upperLetter"/>
      <w:start w:val="1"/>
    </w:lvl>
  </w:abstractNum>
  <w:abstractNum w:abstractNumId="18">
    <w:nsid w:val="257130A3"/>
    <w:multiLevelType w:val="hybridMultilevel"/>
    <w:lvl w:ilvl="0">
      <w:lvlJc w:val="left"/>
      <w:lvlText w:val="%1."/>
      <w:numFmt w:val="decimal"/>
      <w:start w:val="10"/>
    </w:lvl>
  </w:abstractNum>
  <w:abstractNum w:abstractNumId="19">
    <w:nsid w:val="62BBD95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2022-02-15T15:40:03Z</dcterms:created>
  <dcterms:modified xsi:type="dcterms:W3CDTF">2022-02-15T15:40:03Z</dcterms:modified>
</cp:coreProperties>
</file>