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Chen Fuping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1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ACMR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2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12/27/2026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-3265805</wp:posOffset>
            </wp:positionV>
            <wp:extent cx="7033895" cy="3308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30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12, 2021, the reporting person exercised a previously issued stock option to purchase 30,000 shares of Class A Common Stock of the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Rule 10b5-1 trading plan adopted by the reporting person.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Vice President, Sales-China of ACM Research (Shanghai), Inc., a subsidiary of the Issuer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Mark L. Johnson,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3188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Fuping Chen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0318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9184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2021-02-16T17:02:06Z</dcterms:created>
  <dcterms:modified xsi:type="dcterms:W3CDTF">2021-02-16T17:02:06Z</dcterms:modified>
</cp:coreProperties>
</file>