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140"/>
        <w:spacing w:after="0" w:line="250"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Shanghai Science &amp; Technology Venture</w:t>
        </w:r>
      </w:hyperlink>
      <w:r>
        <w:rPr>
          <w:rFonts w:ascii="Times New Roman" w:cs="Times New Roman" w:eastAsia="Times New Roman" w:hAnsi="Times New Roman"/>
          <w:sz w:val="21"/>
          <w:szCs w:val="21"/>
          <w:u w:val="single" w:color="auto"/>
          <w:color w:val="0000EE"/>
        </w:rPr>
        <w:t xml:space="preserve"> </w:t>
      </w:r>
      <w:hyperlink r:id="rId13">
        <w:r>
          <w:rPr>
            <w:rFonts w:ascii="Times New Roman" w:cs="Times New Roman" w:eastAsia="Times New Roman" w:hAnsi="Times New Roman"/>
            <w:sz w:val="21"/>
            <w:szCs w:val="21"/>
            <w:u w:val="single" w:color="auto"/>
            <w:color w:val="0000EE"/>
          </w:rPr>
          <w:t>Capital (Group) Co., Ltd.</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right="260"/>
        <w:spacing w:after="0" w:line="365" w:lineRule="auto"/>
        <w:rPr>
          <w:sz w:val="20"/>
          <w:szCs w:val="20"/>
          <w:color w:val="auto"/>
        </w:rPr>
      </w:pPr>
      <w:r>
        <w:rPr>
          <w:rFonts w:ascii="Times New Roman" w:cs="Times New Roman" w:eastAsia="Times New Roman" w:hAnsi="Times New Roman"/>
          <w:sz w:val="17"/>
          <w:szCs w:val="17"/>
          <w:color w:val="0000FF"/>
        </w:rPr>
        <w:t>BOHUA PLAZA, 39TH FLOOR 669, XINZHA JING'AN DISTRICT</w:t>
      </w: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SHANGHAI</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F4</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200041</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ACM Research,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ACMR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0" w:type="dxa"/>
            <w:vAlign w:val="bottom"/>
            <w:gridSpan w:val="2"/>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33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Possible member of 10% group</w:t>
            </w:r>
          </w:p>
        </w:tc>
        <w:tc>
          <w:tcPr>
            <w:tcW w:w="0" w:type="dxa"/>
            <w:vAlign w:val="bottom"/>
          </w:tcPr>
          <w:p>
            <w:pPr>
              <w:spacing w:after="0"/>
              <w:rPr>
                <w:sz w:val="1"/>
                <w:szCs w:val="1"/>
                <w:color w:val="auto"/>
              </w:rPr>
            </w:pPr>
          </w:p>
        </w:tc>
      </w:tr>
      <w:tr>
        <w:trPr>
          <w:trHeight w:val="146"/>
        </w:trPr>
        <w:tc>
          <w:tcPr>
            <w:tcW w:w="18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10/04/2024</w:t>
            </w:r>
          </w:p>
        </w:tc>
        <w:tc>
          <w:tcPr>
            <w:tcW w:w="2000" w:type="dxa"/>
            <w:vAlign w:val="bottom"/>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1820" w:type="dxa"/>
            <w:vAlign w:val="bottom"/>
            <w:gridSpan w:val="3"/>
            <w:vMerge w:val="continue"/>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4"/>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2"/>
                <w:szCs w:val="12"/>
                <w:color w:val="auto"/>
              </w:rPr>
            </w:pP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2"/>
                <w:szCs w:val="12"/>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gridSpan w:val="2"/>
          </w:tcPr>
          <w:p>
            <w:pPr>
              <w:jc w:val="center"/>
              <w:ind w:left="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4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500" w:type="dxa"/>
            <w:vAlign w:val="bottom"/>
          </w:tcPr>
          <w:p>
            <w:pPr>
              <w:spacing w:after="0"/>
              <w:rPr>
                <w:sz w:val="13"/>
                <w:szCs w:val="13"/>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340" w:type="dxa"/>
            <w:vAlign w:val="bottom"/>
            <w:tcBorders>
              <w:top w:val="single" w:sz="8" w:color="2C2C2C"/>
            </w:tcBorders>
            <w:gridSpan w:val="3"/>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tcBorders>
              <w:top w:val="single" w:sz="8" w:color="2C2C2C"/>
            </w:tcBorders>
          </w:tcPr>
          <w:p>
            <w:pPr>
              <w:spacing w:after="0"/>
              <w:rPr>
                <w:sz w:val="7"/>
                <w:szCs w:val="7"/>
                <w:color w:val="auto"/>
              </w:rPr>
            </w:pPr>
          </w:p>
        </w:tc>
        <w:tc>
          <w:tcPr>
            <w:tcW w:w="6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4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 $0.0001 par</w:t>
            </w:r>
          </w:p>
        </w:tc>
        <w:tc>
          <w:tcPr>
            <w:tcW w:w="1080" w:type="dxa"/>
            <w:vAlign w:val="bottom"/>
            <w:vMerge w:val="restart"/>
          </w:tcPr>
          <w:p>
            <w:pPr>
              <w:jc w:val="center"/>
              <w:ind w:left="127"/>
              <w:spacing w:after="0"/>
              <w:rPr>
                <w:sz w:val="20"/>
                <w:szCs w:val="20"/>
                <w:color w:val="auto"/>
              </w:rPr>
            </w:pPr>
            <w:r>
              <w:rPr>
                <w:rFonts w:ascii="Times New Roman" w:cs="Times New Roman" w:eastAsia="Times New Roman" w:hAnsi="Times New Roman"/>
                <w:sz w:val="17"/>
                <w:szCs w:val="17"/>
                <w:color w:val="0000FF"/>
              </w:rPr>
              <w:t>10/04/2024</w:t>
            </w: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570,735</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gridSpan w:val="2"/>
            <w:vMerge w:val="restart"/>
          </w:tcPr>
          <w:p>
            <w:pPr>
              <w:jc w:val="center"/>
              <w:ind w:left="113"/>
              <w:spacing w:after="0"/>
              <w:rPr>
                <w:sz w:val="20"/>
                <w:szCs w:val="20"/>
                <w:color w:val="auto"/>
              </w:rPr>
            </w:pPr>
            <w:r>
              <w:rPr>
                <w:rFonts w:ascii="Arial" w:cs="Arial" w:eastAsia="Arial" w:hAnsi="Arial"/>
                <w:sz w:val="34"/>
                <w:szCs w:val="34"/>
                <w:color w:val="000000"/>
                <w:w w:val="82"/>
                <w:vertAlign w:val="subscript"/>
              </w:rPr>
              <w:t>$</w:t>
            </w:r>
            <w:r>
              <w:rPr>
                <w:rFonts w:ascii="Times New Roman" w:cs="Times New Roman" w:eastAsia="Times New Roman" w:hAnsi="Times New Roman"/>
                <w:sz w:val="34"/>
                <w:szCs w:val="34"/>
                <w:color w:val="0000FF"/>
                <w:w w:val="82"/>
                <w:vertAlign w:val="subscript"/>
              </w:rPr>
              <w:t>21.52</w:t>
            </w:r>
            <w:r>
              <w:rPr>
                <w:rFonts w:ascii="Times New Roman" w:cs="Times New Roman" w:eastAsia="Times New Roman" w:hAnsi="Times New Roman"/>
                <w:sz w:val="11"/>
                <w:szCs w:val="11"/>
                <w:color w:val="008000"/>
                <w:w w:val="82"/>
              </w:rPr>
              <w:t>(1)(2)</w:t>
            </w:r>
          </w:p>
        </w:tc>
        <w:tc>
          <w:tcPr>
            <w:tcW w:w="12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0000FF"/>
              </w:rPr>
              <w:t>2,833,171</w:t>
            </w:r>
          </w:p>
        </w:tc>
        <w:tc>
          <w:tcPr>
            <w:tcW w:w="340" w:type="dxa"/>
            <w:vAlign w:val="bottom"/>
          </w:tcPr>
          <w:p>
            <w:pPr>
              <w:spacing w:after="0"/>
              <w:rPr>
                <w:sz w:val="21"/>
                <w:szCs w:val="21"/>
                <w:color w:val="auto"/>
              </w:rPr>
            </w:pPr>
          </w:p>
        </w:tc>
        <w:tc>
          <w:tcPr>
            <w:tcW w:w="540" w:type="dxa"/>
            <w:vAlign w:val="bottom"/>
            <w:vMerge w:val="restart"/>
          </w:tcPr>
          <w:p>
            <w:pPr>
              <w:jc w:val="center"/>
              <w:ind w:right="326"/>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value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 $0.0001 par</w:t>
            </w:r>
          </w:p>
        </w:tc>
        <w:tc>
          <w:tcPr>
            <w:tcW w:w="1080" w:type="dxa"/>
            <w:vAlign w:val="bottom"/>
            <w:vMerge w:val="restart"/>
          </w:tcPr>
          <w:p>
            <w:pPr>
              <w:jc w:val="center"/>
              <w:ind w:left="127"/>
              <w:spacing w:after="0"/>
              <w:rPr>
                <w:sz w:val="20"/>
                <w:szCs w:val="20"/>
                <w:color w:val="auto"/>
              </w:rPr>
            </w:pPr>
            <w:r>
              <w:rPr>
                <w:rFonts w:ascii="Times New Roman" w:cs="Times New Roman" w:eastAsia="Times New Roman" w:hAnsi="Times New Roman"/>
                <w:sz w:val="17"/>
                <w:szCs w:val="17"/>
                <w:color w:val="0000FF"/>
              </w:rPr>
              <w:t>10/04/2024</w:t>
            </w: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129,265</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vMerge w:val="restart"/>
          </w:tcPr>
          <w:p>
            <w:pPr>
              <w:jc w:val="center"/>
              <w:ind w:left="193"/>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20.94</w:t>
            </w:r>
            <w:r>
              <w:rPr>
                <w:rFonts w:ascii="Times New Roman" w:cs="Times New Roman" w:eastAsia="Times New Roman" w:hAnsi="Times New Roman"/>
                <w:sz w:val="22"/>
                <w:szCs w:val="22"/>
                <w:color w:val="008000"/>
                <w:w w:val="95"/>
                <w:vertAlign w:val="superscript"/>
              </w:rPr>
              <w:t>(3)</w:t>
            </w:r>
          </w:p>
        </w:tc>
        <w:tc>
          <w:tcPr>
            <w:tcW w:w="80" w:type="dxa"/>
            <w:vAlign w:val="bottom"/>
          </w:tcPr>
          <w:p>
            <w:pPr>
              <w:spacing w:after="0"/>
              <w:rPr>
                <w:sz w:val="21"/>
                <w:szCs w:val="21"/>
                <w:color w:val="auto"/>
              </w:rPr>
            </w:pPr>
          </w:p>
        </w:tc>
        <w:tc>
          <w:tcPr>
            <w:tcW w:w="12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0000FF"/>
              </w:rPr>
              <w:t>2,703,906</w:t>
            </w:r>
          </w:p>
        </w:tc>
        <w:tc>
          <w:tcPr>
            <w:tcW w:w="340" w:type="dxa"/>
            <w:vAlign w:val="bottom"/>
          </w:tcPr>
          <w:p>
            <w:pPr>
              <w:spacing w:after="0"/>
              <w:rPr>
                <w:sz w:val="21"/>
                <w:szCs w:val="21"/>
                <w:color w:val="auto"/>
              </w:rPr>
            </w:pPr>
          </w:p>
        </w:tc>
        <w:tc>
          <w:tcPr>
            <w:tcW w:w="540" w:type="dxa"/>
            <w:vAlign w:val="bottom"/>
            <w:vMerge w:val="restart"/>
          </w:tcPr>
          <w:p>
            <w:pPr>
              <w:jc w:val="center"/>
              <w:ind w:right="326"/>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value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 $0.0001 par</w:t>
            </w:r>
          </w:p>
        </w:tc>
        <w:tc>
          <w:tcPr>
            <w:tcW w:w="1080" w:type="dxa"/>
            <w:vAlign w:val="bottom"/>
            <w:vMerge w:val="restart"/>
          </w:tcPr>
          <w:p>
            <w:pPr>
              <w:jc w:val="center"/>
              <w:ind w:left="127"/>
              <w:spacing w:after="0"/>
              <w:rPr>
                <w:sz w:val="20"/>
                <w:szCs w:val="20"/>
                <w:color w:val="auto"/>
              </w:rPr>
            </w:pPr>
            <w:r>
              <w:rPr>
                <w:rFonts w:ascii="Times New Roman" w:cs="Times New Roman" w:eastAsia="Times New Roman" w:hAnsi="Times New Roman"/>
                <w:sz w:val="17"/>
                <w:szCs w:val="17"/>
                <w:color w:val="0000FF"/>
              </w:rPr>
              <w:t>10/07/2024</w:t>
            </w: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100,514</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vMerge w:val="restart"/>
          </w:tcPr>
          <w:p>
            <w:pPr>
              <w:jc w:val="center"/>
              <w:ind w:left="193"/>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25.36</w:t>
            </w:r>
            <w:r>
              <w:rPr>
                <w:rFonts w:ascii="Times New Roman" w:cs="Times New Roman" w:eastAsia="Times New Roman" w:hAnsi="Times New Roman"/>
                <w:sz w:val="22"/>
                <w:szCs w:val="22"/>
                <w:color w:val="008000"/>
                <w:w w:val="95"/>
                <w:vertAlign w:val="superscript"/>
              </w:rPr>
              <w:t>(4)</w:t>
            </w:r>
          </w:p>
        </w:tc>
        <w:tc>
          <w:tcPr>
            <w:tcW w:w="80" w:type="dxa"/>
            <w:vAlign w:val="bottom"/>
          </w:tcPr>
          <w:p>
            <w:pPr>
              <w:spacing w:after="0"/>
              <w:rPr>
                <w:sz w:val="21"/>
                <w:szCs w:val="21"/>
                <w:color w:val="auto"/>
              </w:rPr>
            </w:pPr>
          </w:p>
        </w:tc>
        <w:tc>
          <w:tcPr>
            <w:tcW w:w="12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0000FF"/>
              </w:rPr>
              <w:t>2,603,392</w:t>
            </w:r>
          </w:p>
        </w:tc>
        <w:tc>
          <w:tcPr>
            <w:tcW w:w="340" w:type="dxa"/>
            <w:vAlign w:val="bottom"/>
          </w:tcPr>
          <w:p>
            <w:pPr>
              <w:spacing w:after="0"/>
              <w:rPr>
                <w:sz w:val="21"/>
                <w:szCs w:val="21"/>
                <w:color w:val="auto"/>
              </w:rPr>
            </w:pPr>
          </w:p>
        </w:tc>
        <w:tc>
          <w:tcPr>
            <w:tcW w:w="540" w:type="dxa"/>
            <w:vAlign w:val="bottom"/>
            <w:vMerge w:val="restart"/>
          </w:tcPr>
          <w:p>
            <w:pPr>
              <w:jc w:val="center"/>
              <w:ind w:right="326"/>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value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 $0.0001 par</w:t>
            </w:r>
          </w:p>
        </w:tc>
        <w:tc>
          <w:tcPr>
            <w:tcW w:w="1080" w:type="dxa"/>
            <w:vAlign w:val="bottom"/>
            <w:vMerge w:val="restart"/>
          </w:tcPr>
          <w:p>
            <w:pPr>
              <w:jc w:val="center"/>
              <w:ind w:left="127"/>
              <w:spacing w:after="0"/>
              <w:rPr>
                <w:sz w:val="20"/>
                <w:szCs w:val="20"/>
                <w:color w:val="auto"/>
              </w:rPr>
            </w:pPr>
            <w:r>
              <w:rPr>
                <w:rFonts w:ascii="Times New Roman" w:cs="Times New Roman" w:eastAsia="Times New Roman" w:hAnsi="Times New Roman"/>
                <w:sz w:val="17"/>
                <w:szCs w:val="17"/>
                <w:color w:val="0000FF"/>
              </w:rPr>
              <w:t>10/07/2024</w:t>
            </w: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1,481</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vMerge w:val="restart"/>
          </w:tcPr>
          <w:p>
            <w:pPr>
              <w:jc w:val="center"/>
              <w:ind w:left="193"/>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25.02</w:t>
            </w:r>
            <w:r>
              <w:rPr>
                <w:rFonts w:ascii="Times New Roman" w:cs="Times New Roman" w:eastAsia="Times New Roman" w:hAnsi="Times New Roman"/>
                <w:sz w:val="22"/>
                <w:szCs w:val="22"/>
                <w:color w:val="008000"/>
                <w:w w:val="95"/>
                <w:vertAlign w:val="superscript"/>
              </w:rPr>
              <w:t>(5)</w:t>
            </w:r>
          </w:p>
        </w:tc>
        <w:tc>
          <w:tcPr>
            <w:tcW w:w="80" w:type="dxa"/>
            <w:vAlign w:val="bottom"/>
          </w:tcPr>
          <w:p>
            <w:pPr>
              <w:spacing w:after="0"/>
              <w:rPr>
                <w:sz w:val="21"/>
                <w:szCs w:val="21"/>
                <w:color w:val="auto"/>
              </w:rPr>
            </w:pPr>
          </w:p>
        </w:tc>
        <w:tc>
          <w:tcPr>
            <w:tcW w:w="12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0000FF"/>
              </w:rPr>
              <w:t>2,601,911</w:t>
            </w:r>
          </w:p>
        </w:tc>
        <w:tc>
          <w:tcPr>
            <w:tcW w:w="340" w:type="dxa"/>
            <w:vAlign w:val="bottom"/>
          </w:tcPr>
          <w:p>
            <w:pPr>
              <w:spacing w:after="0"/>
              <w:rPr>
                <w:sz w:val="21"/>
                <w:szCs w:val="21"/>
                <w:color w:val="auto"/>
              </w:rPr>
            </w:pPr>
          </w:p>
        </w:tc>
        <w:tc>
          <w:tcPr>
            <w:tcW w:w="540" w:type="dxa"/>
            <w:vAlign w:val="bottom"/>
            <w:vMerge w:val="restart"/>
          </w:tcPr>
          <w:p>
            <w:pPr>
              <w:jc w:val="center"/>
              <w:ind w:right="326"/>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value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 $0.0001 par</w:t>
            </w:r>
          </w:p>
        </w:tc>
        <w:tc>
          <w:tcPr>
            <w:tcW w:w="1080" w:type="dxa"/>
            <w:vAlign w:val="bottom"/>
            <w:vMerge w:val="restart"/>
          </w:tcPr>
          <w:p>
            <w:pPr>
              <w:jc w:val="center"/>
              <w:ind w:left="127"/>
              <w:spacing w:after="0"/>
              <w:rPr>
                <w:sz w:val="20"/>
                <w:szCs w:val="20"/>
                <w:color w:val="auto"/>
              </w:rPr>
            </w:pPr>
            <w:r>
              <w:rPr>
                <w:rFonts w:ascii="Times New Roman" w:cs="Times New Roman" w:eastAsia="Times New Roman" w:hAnsi="Times New Roman"/>
                <w:sz w:val="17"/>
                <w:szCs w:val="17"/>
                <w:color w:val="0000FF"/>
              </w:rPr>
              <w:t>10/07/2024</w:t>
            </w: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173,005</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vMerge w:val="restart"/>
          </w:tcPr>
          <w:p>
            <w:pPr>
              <w:jc w:val="center"/>
              <w:ind w:left="193"/>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23.32</w:t>
            </w:r>
            <w:r>
              <w:rPr>
                <w:rFonts w:ascii="Times New Roman" w:cs="Times New Roman" w:eastAsia="Times New Roman" w:hAnsi="Times New Roman"/>
                <w:sz w:val="22"/>
                <w:szCs w:val="22"/>
                <w:color w:val="008000"/>
                <w:w w:val="95"/>
                <w:vertAlign w:val="superscript"/>
              </w:rPr>
              <w:t>(6)</w:t>
            </w:r>
          </w:p>
        </w:tc>
        <w:tc>
          <w:tcPr>
            <w:tcW w:w="80" w:type="dxa"/>
            <w:vAlign w:val="bottom"/>
          </w:tcPr>
          <w:p>
            <w:pPr>
              <w:spacing w:after="0"/>
              <w:rPr>
                <w:sz w:val="21"/>
                <w:szCs w:val="21"/>
                <w:color w:val="auto"/>
              </w:rPr>
            </w:pPr>
          </w:p>
        </w:tc>
        <w:tc>
          <w:tcPr>
            <w:tcW w:w="12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0000FF"/>
              </w:rPr>
              <w:t>2,428,906</w:t>
            </w:r>
          </w:p>
        </w:tc>
        <w:tc>
          <w:tcPr>
            <w:tcW w:w="340" w:type="dxa"/>
            <w:vAlign w:val="bottom"/>
          </w:tcPr>
          <w:p>
            <w:pPr>
              <w:spacing w:after="0"/>
              <w:rPr>
                <w:sz w:val="21"/>
                <w:szCs w:val="21"/>
                <w:color w:val="auto"/>
              </w:rPr>
            </w:pPr>
          </w:p>
        </w:tc>
        <w:tc>
          <w:tcPr>
            <w:tcW w:w="540" w:type="dxa"/>
            <w:vAlign w:val="bottom"/>
            <w:vMerge w:val="restart"/>
          </w:tcPr>
          <w:p>
            <w:pPr>
              <w:jc w:val="center"/>
              <w:ind w:right="326"/>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value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 $0.0001 par</w:t>
            </w:r>
          </w:p>
        </w:tc>
        <w:tc>
          <w:tcPr>
            <w:tcW w:w="1080" w:type="dxa"/>
            <w:vAlign w:val="bottom"/>
            <w:vMerge w:val="restart"/>
          </w:tcPr>
          <w:p>
            <w:pPr>
              <w:jc w:val="center"/>
              <w:ind w:left="127"/>
              <w:spacing w:after="0"/>
              <w:rPr>
                <w:sz w:val="20"/>
                <w:szCs w:val="20"/>
                <w:color w:val="auto"/>
              </w:rPr>
            </w:pPr>
            <w:r>
              <w:rPr>
                <w:rFonts w:ascii="Times New Roman" w:cs="Times New Roman" w:eastAsia="Times New Roman" w:hAnsi="Times New Roman"/>
                <w:sz w:val="17"/>
                <w:szCs w:val="17"/>
                <w:color w:val="0000FF"/>
              </w:rPr>
              <w:t>10/08/2024</w:t>
            </w: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90,396</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vMerge w:val="restart"/>
          </w:tcPr>
          <w:p>
            <w:pPr>
              <w:jc w:val="center"/>
              <w:ind w:left="193"/>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21.13</w:t>
            </w:r>
            <w:r>
              <w:rPr>
                <w:rFonts w:ascii="Times New Roman" w:cs="Times New Roman" w:eastAsia="Times New Roman" w:hAnsi="Times New Roman"/>
                <w:sz w:val="22"/>
                <w:szCs w:val="22"/>
                <w:color w:val="008000"/>
                <w:w w:val="95"/>
                <w:vertAlign w:val="superscript"/>
              </w:rPr>
              <w:t>(7)</w:t>
            </w:r>
          </w:p>
        </w:tc>
        <w:tc>
          <w:tcPr>
            <w:tcW w:w="80" w:type="dxa"/>
            <w:vAlign w:val="bottom"/>
          </w:tcPr>
          <w:p>
            <w:pPr>
              <w:spacing w:after="0"/>
              <w:rPr>
                <w:sz w:val="21"/>
                <w:szCs w:val="21"/>
                <w:color w:val="auto"/>
              </w:rPr>
            </w:pPr>
          </w:p>
        </w:tc>
        <w:tc>
          <w:tcPr>
            <w:tcW w:w="12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0000FF"/>
              </w:rPr>
              <w:t>2,338,510</w:t>
            </w:r>
          </w:p>
        </w:tc>
        <w:tc>
          <w:tcPr>
            <w:tcW w:w="340" w:type="dxa"/>
            <w:vAlign w:val="bottom"/>
          </w:tcPr>
          <w:p>
            <w:pPr>
              <w:spacing w:after="0"/>
              <w:rPr>
                <w:sz w:val="21"/>
                <w:szCs w:val="21"/>
                <w:color w:val="auto"/>
              </w:rPr>
            </w:pPr>
          </w:p>
        </w:tc>
        <w:tc>
          <w:tcPr>
            <w:tcW w:w="540" w:type="dxa"/>
            <w:vAlign w:val="bottom"/>
            <w:vMerge w:val="restart"/>
          </w:tcPr>
          <w:p>
            <w:pPr>
              <w:jc w:val="center"/>
              <w:ind w:right="326"/>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value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Shanghai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Pudong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 $0.0001 par</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0000FF"/>
              </w:rPr>
              <w:t>3,358,728</w:t>
            </w:r>
          </w:p>
        </w:tc>
        <w:tc>
          <w:tcPr>
            <w:tcW w:w="340" w:type="dxa"/>
            <w:vAlign w:val="bottom"/>
          </w:tcPr>
          <w:p>
            <w:pPr>
              <w:spacing w:after="0"/>
              <w:rPr>
                <w:sz w:val="18"/>
                <w:szCs w:val="18"/>
                <w:color w:val="auto"/>
              </w:rPr>
            </w:pPr>
          </w:p>
        </w:tc>
        <w:tc>
          <w:tcPr>
            <w:tcW w:w="540" w:type="dxa"/>
            <w:vAlign w:val="bottom"/>
            <w:vMerge w:val="restart"/>
          </w:tcPr>
          <w:p>
            <w:pPr>
              <w:jc w:val="center"/>
              <w:ind w:right="326"/>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Science &amp;</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value</w:t>
            </w: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Technology</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Group Co.,</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Ltd.</w:t>
            </w:r>
            <w:r>
              <w:rPr>
                <w:rFonts w:ascii="Times New Roman" w:cs="Times New Roman" w:eastAsia="Times New Roman" w:hAnsi="Times New Roman"/>
                <w:sz w:val="11"/>
                <w:szCs w:val="11"/>
                <w:color w:val="008000"/>
              </w:rPr>
              <w:t>(8)(9)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0" w:type="dxa"/>
            <w:vAlign w:val="bottom"/>
            <w:gridSpan w:val="17"/>
          </w:tcPr>
          <w:p>
            <w:pPr>
              <w:jc w:val="right"/>
              <w:ind w:right="4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13"/>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line="238"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Shanghai Science &amp; Technology Venture</w:t>
        </w:r>
      </w:hyperlink>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Capital (Group) Co., Ltd.</w:t>
        </w:r>
      </w:hyperlink>
    </w:p>
    <w:p>
      <w:pPr>
        <w:sectPr>
          <w:pgSz w:w="11900" w:h="16838" w:orient="portrait"/>
          <w:cols w:equalWidth="0" w:num="1">
            <w:col w:w="11080"/>
          </w:cols>
          <w:pgMar w:left="460" w:top="219" w:right="359" w:bottom="0" w:gutter="0" w:footer="0" w:header="0"/>
          <w:type w:val="continuous"/>
        </w:sectPr>
      </w:pPr>
    </w:p>
    <w:bookmarkStart w:id="1" w:name="page2"/>
    <w:bookmarkEnd w:id="1"/>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3127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09240" cy="3312795"/>
                    </a:xfrm>
                    <a:prstGeom prst="rect">
                      <a:avLst/>
                    </a:prstGeom>
                    <a:noFill/>
                  </pic:spPr>
                </pic:pic>
              </a:graphicData>
            </a:graphic>
          </wp:anchor>
        </w:drawing>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BOHUA PLAZA, 39TH FLOOR 669, XINZHA</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JING'AN DISTRICT</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SHANGHAI</w:t>
            </w:r>
          </w:p>
        </w:tc>
        <w:tc>
          <w:tcPr>
            <w:tcW w:w="11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F4</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200041</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2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line="238" w:lineRule="auto"/>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Shanghai Pudong Science &amp; Technology</w:t>
        </w:r>
      </w:hyperlink>
    </w:p>
    <w:p>
      <w:pPr>
        <w:ind w:left="8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Investment Group Co., Ltd.</w:t>
        </w:r>
      </w:hyperlink>
    </w:p>
    <w:p>
      <w:pPr>
        <w:spacing w:after="0" w:line="309"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NO. 118, RONGKE ROAD, 17TH FLOOR</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PUDONG NEW AREA</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SHANGHAI</w:t>
            </w:r>
          </w:p>
        </w:tc>
        <w:tc>
          <w:tcPr>
            <w:tcW w:w="11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F4</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200120</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2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undertake to provide to the Issuer, any security holder of the Issuer or the staff of the Securities and Exchange Commission, upon request, full information regarding the number of shares sold at each separate price within the ranges set forth in footnotes 2 through 7 of this Form 4.</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$21.11 to $22.10,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$20.71 to $21.10,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$25.03 to $26.02,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$25.01 to $25.02,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$23.05 to $23.91,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$20.53 to $21.51, inclusive.</w:t>
      </w:r>
    </w:p>
    <w:p>
      <w:pPr>
        <w:spacing w:after="0" w:line="50" w:lineRule="exact"/>
        <w:rPr>
          <w:rFonts w:ascii="Times New Roman" w:cs="Times New Roman" w:eastAsia="Times New Roman" w:hAnsi="Times New Roman"/>
          <w:sz w:val="13"/>
          <w:szCs w:val="13"/>
          <w:color w:val="008000"/>
        </w:rPr>
      </w:pPr>
    </w:p>
    <w:p>
      <w:pPr>
        <w:ind w:right="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the undersigned as well as Shanghai Pudong Science &amp; Technology Investment Group Co., Ltd., as set forth on the Joint Filer Information Statement attached as an exhibit hereto (the "Reporting Persons"). Shanghai Science &amp; Technology Venture Capital (Group) Co., Ltd. holds a 46% equity interest in Shanghai Pudong Science &amp; Technology Investment Group Co., Ltd.</w:t>
      </w:r>
    </w:p>
    <w:p>
      <w:pPr>
        <w:spacing w:after="0" w:line="7" w:lineRule="exact"/>
        <w:rPr>
          <w:rFonts w:ascii="Times New Roman" w:cs="Times New Roman" w:eastAsia="Times New Roman" w:hAnsi="Times New Roman"/>
          <w:sz w:val="13"/>
          <w:szCs w:val="13"/>
          <w:color w:val="008000"/>
        </w:rPr>
      </w:pPr>
    </w:p>
    <w:p>
      <w:pPr>
        <w:ind w:right="4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Instruction 4(b)(iv) to Form 4, the entire amount of the Issuer's securities held by the Reporting Persons is reported herein. For purposes of Section 16 of the Securities Exchange Act of 1934, as amended, each Reporting Person disclaims beneficial ownership of any such securities, except to the extent of its indirect pecuniary interest therein, if any, and this report shall not be deemed an admission that such Reporting Person is the beneficial owner of such securities for purposes of Section 16 or otherwise.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The sales reported on this Form 4 were made pursuant to a Rule 10b5-1 plan adopted by Shanghai Science &amp; Technology Venture Capital (Group) Co., Ltd. on June 12, 2024.</w:t>
      </w:r>
    </w:p>
    <w:p>
      <w:pPr>
        <w:spacing w:after="0" w:line="6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Wangyu Ge, authorized</w:t>
            </w:r>
          </w:p>
        </w:tc>
        <w:tc>
          <w:tcPr>
            <w:tcW w:w="2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10/08/2024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representative</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500" w:top="300" w:right="499" w:bottom="1440" w:gutter="0" w:footer="0" w:header="0"/>
        </w:sectPr>
      </w:pPr>
    </w:p>
    <w:bookmarkStart w:id="2" w:name="page3"/>
    <w:bookmarkEnd w:id="2"/>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Designated Filer: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and Ticker Symbol: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Event Requiring Statement:</w:t>
      </w:r>
    </w:p>
    <w:p>
      <w:pPr>
        <w:spacing w:after="0" w:line="20" w:lineRule="exact"/>
        <w:rPr>
          <w:sz w:val="20"/>
          <w:szCs w:val="20"/>
          <w:color w:val="auto"/>
        </w:rPr>
      </w:pPr>
      <w:r>
        <w:rPr>
          <w:sz w:val="20"/>
          <w:szCs w:val="20"/>
          <w:color w:val="auto"/>
        </w:rPr>
        <w:br w:type="column"/>
      </w:r>
    </w:p>
    <w:p>
      <w:pPr>
        <w:ind w:left="2040"/>
        <w:spacing w:after="0"/>
        <w:rPr>
          <w:sz w:val="20"/>
          <w:szCs w:val="20"/>
          <w:color w:val="auto"/>
        </w:rPr>
      </w:pPr>
      <w:r>
        <w:rPr>
          <w:rFonts w:ascii="Times New Roman" w:cs="Times New Roman" w:eastAsia="Times New Roman" w:hAnsi="Times New Roman"/>
          <w:sz w:val="18"/>
          <w:szCs w:val="18"/>
          <w:color w:val="auto"/>
        </w:rPr>
        <w:t>Joint Filer Information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Shanghai Pudong Science &amp; Technology Investment Group Co., Ltd.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118 Rongke Road, 17th Floor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Pudong New Area, Shanghai, People’s Republic of China 200120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Science &amp; Technology Venture Capital (Group) Co., Ltd.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ACM Research, Inc. [ACMR]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8, 2024</w:t>
      </w:r>
    </w:p>
    <w:p>
      <w:pPr>
        <w:spacing w:after="0" w:line="200" w:lineRule="exact"/>
        <w:rPr>
          <w:sz w:val="20"/>
          <w:szCs w:val="20"/>
          <w:color w:val="auto"/>
        </w:rPr>
      </w:pPr>
    </w:p>
    <w:p>
      <w:pPr>
        <w:sectPr>
          <w:pgSz w:w="11900" w:h="16838" w:orient="portrait"/>
          <w:cols w:equalWidth="0" w:num="2">
            <w:col w:w="2560" w:space="80"/>
            <w:col w:w="8160"/>
          </w:cols>
          <w:pgMar w:left="460" w:top="361" w:right="639" w:bottom="1440" w:gutter="0" w:footer="0" w:header="0"/>
        </w:sectPr>
      </w:pPr>
    </w:p>
    <w:p>
      <w:pPr>
        <w:spacing w:after="0" w:line="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The undersigned, Shanghai Pudong Science &amp; Technology Investment Group Co., Ltd., is jointly filing the attached Statement of Changes in Beneficial Ownership on Form 4 with Shanghai Science &amp; Technology Venture Capital (Group) Co., Ltd. with respect to the beneficial ownership of securities of ACM Research, Inc.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Pudong Science &amp; Technology Investment Group Co., Ltd.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s/ Lufei Liu</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Lufei Liu</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Representative</w:t>
      </w:r>
    </w:p>
    <w:sectPr>
      <w:pgSz w:w="11900" w:h="16838" w:orient="portrait"/>
      <w:cols w:equalWidth="0" w:num="1">
        <w:col w:w="10800"/>
      </w:cols>
      <w:pgMar w:left="460" w:top="361"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81092" TargetMode="External"/><Relationship Id="rId14" Type="http://schemas.openxmlformats.org/officeDocument/2006/relationships/hyperlink" Target="http://www.sec.gov/cgi-bin/browse-edgar?action=getcompany&amp;CIK=0001680062" TargetMode="External"/><Relationship Id="rId17" Type="http://schemas.openxmlformats.org/officeDocument/2006/relationships/hyperlink" Target="http://www.sec.gov/cgi-bin/browse-edgar?action=getcompany&amp;CIK=00019809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2024-10-08T20:48:24Z</dcterms:created>
  <dcterms:modified xsi:type="dcterms:W3CDTF">2024-10-08T20:48:24Z</dcterms:modified>
</cp:coreProperties>
</file>