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874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7407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Wang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tcPr>
          <w:p>
            <w:pPr>
              <w:spacing w:after="0"/>
              <w:rPr>
                <w:sz w:val="5"/>
                <w:szCs w:val="5"/>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2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03/14/2024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76,478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27.51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514,629</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03/14/2024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10,611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504,018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45,837</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June 13, 2023.</w:t>
      </w:r>
    </w:p>
    <w:p>
      <w:pPr>
        <w:spacing w:after="0" w:line="50" w:lineRule="exact"/>
        <w:rPr>
          <w:rFonts w:ascii="Times New Roman" w:cs="Times New Roman" w:eastAsia="Times New Roman" w:hAnsi="Times New Roman"/>
          <w:sz w:val="13"/>
          <w:szCs w:val="13"/>
          <w:color w:val="008000"/>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$27.01 to $27.97,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3. The price reported in Column 4 is a weighted average price. The shares were sold in multiple transactions at prices ranging from $28.10 to $28.53,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David H. 03/15/2024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2024-03-15T20:37:08Z</dcterms:created>
  <dcterms:modified xsi:type="dcterms:W3CDTF">2024-03-15T20:37:08Z</dcterms:modified>
</cp:coreProperties>
</file>