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8384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38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40"/>
          </w:cols>
          <w:pgMar w:left="460" w:top="216" w:right="37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4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25"/>
          </w:cols>
          <w:pgMar w:left="460" w:top="216" w:right="379" w:bottom="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60"/>
          </w:cols>
          <w:pgMar w:left="460" w:top="216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802,708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12/27/2026  Common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610,002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September 8, 2025, the reporting person exercised, by net exercise, a previously issued stock option to purchase 130,000 shares of Class A Common Stock of the Issuer.</w:t>
      </w:r>
    </w:p>
    <w:p>
      <w:pPr>
        <w:sectPr>
          <w:pgSz w:w="11900" w:h="1683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option is fully vested and exercisable.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ind w:left="656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McKechnie,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09/30/2025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-26670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-21590</wp:posOffset>
            </wp:positionV>
            <wp:extent cx="1125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5556885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2025-09-30T20:35:52Z</dcterms:created>
  <dcterms:modified xsi:type="dcterms:W3CDTF">2025-09-30T20:35:52Z</dcterms:modified>
</cp:coreProperties>
</file>