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Xu Min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11/02/2017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ACM RESEARCH,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42307 OSGOOD ROAD, SUITE I</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FREMONT   CA</w:t>
            </w:r>
          </w:p>
        </w:tc>
        <w:tc>
          <w:tcPr>
            <w:tcW w:w="840" w:type="dxa"/>
            <w:vAlign w:val="bottom"/>
          </w:tcPr>
          <w:p>
            <w:pPr>
              <w:jc w:val="right"/>
              <w:spacing w:after="0"/>
              <w:rPr>
                <w:sz w:val="20"/>
                <w:szCs w:val="20"/>
                <w:color w:val="auto"/>
              </w:rPr>
            </w:pPr>
            <w:r>
              <w:rPr>
                <w:rFonts w:ascii="Arial" w:cs="Arial" w:eastAsia="Arial" w:hAnsi="Arial"/>
                <w:sz w:val="18"/>
                <w:szCs w:val="18"/>
                <w:color w:val="0000FF"/>
              </w:rPr>
              <w:t>94539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12/27/2026</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ind w:left="140"/>
              <w:spacing w:after="0"/>
              <w:rPr>
                <w:sz w:val="20"/>
                <w:szCs w:val="20"/>
                <w:color w:val="auto"/>
              </w:rPr>
            </w:pPr>
            <w:r>
              <w:rPr>
                <w:rFonts w:ascii="Arial" w:cs="Arial" w:eastAsia="Arial" w:hAnsi="Arial"/>
                <w:sz w:val="18"/>
                <w:szCs w:val="18"/>
                <w:color w:val="0000FF"/>
                <w:w w:val="95"/>
              </w:rPr>
              <w:t>100,000</w:t>
            </w:r>
          </w:p>
        </w:tc>
        <w:tc>
          <w:tcPr>
            <w:tcW w:w="880" w:type="dxa"/>
            <w:vAlign w:val="bottom"/>
          </w:tcPr>
          <w:p>
            <w:pPr>
              <w:ind w:left="400"/>
              <w:spacing w:after="0"/>
              <w:rPr>
                <w:sz w:val="20"/>
                <w:szCs w:val="20"/>
                <w:color w:val="auto"/>
              </w:rPr>
            </w:pPr>
            <w:r>
              <w:rPr>
                <w:rFonts w:ascii="Arial" w:cs="Arial" w:eastAsia="Arial" w:hAnsi="Arial"/>
                <w:sz w:val="18"/>
                <w:szCs w:val="18"/>
                <w:color w:val="0000FF"/>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will vest and become exercisable as to 33,333 shares on November 14, 2017 and the remaining 66,667 shares will vest and become exercisable in equal monthly installments over the following 24 months, subject to continued service through each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Chief Financial Officer and Treasurer</w:t>
      </w:r>
    </w:p>
    <w:p>
      <w:pPr>
        <w:ind w:left="6860"/>
        <w:spacing w:after="0" w:line="184" w:lineRule="auto"/>
        <w:rPr>
          <w:sz w:val="20"/>
          <w:szCs w:val="20"/>
          <w:color w:val="auto"/>
        </w:rPr>
      </w:pPr>
      <w:r>
        <w:rPr>
          <w:rFonts w:ascii="Arial" w:cs="Arial" w:eastAsia="Arial" w:hAnsi="Arial"/>
          <w:sz w:val="17"/>
          <w:szCs w:val="17"/>
          <w:color w:val="0000FF"/>
        </w:rPr>
        <w:t xml:space="preserve">/s/ Mark L. Johnson, Attorney- </w:t>
      </w:r>
      <w:r>
        <w:rPr>
          <w:rFonts w:ascii="Arial" w:cs="Arial" w:eastAsia="Arial" w:hAnsi="Arial"/>
          <w:sz w:val="34"/>
          <w:szCs w:val="34"/>
          <w:color w:val="0000FF"/>
          <w:vertAlign w:val="subscript"/>
        </w:rPr>
        <w:t>11/02/2017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1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Min Xu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851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5153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21375" TargetMode="External"/><Relationship Id="rId12"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2019-12-04T02:34:57Z</dcterms:created>
  <dcterms:modified xsi:type="dcterms:W3CDTF">2019-12-04T02:34:57Z</dcterms:modified>
</cp:coreProperties>
</file>