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March 15,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88" w:type="dxa"/>
        <w:jc w:val="left"/>
        <w:tblInd w:w="0" w:type="dxa"/>
        <w:tblLayout w:type="fixed"/>
        <w:tblCellMar>
          <w:top w:w="0" w:type="dxa"/>
          <w:left w:w="0" w:type="dxa"/>
          <w:bottom w:w="0" w:type="dxa"/>
          <w:right w:w="0" w:type="dxa"/>
        </w:tblCellMar>
      </w:tblPr>
      <w:tblGrid>
        <w:gridCol w:w="3275"/>
        <w:gridCol w:w="23"/>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283"/>
              <w:jc w:val="left"/>
              <w:rPr/>
            </w:pPr>
            <w:r>
              <w:rPr/>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Securities registered pursuant to Section 12(b) of the Act: </w:t>
      </w:r>
    </w:p>
    <w:p>
      <w:pPr>
        <w:pStyle w:val="TextBody"/>
        <w:bidi w:val="0"/>
        <w:spacing w:before="0" w:after="0"/>
        <w:jc w:val="left"/>
        <w:rPr>
          <w:rFonts w:ascii="Times New Roman" w:hAnsi="Times New Roman"/>
          <w:sz w:val="20"/>
        </w:rPr>
      </w:pPr>
      <w:r>
        <w:rPr>
          <w:rFonts w:ascii="Times New Roman" w:hAnsi="Times New Roman"/>
          <w:sz w:val="20"/>
        </w:rPr>
      </w:r>
    </w:p>
    <w:tbl>
      <w:tblPr>
        <w:tblW w:w="9391" w:type="dxa"/>
        <w:jc w:val="left"/>
        <w:tblInd w:w="0" w:type="dxa"/>
        <w:tblLayout w:type="fixed"/>
        <w:tblCellMar>
          <w:top w:w="0" w:type="dxa"/>
          <w:left w:w="0" w:type="dxa"/>
          <w:bottom w:w="28" w:type="dxa"/>
          <w:right w:w="0" w:type="dxa"/>
        </w:tblCellMar>
      </w:tblPr>
      <w:tblGrid>
        <w:gridCol w:w="4265"/>
        <w:gridCol w:w="23"/>
        <w:gridCol w:w="1385"/>
        <w:gridCol w:w="23"/>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23" w:type="dxa"/>
            <w:tcBorders/>
            <w:tcMar>
              <w:bottom w:w="0" w:type="dxa"/>
            </w:tcMar>
            <w:vAlign w:val="center"/>
          </w:tcPr>
          <w:p>
            <w:pPr>
              <w:pStyle w:val="TableContents"/>
              <w:bidi w:val="0"/>
              <w:spacing w:before="0" w:after="283"/>
              <w:jc w:val="left"/>
              <w:rPr/>
            </w:pPr>
            <w:r>
              <w:rPr/>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23" w:type="dxa"/>
            <w:tcBorders/>
            <w:tcMar>
              <w:bottom w:w="0" w:type="dxa"/>
            </w:tcMar>
            <w:vAlign w:val="center"/>
          </w:tcPr>
          <w:p>
            <w:pPr>
              <w:pStyle w:val="TableContents"/>
              <w:bidi w:val="0"/>
              <w:spacing w:before="0" w:after="283"/>
              <w:jc w:val="left"/>
              <w:rPr/>
            </w:pPr>
            <w:r>
              <w:rPr/>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Class A Common Stock, par value $0.0001 per share</w:t>
            </w:r>
          </w:p>
        </w:tc>
        <w:tc>
          <w:tcPr>
            <w:tcW w:w="23" w:type="dxa"/>
            <w:tcBorders/>
            <w:tcMar>
              <w:bottom w:w="0" w:type="dxa"/>
            </w:tcMar>
            <w:vAlign w:val="center"/>
          </w:tcPr>
          <w:p>
            <w:pPr>
              <w:pStyle w:val="TableContents"/>
              <w:bidi w:val="0"/>
              <w:spacing w:before="0" w:after="283"/>
              <w:jc w:val="left"/>
              <w:rPr/>
            </w:pPr>
            <w:r>
              <w:rPr/>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23" w:type="dxa"/>
            <w:tcBorders/>
            <w:tcMar>
              <w:bottom w:w="0" w:type="dxa"/>
            </w:tcMar>
            <w:vAlign w:val="center"/>
          </w:tcPr>
          <w:p>
            <w:pPr>
              <w:pStyle w:val="TableContents"/>
              <w:bidi w:val="0"/>
              <w:spacing w:before="0" w:after="283"/>
              <w:jc w:val="left"/>
              <w:rPr/>
            </w:pPr>
            <w:r>
              <w:rPr/>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 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54"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Board of Directors (the “Board”) of ACM Research, Inc. (the “Company”) has appointed Charles Pappis to serve as a member of the Board and its Audit Committee, effective March 15, 2025.  Mr. Pappis has no direct or indirect material interest in any transaction required to be disclosed pursuant to Item 404(a) of Regulation S-K, has no arrangement or understanding with any other person required to be disclosed pursuant to Item 401(a) of Regulation S-K and has no family relationships required to be disclosed pursuant to Item 401(d) of Regulation 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terms of the Company’s 2016 Omnibus Incentive Plan, Mr. Pappis was granted an option to purchase 10,000 shares of the Company’s Class A common stock on March 15, 2025, the effective date of Mr. Pappis’ appointment. Subject to certain conditions, such option will have an exercise price equal to $29.18, the closing sale price of the Company’s common stock on the Nasdaq Stock Market LLC on March 14, 2025, and such option shall vest in full immediately prior to the Company’s 2025 Annual Meeting of Stockholders.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Mr. Pappis, age 64, is the President of Pappis Consulting, advising semiconductor equipment and supply chain companies. Mr. Pappis received a Bachelor of Science in Materials Science from Worcester Polytechnic Institute and an Executive MBA from Stanford University.</w:t>
      </w:r>
    </w:p>
    <w:p>
      <w:pPr>
        <w:pStyle w:val="TextBody"/>
        <w:bidi w:val="0"/>
        <w:spacing w:before="0" w:after="0"/>
        <w:jc w:val="left"/>
        <w:rPr>
          <w:rFonts w:ascii="Times New Roman" w:hAnsi="Times New Roman"/>
          <w:sz w:val="20"/>
        </w:rPr>
      </w:pPr>
      <w:r>
        <w:rPr>
          <w:rFonts w:ascii="Times New Roman" w:hAnsi="Times New Roman"/>
          <w:sz w:val="20"/>
        </w:rPr>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March 18, 2025, the Company issued a press release announcing certain of the matters described in Item 5.02 of this Current Report on Form 8-K. The full text of the press release is furnished as Exhibit 99.1 to this Current Report on Form 8-K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w:t>
            </w:r>
          </w:p>
        </w:tc>
        <w:tc>
          <w:tcPr>
            <w:tcW w:w="7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Exhibits.</w:t>
            </w:r>
          </w:p>
        </w:tc>
      </w:tr>
    </w:tbl>
    <w:p>
      <w:pPr>
        <w:pStyle w:val="TextBody"/>
        <w:bidi w:val="0"/>
        <w:spacing w:before="0" w:after="0"/>
        <w:jc w:val="left"/>
        <w:rPr>
          <w:color w:val="000000"/>
          <w:shd w:fill="FFFFFF" w:val="clear"/>
        </w:rPr>
      </w:pPr>
      <w:r>
        <w:rPr>
          <w:color w:val="000000"/>
          <w:shd w:fill="FFFFFF" w:val="clear"/>
        </w:rPr>
        <w:t> </w:t>
      </w:r>
    </w:p>
    <w:tbl>
      <w:tblPr>
        <w:tblW w:w="7683" w:type="dxa"/>
        <w:jc w:val="left"/>
        <w:tblInd w:w="0" w:type="dxa"/>
        <w:tblLayout w:type="fixed"/>
        <w:tblCellMar>
          <w:top w:w="0" w:type="dxa"/>
          <w:left w:w="0" w:type="dxa"/>
          <w:bottom w:w="28" w:type="dxa"/>
          <w:right w:w="0" w:type="dxa"/>
        </w:tblCellMar>
      </w:tblPr>
      <w:tblGrid>
        <w:gridCol w:w="650"/>
        <w:gridCol w:w="23"/>
        <w:gridCol w:w="7010"/>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23" w:type="dxa"/>
            <w:tcBorders/>
            <w:tcMar>
              <w:bottom w:w="0" w:type="dxa"/>
            </w:tcMar>
            <w:vAlign w:val="center"/>
          </w:tcPr>
          <w:p>
            <w:pPr>
              <w:pStyle w:val="TableContents"/>
              <w:bidi w:val="0"/>
              <w:spacing w:before="0" w:after="283"/>
              <w:jc w:val="left"/>
              <w:rPr/>
            </w:pPr>
            <w:r>
              <w:rPr/>
            </w:r>
          </w:p>
        </w:tc>
        <w:tc>
          <w:tcPr>
            <w:tcW w:w="701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7010" w:type="dxa"/>
            <w:tcBorders/>
            <w:tcMar>
              <w:bottom w:w="0" w:type="dxa"/>
            </w:tcMar>
            <w:vAlign w:val="center"/>
          </w:tcPr>
          <w:p>
            <w:pPr>
              <w:pStyle w:val="TableContents"/>
              <w:bidi w:val="0"/>
              <w:spacing w:before="0" w:after="283"/>
              <w:jc w:val="left"/>
              <w:rPr/>
            </w:pPr>
            <w:r>
              <w:rPr/>
            </w:r>
          </w:p>
        </w:tc>
      </w:tr>
      <w:tr>
        <w:trPr/>
        <w:tc>
          <w:tcPr>
            <w:tcW w:w="650" w:type="dxa"/>
            <w:tcBorders/>
            <w:tcMar>
              <w:bottom w:w="0" w:type="dxa"/>
            </w:tcMar>
            <w:vAlign w:val="center"/>
          </w:tcPr>
          <w:p>
            <w:pPr>
              <w:pStyle w:val="TableContents"/>
              <w:bidi w:val="0"/>
              <w:spacing w:before="0" w:after="0"/>
              <w:jc w:val="center"/>
              <w:rPr/>
            </w:pPr>
            <w:hyperlink w:anchor="ef20045712_ex99-1.htm">
              <w:r>
                <w:rPr>
                  <w:rStyle w:val="InternetLink"/>
                  <w:rFonts w:ascii="Times New Roman" w:hAnsi="Times New Roman"/>
                  <w:sz w:val="20"/>
                </w:rPr>
                <w:t>99.1</w:t>
              </w:r>
            </w:hyperlink>
          </w:p>
        </w:tc>
        <w:tc>
          <w:tcPr>
            <w:tcW w:w="23" w:type="dxa"/>
            <w:tcBorders/>
            <w:tcMar>
              <w:bottom w:w="0" w:type="dxa"/>
            </w:tcMar>
            <w:vAlign w:val="center"/>
          </w:tcPr>
          <w:p>
            <w:pPr>
              <w:pStyle w:val="TableContents"/>
              <w:bidi w:val="0"/>
              <w:spacing w:before="0" w:after="283"/>
              <w:jc w:val="left"/>
              <w:rPr/>
            </w:pPr>
            <w:r>
              <w:rPr/>
            </w:r>
          </w:p>
        </w:tc>
        <w:tc>
          <w:tcPr>
            <w:tcW w:w="701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of ACM Research, Inc. dated March 18, 2025</w:t>
            </w:r>
          </w:p>
        </w:tc>
      </w:tr>
      <w:tr>
        <w:trPr/>
        <w:tc>
          <w:tcPr>
            <w:tcW w:w="65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7010" w:type="dxa"/>
            <w:tcBorders/>
            <w:tcMar>
              <w:bottom w:w="0" w:type="dxa"/>
            </w:tcMar>
            <w:vAlign w:val="center"/>
          </w:tcPr>
          <w:p>
            <w:pPr>
              <w:pStyle w:val="TableContents"/>
              <w:bidi w:val="0"/>
              <w:spacing w:before="0" w:after="283"/>
              <w:jc w:val="left"/>
              <w:rPr/>
            </w:pPr>
            <w:r>
              <w:rPr/>
            </w:r>
          </w:p>
        </w:tc>
      </w:tr>
      <w:tr>
        <w:trPr/>
        <w:tc>
          <w:tcPr>
            <w:tcW w:w="650" w:type="dxa"/>
            <w:tcBorders/>
            <w:tcMar>
              <w:bottom w:w="0" w:type="dxa"/>
            </w:tcMar>
            <w:vAlign w:val="center"/>
          </w:tcPr>
          <w:p>
            <w:pPr>
              <w:pStyle w:val="TableContents"/>
              <w:bidi w:val="0"/>
              <w:spacing w:before="0" w:after="283"/>
              <w:jc w:val="center"/>
              <w:rPr/>
            </w:pPr>
            <w:r>
              <w:rPr/>
              <w:t>104</w:t>
            </w:r>
          </w:p>
        </w:tc>
        <w:tc>
          <w:tcPr>
            <w:tcW w:w="23" w:type="dxa"/>
            <w:tcBorders/>
            <w:tcMar>
              <w:bottom w:w="0" w:type="dxa"/>
            </w:tcMar>
            <w:vAlign w:val="center"/>
          </w:tcPr>
          <w:p>
            <w:pPr>
              <w:pStyle w:val="TableContents"/>
              <w:bidi w:val="0"/>
              <w:spacing w:before="0" w:after="283"/>
              <w:jc w:val="left"/>
              <w:rPr/>
            </w:pPr>
            <w:r>
              <w:rPr/>
            </w:r>
          </w:p>
        </w:tc>
        <w:tc>
          <w:tcPr>
            <w:tcW w:w="7010" w:type="dxa"/>
            <w:tcBorders/>
            <w:tcMar>
              <w:bottom w:w="0" w:type="dxa"/>
            </w:tcMar>
            <w:vAlign w:val="center"/>
          </w:tcPr>
          <w:p>
            <w:pPr>
              <w:pStyle w:val="TableContents"/>
              <w:bidi w:val="0"/>
              <w:spacing w:before="0" w:after="283"/>
              <w:jc w:val="left"/>
              <w:rPr/>
            </w:pPr>
            <w:r>
              <w:rPr/>
              <w:t>Cover Page Interactive Data File (embedded within the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235" w:type="dxa"/>
        <w:jc w:val="left"/>
        <w:tblInd w:w="0" w:type="dxa"/>
        <w:tblLayout w:type="fixed"/>
        <w:tblCellMar>
          <w:top w:w="0" w:type="dxa"/>
          <w:left w:w="0" w:type="dxa"/>
          <w:bottom w:w="0" w:type="dxa"/>
          <w:right w:w="0" w:type="dxa"/>
        </w:tblCellMar>
      </w:tblPr>
      <w:tblGrid>
        <w:gridCol w:w="1895"/>
        <w:gridCol w:w="320"/>
        <w:gridCol w:w="3020"/>
      </w:tblGrid>
      <w:tr>
        <w:trPr/>
        <w:tc>
          <w:tcPr>
            <w:tcW w:w="1895" w:type="dxa"/>
            <w:tcBorders/>
            <w:vAlign w:val="center"/>
          </w:tcPr>
          <w:p>
            <w:pPr>
              <w:pStyle w:val="TableContents"/>
              <w:bidi w:val="0"/>
              <w:spacing w:before="0" w:after="283"/>
              <w:jc w:val="left"/>
              <w:rPr/>
            </w:pPr>
            <w:r>
              <w:rPr/>
            </w:r>
          </w:p>
        </w:tc>
        <w:tc>
          <w:tcPr>
            <w:tcW w:w="33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89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r>
      <w:tr>
        <w:trPr/>
        <w:tc>
          <w:tcPr>
            <w:tcW w:w="189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89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March 18, 2025</w:t>
            </w:r>
          </w:p>
        </w:tc>
        <w:tc>
          <w:tcPr>
            <w:tcW w:w="320" w:type="dxa"/>
            <w:tcBorders/>
            <w:vAlign w:val="center"/>
          </w:tcPr>
          <w:p>
            <w:pPr>
              <w:pStyle w:val="TableContents"/>
              <w:bidi w:val="0"/>
              <w:spacing w:before="0" w:after="283"/>
              <w:jc w:val="left"/>
              <w:rPr/>
            </w:pPr>
            <w:r>
              <w:rPr/>
            </w:r>
          </w:p>
        </w:tc>
        <w:tc>
          <w:tcPr>
            <w:tcW w:w="3020"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jc w:val="left"/>
        <w:rPr/>
      </w:pPr>
      <w:r>
        <w:rPr/>
      </w:r>
    </w:p>
    <w:p>
      <w:pPr>
        <w:pStyle w:val="HorizontalLine"/>
        <w:pBdr>
          <w:bottom w:val="single" w:sz="12" w:space="0" w:color="808080"/>
        </w:pBdr>
        <w:bidi w:val="0"/>
        <w:jc w:val="left"/>
        <w:rPr/>
      </w:pPr>
      <w:r>
        <w:rPr/>
      </w:r>
      <w:bookmarkStart w:id="0" w:name="ef20045712_ex99-1.htm"/>
      <w:bookmarkStart w:id="1" w:name="ksef20045712_ex991"/>
      <w:bookmarkStart w:id="2" w:name="ef20045712_ex99-1.htm"/>
      <w:bookmarkStart w:id="3" w:name="ksef20045712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drawing>
          <wp:inline distT="0" distB="0" distL="0" distR="0">
            <wp:extent cx="9620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60007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Appoints Charlie Pappis to Board of Directors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FREMONT, Calif., March 18, 2025 (GlobeNewswire) – </w:t>
      </w:r>
      <w:r>
        <w:rPr>
          <w:rFonts w:ascii="Times New Roman" w:hAnsi="Times New Roman"/>
          <w:b w:val="false"/>
          <w:color w:val="333333"/>
          <w:sz w:val="20"/>
        </w:rPr>
        <w:t>ACM Research, Inc. (“ACM”) (NASDAQ: ACMR), a leading supplier of wafer processing solutions for semiconductor and advanced packaging applications</w:t>
      </w:r>
      <w:r>
        <w:rPr>
          <w:rFonts w:ascii="Times New Roman" w:hAnsi="Times New Roman"/>
          <w:b/>
          <w:color w:val="333333"/>
          <w:sz w:val="20"/>
        </w:rPr>
        <w:t xml:space="preserve">, </w:t>
      </w:r>
      <w:r>
        <w:rPr>
          <w:rFonts w:ascii="Times New Roman" w:hAnsi="Times New Roman"/>
          <w:color w:val="000000"/>
          <w:sz w:val="20"/>
        </w:rPr>
        <w:t>today announced the appointment of Charlie Pappis to its Board of Directors, effective March 15, 2025. With the addition of Mr. Pappis, ACM’s Board of Directors now comprises five members, further strengthening its leadership and expertise as the company executes its long-term growth strategy.</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We are thrilled to welcome Mr. Pappis to our Board of Directors,” said Dr. David Wang, President and Chief Executive Officer of ACM. “His deep industry knowledge, proven leadership in scaling global operations, and commitment to customer-driven innovation align perfectly with ACM’s mission to become a key supplier of capital equipment to major global semiconductor companies. His insights will be invaluable as we increase our investments and business expansion in the U.S. to support our growth initiatives to new markets beyond mainland China.”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Charlie Pappis is a semiconductor industry veteran with more than 40 years of leadership experience in global operations, customer engagement, and business growth. He currently serves as President of Pappis Consulting, advising semiconductor equipment and supply chain companies. Previously, he spent more than 30 years at a major global U.S.-based semiconductor equipment company, where he held key executive level leadership roles. Mr. Pappis holds a Bachelor of Science in Materials Science from Worcester Polytechnic Institute and an Executive MBA from Stanford University.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ACM Research, Inc.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hAnsi="Times New Roman"/>
          <w:color w:val="000000"/>
          <w:sz w:val="20"/>
          <w:u w:val="single"/>
        </w:rPr>
        <w:t>www.acmr.com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 investor and media inquiries, please contact: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70ccb88ded1d42978e8c45e733ffcea0"/>
      <w:bookmarkStart w:id="5" w:name="z70ccb88ded1d42978e8c45e733ffcea0"/>
      <w:bookmarkEnd w:id="5"/>
    </w:p>
    <w:tbl>
      <w:tblPr>
        <w:tblW w:w="3445" w:type="dxa"/>
        <w:jc w:val="left"/>
        <w:tblInd w:w="0" w:type="dxa"/>
        <w:tblLayout w:type="fixed"/>
        <w:tblCellMar>
          <w:top w:w="0" w:type="dxa"/>
          <w:left w:w="0" w:type="dxa"/>
          <w:bottom w:w="0" w:type="dxa"/>
          <w:right w:w="0" w:type="dxa"/>
        </w:tblCellMar>
      </w:tblPr>
      <w:tblGrid>
        <w:gridCol w:w="75"/>
        <w:gridCol w:w="1670"/>
        <w:gridCol w:w="1700"/>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u w:val="single"/>
              </w:rPr>
              <w:t>In the United States</w:t>
            </w:r>
            <w:r>
              <w:rPr>
                <w:rFonts w:ascii="Times New Roman" w:hAnsi="Times New Roman"/>
                <w:sz w:val="20"/>
              </w:rPr>
              <w:t>:</w:t>
            </w:r>
          </w:p>
        </w:tc>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Blueshirt Group</w:t>
            </w:r>
          </w:p>
        </w:tc>
      </w:tr>
    </w:tbl>
    <w:p>
      <w:pPr>
        <w:pStyle w:val="TextBody"/>
        <w:bidi w:val="0"/>
        <w:spacing w:before="0" w:after="0"/>
        <w:ind w:left="3060" w:right="0" w:hanging="0"/>
        <w:jc w:val="left"/>
        <w:rPr>
          <w:rFonts w:ascii="Times New Roman" w:hAnsi="Times New Roman"/>
          <w:color w:val="000000"/>
          <w:sz w:val="20"/>
        </w:rPr>
      </w:pPr>
      <w:r>
        <w:rPr>
          <w:rFonts w:ascii="Times New Roman" w:hAnsi="Times New Roman"/>
          <w:color w:val="000000"/>
          <w:sz w:val="20"/>
        </w:rPr>
        <w:t>Steven C. Pelayo, CFA</w:t>
      </w:r>
    </w:p>
    <w:p>
      <w:pPr>
        <w:pStyle w:val="TextBody"/>
        <w:bidi w:val="0"/>
        <w:spacing w:before="0" w:after="0"/>
        <w:ind w:left="3060" w:right="0" w:hanging="0"/>
        <w:jc w:val="left"/>
        <w:rPr>
          <w:rFonts w:ascii="Times New Roman" w:hAnsi="Times New Roman"/>
          <w:color w:val="000000"/>
          <w:sz w:val="20"/>
        </w:rPr>
      </w:pPr>
      <w:r>
        <w:rPr>
          <w:rFonts w:ascii="Times New Roman" w:hAnsi="Times New Roman"/>
          <w:color w:val="000000"/>
          <w:sz w:val="20"/>
        </w:rPr>
        <w:t>+1 (360) 808-5154</w:t>
      </w:r>
    </w:p>
    <w:p>
      <w:pPr>
        <w:pStyle w:val="TextBody"/>
        <w:bidi w:val="0"/>
        <w:spacing w:before="0" w:after="0"/>
        <w:ind w:left="3060" w:right="0" w:hanging="0"/>
        <w:jc w:val="left"/>
        <w:rPr>
          <w:rFonts w:ascii="Times New Roman" w:hAnsi="Times New Roman"/>
          <w:i/>
          <w:color w:val="000000"/>
          <w:sz w:val="20"/>
        </w:rPr>
      </w:pPr>
      <w:r>
        <w:rPr>
          <w:rFonts w:ascii="Times New Roman" w:hAnsi="Times New Roman"/>
          <w:i/>
          <w:color w:val="000000"/>
          <w:sz w:val="20"/>
        </w:rPr>
        <w:t>steven@blueshirtgroup.co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ab70ef2cd1884f1cb2572898b1657037"/>
      <w:bookmarkStart w:id="7" w:name="zab70ef2cd1884f1cb2572898b1657037"/>
      <w:bookmarkEnd w:id="7"/>
    </w:p>
    <w:tbl>
      <w:tblPr>
        <w:tblW w:w="2928" w:type="dxa"/>
        <w:jc w:val="left"/>
        <w:tblInd w:w="0" w:type="dxa"/>
        <w:tblLayout w:type="fixed"/>
        <w:tblCellMar>
          <w:top w:w="0" w:type="dxa"/>
          <w:left w:w="0" w:type="dxa"/>
          <w:bottom w:w="0" w:type="dxa"/>
          <w:right w:w="0" w:type="dxa"/>
        </w:tblCellMar>
      </w:tblPr>
      <w:tblGrid>
        <w:gridCol w:w="38"/>
        <w:gridCol w:w="785"/>
        <w:gridCol w:w="2105"/>
      </w:tblGrid>
      <w:tr>
        <w:trPr/>
        <w:tc>
          <w:tcPr>
            <w:tcW w:w="38" w:type="dxa"/>
            <w:tcBorders/>
            <w:vAlign w:val="center"/>
          </w:tcPr>
          <w:p>
            <w:pPr>
              <w:pStyle w:val="TableContents"/>
              <w:bidi w:val="0"/>
              <w:spacing w:before="0" w:after="283"/>
              <w:jc w:val="left"/>
              <w:rPr/>
            </w:pPr>
            <w:r>
              <w:rPr/>
            </w:r>
          </w:p>
        </w:tc>
        <w:tc>
          <w:tcPr>
            <w:tcW w:w="7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u w:val="single"/>
              </w:rPr>
              <w:t>In China</w:t>
            </w:r>
            <w:r>
              <w:rPr>
                <w:rFonts w:ascii="Times New Roman" w:hAnsi="Times New Roman"/>
                <w:sz w:val="20"/>
              </w:rPr>
              <w:t>:</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Blueshirt Group Asia</w:t>
            </w:r>
          </w:p>
        </w:tc>
      </w:tr>
    </w:tbl>
    <w:p>
      <w:pPr>
        <w:pStyle w:val="TextBody"/>
        <w:bidi w:val="0"/>
        <w:spacing w:before="0" w:after="0"/>
        <w:ind w:left="3060" w:right="0" w:hanging="0"/>
        <w:jc w:val="left"/>
        <w:rPr>
          <w:rFonts w:ascii="Times New Roman" w:hAnsi="Times New Roman"/>
          <w:color w:val="000000"/>
          <w:sz w:val="20"/>
        </w:rPr>
      </w:pPr>
      <w:r>
        <w:rPr>
          <w:rFonts w:ascii="Times New Roman" w:hAnsi="Times New Roman"/>
          <w:color w:val="000000"/>
          <w:sz w:val="20"/>
        </w:rPr>
        <w:t>Gary Dvorchak, CFA</w:t>
      </w:r>
    </w:p>
    <w:p>
      <w:pPr>
        <w:pStyle w:val="TextBody"/>
        <w:bidi w:val="0"/>
        <w:spacing w:before="0" w:after="0"/>
        <w:ind w:left="3060" w:right="0" w:hanging="0"/>
        <w:jc w:val="left"/>
        <w:rPr>
          <w:rFonts w:ascii="Times New Roman" w:hAnsi="Times New Roman"/>
          <w:i/>
          <w:color w:val="000000"/>
          <w:sz w:val="20"/>
        </w:rPr>
      </w:pPr>
      <w:r>
        <w:rPr>
          <w:rFonts w:ascii="Times New Roman" w:hAnsi="Times New Roman"/>
          <w:i/>
          <w:color w:val="000000"/>
          <w:sz w:val="20"/>
        </w:rPr>
        <w:t>gary@blueshirtgroup.co</w:t>
      </w:r>
    </w:p>
    <w:p>
      <w:pPr>
        <w:pStyle w:val="TextBody"/>
        <w:bidi w:val="0"/>
        <w:spacing w:before="0" w:after="0"/>
        <w:jc w:val="left"/>
        <w:rPr/>
      </w:pPr>
      <w:r>
        <w:rPr/>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1055</Words>
  <Characters>5933</Characters>
  <CharactersWithSpaces>6930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