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1"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Securities Exchange Act of 1934:</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held our 2021 Annual Meeting of Stockholders on June 2, 2021. The board of directors solicited proxies pursuant to a proxy statement that we filed with the Securities and Exchange Commission under Section 14(a) of the Securities Exchange Act of 1934 on April 23, 2021, as supplemented by a proxy supplement filed on May 21, 2021. There was no solicitation in opposition to the board’s solicitation.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meeting, holders of Class A and Class B common stock were asked to consider and vote upon the four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43,807,636 votes, or 83.2% of the total votes attributable to all outstanding shares of Class A and Class B common stock, were present in person or by proxy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reported below are final.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matters considered and voted on by the stockholders at the meeting and the votes of the stockholders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1. Stockholders voted as follows with respect to the election of each of the nominees for director identified in the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Nominee</w:t>
            </w:r>
          </w:p>
        </w:tc>
        <w:tc>
          <w:tcPr>
            <w:tcW w:w="28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6"/>
              </w:rPr>
              <w:t>For</w:t>
            </w: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Withhold</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Broker Non-Votes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28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40,204,208</w:t>
            </w:r>
          </w:p>
        </w:tc>
        <w:tc>
          <w:tcPr>
            <w:tcW w:w="20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874,896</w:t>
            </w:r>
          </w:p>
        </w:tc>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2,728,532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Haiping Dun</w:t>
            </w:r>
          </w:p>
        </w:tc>
        <w:tc>
          <w:tcPr>
            <w:tcW w:w="2860" w:type="dxa"/>
            <w:vAlign w:val="bottom"/>
          </w:tcPr>
          <w:p>
            <w:pPr>
              <w:jc w:val="center"/>
              <w:ind w:left="470"/>
              <w:spacing w:after="0"/>
              <w:rPr>
                <w:sz w:val="20"/>
                <w:szCs w:val="20"/>
                <w:color w:val="auto"/>
              </w:rPr>
            </w:pPr>
            <w:r>
              <w:rPr>
                <w:rFonts w:ascii="Arial" w:cs="Arial" w:eastAsia="Arial" w:hAnsi="Arial"/>
                <w:sz w:val="18"/>
                <w:szCs w:val="18"/>
                <w:color w:val="auto"/>
                <w:w w:val="90"/>
              </w:rPr>
              <w:t>40,178,137</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92"/>
              </w:rPr>
              <w:t>900,967</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89"/>
              </w:rPr>
              <w:t>2,728,532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Chenming C. Hu</w:t>
            </w:r>
          </w:p>
        </w:tc>
        <w:tc>
          <w:tcPr>
            <w:tcW w:w="28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40,098,049</w:t>
            </w:r>
          </w:p>
        </w:tc>
        <w:tc>
          <w:tcPr>
            <w:tcW w:w="20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981,055</w:t>
            </w:r>
          </w:p>
        </w:tc>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2,728,532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Tracy Liu</w:t>
            </w:r>
          </w:p>
        </w:tc>
        <w:tc>
          <w:tcPr>
            <w:tcW w:w="2860" w:type="dxa"/>
            <w:vAlign w:val="bottom"/>
          </w:tcPr>
          <w:p>
            <w:pPr>
              <w:jc w:val="center"/>
              <w:ind w:left="470"/>
              <w:spacing w:after="0"/>
              <w:rPr>
                <w:sz w:val="20"/>
                <w:szCs w:val="20"/>
                <w:color w:val="auto"/>
              </w:rPr>
            </w:pPr>
            <w:r>
              <w:rPr>
                <w:rFonts w:ascii="Arial" w:cs="Arial" w:eastAsia="Arial" w:hAnsi="Arial"/>
                <w:sz w:val="18"/>
                <w:szCs w:val="18"/>
                <w:color w:val="auto"/>
                <w:w w:val="90"/>
              </w:rPr>
              <w:t>40,098,333</w:t>
            </w:r>
          </w:p>
        </w:tc>
        <w:tc>
          <w:tcPr>
            <w:tcW w:w="2060" w:type="dxa"/>
            <w:vAlign w:val="bottom"/>
          </w:tcPr>
          <w:p>
            <w:pPr>
              <w:jc w:val="center"/>
              <w:ind w:left="50"/>
              <w:spacing w:after="0"/>
              <w:rPr>
                <w:sz w:val="20"/>
                <w:szCs w:val="20"/>
                <w:color w:val="auto"/>
              </w:rPr>
            </w:pPr>
            <w:r>
              <w:rPr>
                <w:rFonts w:ascii="Arial" w:cs="Arial" w:eastAsia="Arial" w:hAnsi="Arial"/>
                <w:sz w:val="18"/>
                <w:szCs w:val="18"/>
                <w:color w:val="auto"/>
                <w:w w:val="92"/>
              </w:rPr>
              <w:t>980,771</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89"/>
              </w:rPr>
              <w:t>2,728,532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Yinan Xiang</w:t>
            </w:r>
          </w:p>
        </w:tc>
        <w:tc>
          <w:tcPr>
            <w:tcW w:w="28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38,867,446</w:t>
            </w:r>
          </w:p>
        </w:tc>
        <w:tc>
          <w:tcPr>
            <w:tcW w:w="20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2,211,658</w:t>
            </w:r>
          </w:p>
        </w:tc>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2,728,532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this vote, each of the five nominees was elected as a director to serve until the 2022 Annual Meeting of Stockholders and until his or her successor is duly elected and qualified.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2. Stockholders approved the amendments to our certificate of incorporation principally to increase numbers of authorized shares of common stock, by the following vote.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Approval of amendments to certificate of incorporation principally to increase numbers of authorized shares</w:t>
            </w: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of common stock</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40,209,075</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3,583,022</w:t>
            </w: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15,539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3. Stockholders ratified the appointment of BDO China Shu Lun Pan Certified Public Accountants LLP as our independent auditor for the fiscal year ending December 31, 2021, by the following vote: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6"/>
              </w:rPr>
              <w:t>For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w w:val="98"/>
              </w:rPr>
              <w:t>Ratification of Appointment of BDO China Shu Lun Pan Certified Public Accountants LLP for 2021</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43,778,873</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10,320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18,443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4. Stockholders approved, as an advisory vote, our executive compensation for 2020, by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Broker Non-</w:t>
            </w:r>
          </w:p>
        </w:tc>
      </w:tr>
      <w:tr>
        <w:trPr>
          <w:trHeight w:val="241"/>
        </w:trPr>
        <w:tc>
          <w:tcPr>
            <w:tcW w:w="45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center"/>
              <w:ind w:left="1876"/>
              <w:spacing w:after="0"/>
              <w:rPr>
                <w:sz w:val="20"/>
                <w:szCs w:val="20"/>
                <w:color w:val="auto"/>
              </w:rPr>
            </w:pPr>
            <w:r>
              <w:rPr>
                <w:rFonts w:ascii="Arial" w:cs="Arial" w:eastAsia="Arial" w:hAnsi="Arial"/>
                <w:sz w:val="18"/>
                <w:szCs w:val="18"/>
                <w:b w:val="1"/>
                <w:bCs w:val="1"/>
                <w:color w:val="auto"/>
                <w:w w:val="96"/>
              </w:rPr>
              <w:t>For</w:t>
            </w: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Against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Votes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Advisory vote on 2020 executive compensation</w:t>
            </w:r>
          </w:p>
        </w:tc>
        <w:tc>
          <w:tcPr>
            <w:tcW w:w="3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40,838,880</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237,124</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2,728,532</w:t>
            </w:r>
          </w:p>
        </w:tc>
      </w:tr>
      <w:tr>
        <w:trPr>
          <w:trHeight w:val="582"/>
        </w:trPr>
        <w:tc>
          <w:tcPr>
            <w:tcW w:w="4520" w:type="dxa"/>
            <w:vAlign w:val="bottom"/>
          </w:tcPr>
          <w:p>
            <w:pPr>
              <w:spacing w:after="0"/>
              <w:rPr>
                <w:sz w:val="24"/>
                <w:szCs w:val="24"/>
                <w:color w:val="auto"/>
              </w:rPr>
            </w:pPr>
          </w:p>
        </w:tc>
        <w:tc>
          <w:tcPr>
            <w:tcW w:w="3200" w:type="dxa"/>
            <w:vAlign w:val="bottom"/>
          </w:tcPr>
          <w:p>
            <w:pPr>
              <w:jc w:val="right"/>
              <w:ind w:right="1976"/>
              <w:spacing w:after="0"/>
              <w:rPr>
                <w:sz w:val="20"/>
                <w:szCs w:val="20"/>
                <w:color w:val="auto"/>
              </w:rPr>
            </w:pPr>
            <w:r>
              <w:rPr>
                <w:rFonts w:ascii="Arial" w:cs="Arial" w:eastAsia="Arial" w:hAnsi="Arial"/>
                <w:sz w:val="14"/>
                <w:szCs w:val="14"/>
                <w:color w:val="auto"/>
              </w:rPr>
              <w:t>2</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
        </w:trPr>
        <w:tc>
          <w:tcPr>
            <w:tcW w:w="452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2021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2021-06-03T15:52:03Z</dcterms:created>
  <dcterms:modified xsi:type="dcterms:W3CDTF">2021-06-03T15:52:03Z</dcterms:modified>
</cp:coreProperties>
</file>