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November 6, 2019</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ACM Research,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i w:val="1"/>
          <w:iCs w:val="1"/>
          <w:color w:val="auto"/>
        </w:rPr>
        <w:t>(Exact Name of Registrant as Specified in its Charter)</w:t>
      </w:r>
    </w:p>
    <w:p>
      <w:pPr>
        <w:sectPr>
          <w:pgSz w:w="11900" w:h="16838" w:orient="portrait"/>
          <w:cols w:equalWidth="0" w:num="1">
            <w:col w:w="11420"/>
          </w:cols>
          <w:pgMar w:left="240" w:top="535" w:right="239" w:bottom="1440" w:gutter="0" w:footer="0" w:header="0"/>
        </w:sectPr>
      </w:pPr>
    </w:p>
    <w:p>
      <w:pPr>
        <w:spacing w:after="0" w:line="218"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jc w:val="center"/>
        <w:ind w:right="2280"/>
        <w:spacing w:after="0"/>
        <w:rPr>
          <w:sz w:val="20"/>
          <w:szCs w:val="20"/>
          <w:color w:val="auto"/>
        </w:rPr>
      </w:pPr>
      <w:r>
        <w:rPr>
          <w:rFonts w:ascii="Arial" w:cs="Arial" w:eastAsia="Arial" w:hAnsi="Arial"/>
          <w:sz w:val="16"/>
          <w:szCs w:val="16"/>
          <w:b w:val="1"/>
          <w:bCs w:val="1"/>
          <w:color w:val="auto"/>
        </w:rPr>
        <w:t>001-38273</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94-3290283</w:t>
      </w:r>
    </w:p>
    <w:p>
      <w:pPr>
        <w:spacing w:after="0" w:line="50" w:lineRule="exact"/>
        <w:rPr>
          <w:sz w:val="24"/>
          <w:szCs w:val="24"/>
          <w:color w:val="auto"/>
        </w:rPr>
      </w:pPr>
    </w:p>
    <w:p>
      <w:pPr>
        <w:sectPr>
          <w:pgSz w:w="11900" w:h="16838" w:orient="portrait"/>
          <w:cols w:equalWidth="0" w:num="3">
            <w:col w:w="4600" w:space="720"/>
            <w:col w:w="3060" w:space="720"/>
            <w:col w:w="2320"/>
          </w:cols>
          <w:pgMar w:left="240" w:top="535" w:right="239" w:bottom="1440" w:gutter="0" w:footer="0" w:header="0"/>
          <w:type w:val="continuous"/>
        </w:sectPr>
      </w:pPr>
    </w:p>
    <w:p>
      <w:pPr>
        <w:ind w:left="24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3">
            <w:col w:w="4000" w:space="720"/>
            <w:col w:w="2860" w:space="720"/>
            <w:col w:w="3120"/>
          </w:cols>
          <w:pgMar w:left="240" w:top="535" w:right="239" w:bottom="1440" w:gutter="0" w:footer="0" w:header="0"/>
          <w:type w:val="continuous"/>
        </w:sectPr>
      </w:pPr>
    </w:p>
    <w:p>
      <w:pPr>
        <w:spacing w:after="0" w:line="57" w:lineRule="exact"/>
        <w:rPr>
          <w:sz w:val="24"/>
          <w:szCs w:val="24"/>
          <w:color w:val="auto"/>
        </w:rPr>
      </w:pPr>
    </w:p>
    <w:p>
      <w:pPr>
        <w:jc w:val="center"/>
        <w:ind w:right="1900"/>
        <w:spacing w:after="0"/>
        <w:rPr>
          <w:sz w:val="20"/>
          <w:szCs w:val="20"/>
          <w:color w:val="auto"/>
        </w:rPr>
      </w:pPr>
      <w:r>
        <w:rPr>
          <w:rFonts w:ascii="Arial" w:cs="Arial" w:eastAsia="Arial" w:hAnsi="Arial"/>
          <w:sz w:val="18"/>
          <w:szCs w:val="18"/>
          <w:b w:val="1"/>
          <w:bCs w:val="1"/>
          <w:color w:val="auto"/>
        </w:rPr>
        <w:t>42307 Osgood Road, Suite I</w:t>
      </w:r>
    </w:p>
    <w:p>
      <w:pPr>
        <w:spacing w:after="0" w:line="27" w:lineRule="exact"/>
        <w:rPr>
          <w:sz w:val="24"/>
          <w:szCs w:val="24"/>
          <w:color w:val="auto"/>
        </w:rPr>
      </w:pPr>
    </w:p>
    <w:p>
      <w:pPr>
        <w:jc w:val="center"/>
        <w:ind w:right="1900"/>
        <w:spacing w:after="0"/>
        <w:rPr>
          <w:sz w:val="20"/>
          <w:szCs w:val="20"/>
          <w:color w:val="auto"/>
        </w:rPr>
      </w:pPr>
      <w:r>
        <w:rPr>
          <w:rFonts w:ascii="Arial" w:cs="Arial" w:eastAsia="Arial" w:hAnsi="Arial"/>
          <w:sz w:val="18"/>
          <w:szCs w:val="18"/>
          <w:b w:val="1"/>
          <w:bCs w:val="1"/>
          <w:color w:val="auto"/>
        </w:rPr>
        <w:t>Fremont, California</w:t>
      </w:r>
    </w:p>
    <w:p>
      <w:pPr>
        <w:spacing w:after="0" w:line="9" w:lineRule="exact"/>
        <w:rPr>
          <w:sz w:val="24"/>
          <w:szCs w:val="24"/>
          <w:color w:val="auto"/>
        </w:rPr>
      </w:pPr>
    </w:p>
    <w:p>
      <w:pPr>
        <w:jc w:val="center"/>
        <w:ind w:right="190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94539</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i w:val="1"/>
          <w:iCs w:val="1"/>
          <w:color w:val="auto"/>
        </w:rPr>
        <w:t>(Zip Code)</w:t>
      </w:r>
    </w:p>
    <w:p>
      <w:pPr>
        <w:spacing w:after="0" w:line="200" w:lineRule="exact"/>
        <w:rPr>
          <w:sz w:val="24"/>
          <w:szCs w:val="24"/>
          <w:color w:val="auto"/>
        </w:rPr>
      </w:pPr>
    </w:p>
    <w:p>
      <w:pPr>
        <w:sectPr>
          <w:pgSz w:w="11900" w:h="16838" w:orient="portrait"/>
          <w:cols w:equalWidth="0" w:num="2">
            <w:col w:w="7520" w:space="720"/>
            <w:col w:w="3180"/>
          </w:cols>
          <w:pgMar w:left="240" w:top="535" w:right="239" w:bottom="1440"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Registrant’s telephone number, including area code: </w:t>
      </w:r>
      <w:r>
        <w:rPr>
          <w:rFonts w:ascii="Arial" w:cs="Arial" w:eastAsia="Arial" w:hAnsi="Arial"/>
          <w:sz w:val="22"/>
          <w:szCs w:val="22"/>
          <w:b w:val="1"/>
          <w:bCs w:val="1"/>
          <w:color w:val="auto"/>
        </w:rPr>
        <w:t>(510) 445-3700</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i w:val="1"/>
          <w:iCs w:val="1"/>
          <w:color w:val="auto"/>
        </w:rPr>
        <w:t>(Former Name or Former Address, If Changed Since Last Report)</w:t>
      </w:r>
    </w:p>
    <w:p>
      <w:pPr>
        <w:spacing w:after="0" w:line="215" w:lineRule="exact"/>
        <w:rPr>
          <w:sz w:val="24"/>
          <w:szCs w:val="24"/>
          <w:color w:val="auto"/>
        </w:rPr>
      </w:pPr>
    </w:p>
    <w:p>
      <w:pPr>
        <w:ind w:right="20"/>
        <w:spacing w:after="0" w:line="238"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9"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500" w:type="dxa"/>
            <w:vAlign w:val="bottom"/>
            <w:gridSpan w:val="2"/>
          </w:tcPr>
          <w:p>
            <w:pPr>
              <w:ind w:left="1960"/>
              <w:spacing w:after="0"/>
              <w:rPr>
                <w:sz w:val="20"/>
                <w:szCs w:val="20"/>
                <w:color w:val="auto"/>
              </w:rPr>
            </w:pPr>
            <w:r>
              <w:rPr>
                <w:rFonts w:ascii="Arial" w:cs="Arial" w:eastAsia="Arial" w:hAnsi="Arial"/>
                <w:sz w:val="18"/>
                <w:szCs w:val="18"/>
                <w:b w:val="1"/>
                <w:bCs w:val="1"/>
                <w:color w:val="auto"/>
              </w:rPr>
              <w:t>Title of each class</w:t>
            </w: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Trading symbol</w:t>
            </w:r>
          </w:p>
        </w:tc>
        <w:tc>
          <w:tcPr>
            <w:tcW w:w="39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20" w:type="dxa"/>
            <w:vAlign w:val="bottom"/>
          </w:tcPr>
          <w:p>
            <w:pPr>
              <w:spacing w:after="0"/>
              <w:rPr>
                <w:sz w:val="20"/>
                <w:szCs w:val="20"/>
                <w:color w:val="auto"/>
              </w:rPr>
            </w:pPr>
          </w:p>
        </w:tc>
        <w:tc>
          <w:tcPr>
            <w:tcW w:w="5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Class A Common Stock, par value $0.0001 per share</w:t>
            </w:r>
          </w:p>
        </w:tc>
        <w:tc>
          <w:tcPr>
            <w:tcW w:w="240" w:type="dxa"/>
            <w:vAlign w:val="bottom"/>
          </w:tcPr>
          <w:p>
            <w:pPr>
              <w:spacing w:after="0"/>
              <w:rPr>
                <w:sz w:val="20"/>
                <w:szCs w:val="20"/>
                <w:color w:val="auto"/>
              </w:rPr>
            </w:pP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ACMR</w:t>
            </w:r>
          </w:p>
        </w:tc>
        <w:tc>
          <w:tcPr>
            <w:tcW w:w="200" w:type="dxa"/>
            <w:vAlign w:val="bottom"/>
          </w:tcPr>
          <w:p>
            <w:pPr>
              <w:spacing w:after="0"/>
              <w:rPr>
                <w:sz w:val="20"/>
                <w:szCs w:val="20"/>
                <w:color w:val="auto"/>
              </w:rPr>
            </w:pPr>
          </w:p>
        </w:tc>
        <w:tc>
          <w:tcPr>
            <w:tcW w:w="3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207" w:lineRule="exact"/>
        <w:rPr>
          <w:sz w:val="24"/>
          <w:szCs w:val="24"/>
          <w:color w:val="auto"/>
        </w:rPr>
      </w:pPr>
    </w:p>
    <w:p>
      <w:pPr>
        <w:ind w:right="80"/>
        <w:spacing w:after="0" w:line="278" w:lineRule="exact"/>
        <w:rPr>
          <w:sz w:val="20"/>
          <w:szCs w:val="20"/>
          <w:color w:val="auto"/>
        </w:rPr>
      </w:pPr>
      <w:r>
        <w:rPr>
          <w:rFonts w:ascii="Arial" w:cs="Arial" w:eastAsia="Arial" w:hAnsi="Arial"/>
          <w:sz w:val="22"/>
          <w:szCs w:val="22"/>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22"/>
          <w:szCs w:val="22"/>
          <w:color w:val="auto"/>
        </w:rPr>
        <w:t>☑</w:t>
      </w:r>
    </w:p>
    <w:p>
      <w:pPr>
        <w:spacing w:after="0" w:line="188" w:lineRule="exact"/>
        <w:rPr>
          <w:sz w:val="24"/>
          <w:szCs w:val="24"/>
          <w:color w:val="auto"/>
        </w:rPr>
      </w:pPr>
    </w:p>
    <w:p>
      <w:pPr>
        <w:ind w:right="320"/>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49" w:lineRule="exact"/>
        <w:rPr>
          <w:sz w:val="20"/>
          <w:szCs w:val="20"/>
          <w:color w:val="auto"/>
        </w:rPr>
      </w:pPr>
    </w:p>
    <w:p>
      <w:pPr>
        <w:ind w:right="80" w:firstLine="324"/>
        <w:spacing w:after="0" w:line="251" w:lineRule="auto"/>
        <w:rPr>
          <w:sz w:val="20"/>
          <w:szCs w:val="20"/>
          <w:color w:val="auto"/>
        </w:rPr>
      </w:pPr>
      <w:r>
        <w:rPr>
          <w:rFonts w:ascii="Arial" w:cs="Arial" w:eastAsia="Arial" w:hAnsi="Arial"/>
          <w:sz w:val="22"/>
          <w:szCs w:val="22"/>
          <w:color w:val="auto"/>
        </w:rPr>
        <w:t>On November 6, 2019, we issued a press release announcing financial results for the third quarter of 2019. The full text of the press release is furnished as Exhibit 99.01 hereto and is incorporated herein by reference.</w:t>
      </w:r>
    </w:p>
    <w:p>
      <w:pPr>
        <w:spacing w:after="0" w:line="200" w:lineRule="exact"/>
        <w:rPr>
          <w:sz w:val="20"/>
          <w:szCs w:val="20"/>
          <w:color w:val="auto"/>
        </w:rPr>
      </w:pPr>
    </w:p>
    <w:p>
      <w:pPr>
        <w:ind w:firstLine="324"/>
        <w:spacing w:after="0" w:line="252" w:lineRule="auto"/>
        <w:rPr>
          <w:sz w:val="20"/>
          <w:szCs w:val="20"/>
          <w:color w:val="auto"/>
        </w:rPr>
      </w:pPr>
      <w:r>
        <w:rPr>
          <w:rFonts w:ascii="Arial" w:cs="Arial" w:eastAsia="Arial" w:hAnsi="Arial"/>
          <w:sz w:val="21"/>
          <w:szCs w:val="21"/>
          <w:color w:val="auto"/>
        </w:rPr>
        <w:t>The information contained in this item 2.02, including the exhibit furnished hereto, is intended to be furnished and shall not be deemed “filed” for purposes of Section 18 of the Securities Exchange Act of 1934 or otherwise subject to the liabilities of that section, nor shall it be deemed incorporated by refer ence in any filing under the Securities Act of 1933 or the Securities Exchange Act of 1934, except as expressly set forth by specific reference in such filing.</w:t>
      </w:r>
    </w:p>
    <w:p>
      <w:pPr>
        <w:spacing w:after="0" w:line="20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52" w:lineRule="exact"/>
        <w:rPr>
          <w:sz w:val="20"/>
          <w:szCs w:val="20"/>
          <w:color w:val="auto"/>
        </w:rPr>
      </w:pPr>
    </w:p>
    <w:p>
      <w:pPr>
        <w:ind w:left="160"/>
        <w:spacing w:after="0"/>
        <w:tabs>
          <w:tab w:leader="none" w:pos="578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ind w:left="240"/>
        <w:spacing w:after="0"/>
        <w:tabs>
          <w:tab w:leader="none" w:pos="1060" w:val="left"/>
        </w:tabs>
        <w:rPr>
          <w:rFonts w:ascii="Arial" w:cs="Arial" w:eastAsia="Arial" w:hAnsi="Arial"/>
          <w:sz w:val="18"/>
          <w:szCs w:val="18"/>
          <w:color w:val="0000EE"/>
        </w:rPr>
      </w:pPr>
      <w:hyperlink w:anchor="page4">
        <w:r>
          <w:rPr>
            <w:rFonts w:ascii="Arial" w:cs="Arial" w:eastAsia="Arial" w:hAnsi="Arial"/>
            <w:sz w:val="18"/>
            <w:szCs w:val="18"/>
            <w:u w:val="single" w:color="auto"/>
            <w:color w:val="0000EE"/>
          </w:rPr>
          <w:t>99.01</w:t>
        </w:r>
      </w:hyperlink>
      <w:r>
        <w:rPr>
          <w:rFonts w:ascii="Arial" w:cs="Arial" w:eastAsia="Arial" w:hAnsi="Arial"/>
          <w:sz w:val="18"/>
          <w:szCs w:val="18"/>
          <w:color w:val="0000EE"/>
        </w:rPr>
        <w:tab/>
      </w:r>
      <w:r>
        <w:rPr>
          <w:rFonts w:ascii="Arial" w:cs="Arial" w:eastAsia="Arial" w:hAnsi="Arial"/>
          <w:sz w:val="16"/>
          <w:szCs w:val="16"/>
          <w:color w:val="0000EE"/>
        </w:rPr>
        <w:t>Press release of ACM Research, Inc. dated November 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121"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ind w:firstLine="324"/>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ACM RESEARCH,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David H. Wang</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 and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99.01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866140" cy="5403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6614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ACM Research Reports Third Quarter 2019 Results</w:t>
      </w:r>
    </w:p>
    <w:p>
      <w:pPr>
        <w:spacing w:after="0" w:line="239" w:lineRule="exact"/>
        <w:rPr>
          <w:sz w:val="20"/>
          <w:szCs w:val="20"/>
          <w:color w:val="auto"/>
        </w:rPr>
      </w:pPr>
    </w:p>
    <w:p>
      <w:pPr>
        <w:ind w:right="80"/>
        <w:spacing w:after="0"/>
        <w:rPr>
          <w:sz w:val="20"/>
          <w:szCs w:val="20"/>
          <w:color w:val="auto"/>
        </w:rPr>
      </w:pPr>
      <w:r>
        <w:rPr>
          <w:rFonts w:ascii="Arial" w:cs="Arial" w:eastAsia="Arial" w:hAnsi="Arial"/>
          <w:sz w:val="22"/>
          <w:szCs w:val="22"/>
          <w:color w:val="auto"/>
        </w:rPr>
        <w:t>FREMONT, California, November 6, 2019 (Globe Newswire) – ACM Research, Inc. (“ACM” or the “Company”) (NASDAQ:ACMR), a provider of single-wafer wet cleaning equipment used by manufacturers of advanced semiconductors, today reported financial results for its third fiscal quarter ended September 30, 2019.</w:t>
      </w:r>
    </w:p>
    <w:p>
      <w:pPr>
        <w:spacing w:after="0" w:line="213"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ACM’s President and Chief Executive Officer Dr. David Wang commented, "We delivered record revenue and shipments, demonstrating our ability to scale production to major customers. We had several important deliveries in the quarter, including a “first tool” to our newest customer, an emerging China-based DRAM manufacturer, and several ECP AP tools to a major packaging customer. With a successful U.S. capital raise, we now have $47 million in cash, which puts us in a good position to support our growth plans.”</w:t>
      </w:r>
    </w:p>
    <w:p>
      <w:pPr>
        <w:spacing w:after="0" w:line="215"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Dr. Wang continued, “Our lead customer for Tahoe has confirmed good cleaning performance and significant sulfuric acid savings in a production environment. Development work continues on TEBO, and significant technical progress has been made to meet customer requirements for the combined removal of big and small particles for 3D-patterned structures without damage. Finally, we expanded our global sales team, with key hires in North America and Southeast Asia, and we are in advanced negotiations to acquire new land in Shanghai to support our longer term production plans.”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Recent Operating Highlights</w:t>
      </w:r>
    </w:p>
    <w:p>
      <w:pPr>
        <w:spacing w:after="0" w:line="242" w:lineRule="exact"/>
        <w:rPr>
          <w:sz w:val="20"/>
          <w:szCs w:val="20"/>
          <w:color w:val="auto"/>
        </w:rPr>
      </w:pPr>
    </w:p>
    <w:p>
      <w:pPr>
        <w:ind w:left="340" w:right="260" w:hanging="332"/>
        <w:spacing w:after="0" w:line="266"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Shipments. </w:t>
      </w:r>
      <w:r>
        <w:rPr>
          <w:rFonts w:ascii="Arial" w:cs="Arial" w:eastAsia="Arial" w:hAnsi="Arial"/>
          <w:sz w:val="18"/>
          <w:szCs w:val="18"/>
          <w:color w:val="auto"/>
        </w:rPr>
        <w:t>Total shipments in the third quarter of 2019 were $43 million, compared to $33 million last quarter and $32 million in the third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2018. Shipments include deliveries for revenue in the quarter and deliveries of systems awaiting customer acceptance for potential revenue in future quarters.</w:t>
      </w:r>
    </w:p>
    <w:p>
      <w:pPr>
        <w:spacing w:after="0" w:line="203" w:lineRule="exact"/>
        <w:rPr>
          <w:rFonts w:ascii="Arial" w:cs="Arial" w:eastAsia="Arial" w:hAnsi="Arial"/>
          <w:sz w:val="18"/>
          <w:szCs w:val="18"/>
          <w:color w:val="auto"/>
        </w:rPr>
      </w:pPr>
    </w:p>
    <w:p>
      <w:pPr>
        <w:ind w:left="340" w:right="540" w:hanging="332"/>
        <w:spacing w:after="0" w:line="313" w:lineRule="auto"/>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SAPS-V “First Tool” delivered to new DRAM customer</w:t>
      </w:r>
      <w:r>
        <w:rPr>
          <w:rFonts w:ascii="Arial" w:cs="Arial" w:eastAsia="Arial" w:hAnsi="Arial"/>
          <w:sz w:val="17"/>
          <w:szCs w:val="17"/>
          <w:color w:val="auto"/>
        </w:rPr>
        <w:t>. ACM delivered a SAPS-V single wafer cleaning tool to an emerging manufacturer of</w:t>
      </w:r>
      <w:r>
        <w:rPr>
          <w:rFonts w:ascii="Arial" w:cs="Arial" w:eastAsia="Arial" w:hAnsi="Arial"/>
          <w:sz w:val="17"/>
          <w:szCs w:val="17"/>
          <w:b w:val="1"/>
          <w:bCs w:val="1"/>
          <w:color w:val="auto"/>
        </w:rPr>
        <w:t xml:space="preserve"> </w:t>
      </w:r>
      <w:r>
        <w:rPr>
          <w:rFonts w:ascii="Arial" w:cs="Arial" w:eastAsia="Arial" w:hAnsi="Arial"/>
          <w:sz w:val="17"/>
          <w:szCs w:val="17"/>
          <w:color w:val="auto"/>
        </w:rPr>
        <w:t>DRAM memory chips in China in the third quarter of 2019, with revenue recognition upon qualification and acceptance.</w:t>
      </w:r>
    </w:p>
    <w:p>
      <w:pPr>
        <w:spacing w:after="0" w:line="165" w:lineRule="exact"/>
        <w:rPr>
          <w:rFonts w:ascii="Arial" w:cs="Arial" w:eastAsia="Arial" w:hAnsi="Arial"/>
          <w:sz w:val="17"/>
          <w:szCs w:val="17"/>
          <w:color w:val="auto"/>
        </w:rPr>
      </w:pPr>
    </w:p>
    <w:p>
      <w:pPr>
        <w:ind w:left="340" w:right="320" w:hanging="332"/>
        <w:spacing w:after="0" w:line="266"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Equity Raise. </w:t>
      </w:r>
      <w:r>
        <w:rPr>
          <w:rFonts w:ascii="Arial" w:cs="Arial" w:eastAsia="Arial" w:hAnsi="Arial"/>
          <w:sz w:val="18"/>
          <w:szCs w:val="18"/>
          <w:color w:val="auto"/>
        </w:rPr>
        <w:t>In August 2019, ACM completed a successful US capital raise, raising approximately $23 million in net proceeds. This 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provides an important capital infusion, enabling ACM to further execute its growth strategy, support customer development efforts, and strengthen its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u w:val="single" w:color="auto"/>
          <w:color w:val="auto"/>
        </w:rPr>
        <w:t>Financial Summary</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4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w w:val="90"/>
              </w:rPr>
              <w:t>Three Months Ended September 30,</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4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GAAP</w:t>
            </w:r>
          </w:p>
        </w:tc>
        <w:tc>
          <w:tcPr>
            <w:tcW w:w="8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5"/>
          </w:tcPr>
          <w:p>
            <w:pPr>
              <w:jc w:val="right"/>
              <w:ind w:right="510"/>
              <w:spacing w:after="0"/>
              <w:rPr>
                <w:sz w:val="20"/>
                <w:szCs w:val="20"/>
                <w:color w:val="auto"/>
              </w:rPr>
            </w:pPr>
            <w:r>
              <w:rPr>
                <w:rFonts w:ascii="Arial" w:cs="Arial" w:eastAsia="Arial" w:hAnsi="Arial"/>
                <w:sz w:val="18"/>
                <w:szCs w:val="18"/>
                <w:b w:val="1"/>
                <w:bCs w:val="1"/>
                <w:color w:val="auto"/>
              </w:rPr>
              <w:t>Non-GAAP(1)</w:t>
            </w:r>
          </w:p>
        </w:tc>
        <w:tc>
          <w:tcPr>
            <w:tcW w:w="160" w:type="dxa"/>
            <w:vAlign w:val="bottom"/>
          </w:tcPr>
          <w:p>
            <w:pPr>
              <w:spacing w:after="0"/>
              <w:rPr>
                <w:sz w:val="19"/>
                <w:szCs w:val="19"/>
                <w:color w:val="auto"/>
              </w:rPr>
            </w:pPr>
          </w:p>
        </w:tc>
      </w:tr>
      <w:tr>
        <w:trPr>
          <w:trHeight w:val="223"/>
        </w:trPr>
        <w:tc>
          <w:tcPr>
            <w:tcW w:w="4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9"/>
                <w:szCs w:val="19"/>
                <w:color w:val="auto"/>
              </w:rPr>
            </w:pPr>
          </w:p>
        </w:tc>
      </w:tr>
      <w:tr>
        <w:trPr>
          <w:trHeight w:val="216"/>
        </w:trPr>
        <w:tc>
          <w:tcPr>
            <w:tcW w:w="4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6"/>
          </w:tcPr>
          <w:p>
            <w:pPr>
              <w:jc w:val="right"/>
              <w:ind w:right="600"/>
              <w:spacing w:after="0"/>
              <w:rPr>
                <w:sz w:val="20"/>
                <w:szCs w:val="20"/>
                <w:color w:val="auto"/>
              </w:rPr>
            </w:pPr>
            <w:r>
              <w:rPr>
                <w:rFonts w:ascii="Arial" w:cs="Arial" w:eastAsia="Arial" w:hAnsi="Arial"/>
                <w:sz w:val="18"/>
                <w:szCs w:val="18"/>
                <w:i w:val="1"/>
                <w:iCs w:val="1"/>
                <w:color w:val="auto"/>
                <w:w w:val="97"/>
              </w:rPr>
              <w:t>(dollars in thousands)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33,427</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23,179</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33,427</w:t>
            </w:r>
          </w:p>
        </w:tc>
        <w:tc>
          <w:tcPr>
            <w:tcW w:w="2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23,179</w:t>
            </w:r>
          </w:p>
        </w:tc>
        <w:tc>
          <w:tcPr>
            <w:tcW w:w="16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Gross margin</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48.6%</w:t>
            </w: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44.4%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49.1%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44.5%</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7,030</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8,587</w:t>
            </w:r>
          </w:p>
        </w:tc>
        <w:tc>
          <w:tcPr>
            <w:tcW w:w="2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3,815</w:t>
            </w:r>
          </w:p>
        </w:tc>
        <w:tc>
          <w:tcPr>
            <w:tcW w:w="16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Net income attributable to ACM Research, Inc.</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8,782</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3,853</w:t>
            </w:r>
          </w:p>
        </w:tc>
        <w:tc>
          <w:tcPr>
            <w:tcW w:w="18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10,339</w:t>
            </w:r>
          </w:p>
        </w:tc>
        <w:tc>
          <w:tcPr>
            <w:tcW w:w="240" w:type="dxa"/>
            <w:vAlign w:val="bottom"/>
          </w:tcPr>
          <w:p>
            <w:pPr>
              <w:spacing w:after="0"/>
              <w:rPr>
                <w:sz w:val="18"/>
                <w:szCs w:val="18"/>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4,264</w:t>
            </w:r>
          </w:p>
        </w:tc>
        <w:tc>
          <w:tcPr>
            <w:tcW w:w="16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Basic EPS</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2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60" w:type="dxa"/>
            <w:vAlign w:val="bottom"/>
            <w:shd w:val="clear" w:color="auto" w:fill="CCEEFF"/>
          </w:tcPr>
          <w:p>
            <w:pPr>
              <w:spacing w:after="0"/>
              <w:rPr>
                <w:sz w:val="18"/>
                <w:szCs w:val="18"/>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Diluted EPS</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0.45</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0.21</w:t>
            </w:r>
          </w:p>
        </w:tc>
        <w:tc>
          <w:tcPr>
            <w:tcW w:w="180" w:type="dxa"/>
            <w:vAlign w:val="bottom"/>
          </w:tcPr>
          <w:p>
            <w:pPr>
              <w:spacing w:after="0"/>
              <w:rPr>
                <w:sz w:val="20"/>
                <w:szCs w:val="20"/>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0.53</w:t>
            </w:r>
          </w:p>
        </w:tc>
        <w:tc>
          <w:tcPr>
            <w:tcW w:w="240" w:type="dxa"/>
            <w:vAlign w:val="bottom"/>
          </w:tcPr>
          <w:p>
            <w:pPr>
              <w:spacing w:after="0"/>
              <w:rPr>
                <w:sz w:val="20"/>
                <w:szCs w:val="20"/>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0.23</w:t>
            </w:r>
          </w:p>
        </w:tc>
        <w:tc>
          <w:tcPr>
            <w:tcW w:w="160" w:type="dxa"/>
            <w:vAlign w:val="bottom"/>
          </w:tcPr>
          <w:p>
            <w:pPr>
              <w:spacing w:after="0"/>
              <w:rPr>
                <w:sz w:val="20"/>
                <w:szCs w:val="20"/>
                <w:color w:val="auto"/>
              </w:rPr>
            </w:pPr>
          </w:p>
        </w:tc>
      </w:tr>
    </w:tbl>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4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8"/>
                <w:szCs w:val="18"/>
                <w:b w:val="1"/>
                <w:bCs w:val="1"/>
                <w:color w:val="auto"/>
                <w:w w:val="91"/>
              </w:rPr>
              <w:t>Nine Months Ended September 30,</w:t>
            </w: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4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GAAP</w:t>
            </w:r>
          </w:p>
        </w:tc>
        <w:tc>
          <w:tcPr>
            <w:tcW w:w="8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5"/>
          </w:tcPr>
          <w:p>
            <w:pPr>
              <w:jc w:val="right"/>
              <w:ind w:right="510"/>
              <w:spacing w:after="0"/>
              <w:rPr>
                <w:sz w:val="20"/>
                <w:szCs w:val="20"/>
                <w:color w:val="auto"/>
              </w:rPr>
            </w:pPr>
            <w:r>
              <w:rPr>
                <w:rFonts w:ascii="Arial" w:cs="Arial" w:eastAsia="Arial" w:hAnsi="Arial"/>
                <w:sz w:val="18"/>
                <w:szCs w:val="18"/>
                <w:b w:val="1"/>
                <w:bCs w:val="1"/>
                <w:color w:val="auto"/>
              </w:rPr>
              <w:t>Non-GAAP(1)</w:t>
            </w:r>
          </w:p>
        </w:tc>
        <w:tc>
          <w:tcPr>
            <w:tcW w:w="160" w:type="dxa"/>
            <w:vAlign w:val="bottom"/>
          </w:tcPr>
          <w:p>
            <w:pPr>
              <w:spacing w:after="0"/>
              <w:rPr>
                <w:sz w:val="19"/>
                <w:szCs w:val="19"/>
                <w:color w:val="auto"/>
              </w:rPr>
            </w:pPr>
          </w:p>
        </w:tc>
      </w:tr>
      <w:tr>
        <w:trPr>
          <w:trHeight w:val="223"/>
        </w:trPr>
        <w:tc>
          <w:tcPr>
            <w:tcW w:w="4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9"/>
                <w:szCs w:val="19"/>
                <w:color w:val="auto"/>
              </w:rPr>
            </w:pPr>
          </w:p>
        </w:tc>
      </w:tr>
      <w:tr>
        <w:trPr>
          <w:trHeight w:val="216"/>
        </w:trPr>
        <w:tc>
          <w:tcPr>
            <w:tcW w:w="4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6"/>
          </w:tcPr>
          <w:p>
            <w:pPr>
              <w:jc w:val="right"/>
              <w:ind w:right="580"/>
              <w:spacing w:after="0"/>
              <w:rPr>
                <w:sz w:val="20"/>
                <w:szCs w:val="20"/>
                <w:color w:val="auto"/>
              </w:rPr>
            </w:pPr>
            <w:r>
              <w:rPr>
                <w:rFonts w:ascii="Arial" w:cs="Arial" w:eastAsia="Arial" w:hAnsi="Arial"/>
                <w:sz w:val="18"/>
                <w:szCs w:val="18"/>
                <w:i w:val="1"/>
                <w:iCs w:val="1"/>
                <w:color w:val="auto"/>
                <w:w w:val="97"/>
              </w:rPr>
              <w:t>(dollars in thousands)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82,916</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53,795</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82,916</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53,795</w:t>
            </w:r>
          </w:p>
        </w:tc>
        <w:tc>
          <w:tcPr>
            <w:tcW w:w="16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Gross margin</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46.1%</w:t>
            </w: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44.9%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46.3%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44.9%</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13,942</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16,861</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6,602</w:t>
            </w:r>
          </w:p>
        </w:tc>
        <w:tc>
          <w:tcPr>
            <w:tcW w:w="16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Net income attributable to ACM Research, Inc.</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14,950</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4,288</w:t>
            </w:r>
          </w:p>
        </w:tc>
        <w:tc>
          <w:tcPr>
            <w:tcW w:w="18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17,869</w:t>
            </w:r>
          </w:p>
        </w:tc>
        <w:tc>
          <w:tcPr>
            <w:tcW w:w="220" w:type="dxa"/>
            <w:vAlign w:val="bottom"/>
          </w:tcPr>
          <w:p>
            <w:pPr>
              <w:spacing w:after="0"/>
              <w:rPr>
                <w:sz w:val="18"/>
                <w:szCs w:val="18"/>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7,059</w:t>
            </w:r>
          </w:p>
        </w:tc>
        <w:tc>
          <w:tcPr>
            <w:tcW w:w="16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Basic EPS</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60" w:type="dxa"/>
            <w:vAlign w:val="bottom"/>
            <w:shd w:val="clear" w:color="auto" w:fill="CCEEFF"/>
          </w:tcPr>
          <w:p>
            <w:pPr>
              <w:spacing w:after="0"/>
              <w:rPr>
                <w:sz w:val="18"/>
                <w:szCs w:val="18"/>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Diluted EPS</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0.80</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0.24</w:t>
            </w:r>
          </w:p>
        </w:tc>
        <w:tc>
          <w:tcPr>
            <w:tcW w:w="180" w:type="dxa"/>
            <w:vAlign w:val="bottom"/>
          </w:tcPr>
          <w:p>
            <w:pPr>
              <w:spacing w:after="0"/>
              <w:rPr>
                <w:sz w:val="20"/>
                <w:szCs w:val="20"/>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0.96</w:t>
            </w:r>
          </w:p>
        </w:tc>
        <w:tc>
          <w:tcPr>
            <w:tcW w:w="220" w:type="dxa"/>
            <w:vAlign w:val="bottom"/>
          </w:tcPr>
          <w:p>
            <w:pPr>
              <w:spacing w:after="0"/>
              <w:rPr>
                <w:sz w:val="20"/>
                <w:szCs w:val="20"/>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0.40</w:t>
            </w:r>
          </w:p>
        </w:tc>
        <w:tc>
          <w:tcPr>
            <w:tcW w:w="160" w:type="dxa"/>
            <w:vAlign w:val="bottom"/>
          </w:tcPr>
          <w:p>
            <w:pPr>
              <w:spacing w:after="0"/>
              <w:rPr>
                <w:sz w:val="20"/>
                <w:szCs w:val="20"/>
                <w:color w:val="auto"/>
              </w:rPr>
            </w:pPr>
          </w:p>
        </w:tc>
      </w:tr>
    </w:tbl>
    <w:p>
      <w:pPr>
        <w:spacing w:after="0" w:line="214" w:lineRule="exact"/>
        <w:rPr>
          <w:sz w:val="20"/>
          <w:szCs w:val="20"/>
          <w:color w:val="auto"/>
        </w:rPr>
      </w:pPr>
    </w:p>
    <w:p>
      <w:pPr>
        <w:ind w:left="340" w:right="40" w:hanging="332"/>
        <w:spacing w:after="0" w:line="26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Reconciliations to U.S. generally accepted accounting principles (“GAAP”) financial measures from non-GAAP financial measures are presented below under “Reconciliation of GAAP to Non-GAAP Financial Measures.” Non-GAAP financial measures (excluding revenue) exclude stock-based compensation.</w:t>
      </w:r>
    </w:p>
    <w:p>
      <w:pPr>
        <w:spacing w:after="0" w:line="201"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The following figures refer to the third quarter of 2019 compared with the third quarter of 2018, unless otherwise noted.</w:t>
      </w:r>
    </w:p>
    <w:p>
      <w:pPr>
        <w:spacing w:after="0" w:line="248" w:lineRule="exact"/>
        <w:rPr>
          <w:sz w:val="20"/>
          <w:szCs w:val="20"/>
          <w:color w:val="auto"/>
        </w:rPr>
      </w:pPr>
    </w:p>
    <w:p>
      <w:pPr>
        <w:ind w:left="340" w:right="520" w:hanging="332"/>
        <w:spacing w:after="0" w:line="313"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Revenue </w:t>
      </w:r>
      <w:r>
        <w:rPr>
          <w:rFonts w:ascii="Arial" w:cs="Arial" w:eastAsia="Arial" w:hAnsi="Arial"/>
          <w:sz w:val="17"/>
          <w:szCs w:val="17"/>
          <w:color w:val="auto"/>
        </w:rPr>
        <w:t>increased 44.2% to $33.4 million, due to an increased volume of tools shipped for revenue and higher prices associated with these tools.</w:t>
      </w:r>
      <w:r>
        <w:rPr>
          <w:rFonts w:ascii="Arial" w:cs="Arial" w:eastAsia="Arial" w:hAnsi="Arial"/>
          <w:sz w:val="17"/>
          <w:szCs w:val="17"/>
          <w:b w:val="1"/>
          <w:bCs w:val="1"/>
          <w:color w:val="auto"/>
        </w:rPr>
        <w:t xml:space="preserve"> </w:t>
      </w:r>
      <w:r>
        <w:rPr>
          <w:rFonts w:ascii="Arial" w:cs="Arial" w:eastAsia="Arial" w:hAnsi="Arial"/>
          <w:sz w:val="17"/>
          <w:szCs w:val="17"/>
          <w:color w:val="auto"/>
        </w:rPr>
        <w:t>Revenue for the quarter was entirely driven by repeat shipments, with no acceptances contributing to revenue for the period.</w:t>
      </w:r>
    </w:p>
    <w:p>
      <w:pPr>
        <w:spacing w:after="0" w:line="165" w:lineRule="exact"/>
        <w:rPr>
          <w:rFonts w:ascii="Arial" w:cs="Arial" w:eastAsia="Arial" w:hAnsi="Arial"/>
          <w:sz w:val="17"/>
          <w:szCs w:val="17"/>
          <w:color w:val="auto"/>
        </w:rPr>
      </w:pPr>
    </w:p>
    <w:p>
      <w:pPr>
        <w:ind w:left="340" w:right="260" w:hanging="332"/>
        <w:spacing w:after="0" w:line="314"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Gross margin </w:t>
      </w:r>
      <w:r>
        <w:rPr>
          <w:rFonts w:ascii="Arial" w:cs="Arial" w:eastAsia="Arial" w:hAnsi="Arial"/>
          <w:sz w:val="16"/>
          <w:szCs w:val="16"/>
          <w:color w:val="auto"/>
        </w:rPr>
        <w:t>was 48.6%, compared to 44.4% in the third quarter of 2018. Gross margin was above the high-end of the range of 40.0% to 45.0% set</w:t>
      </w:r>
      <w:r>
        <w:rPr>
          <w:rFonts w:ascii="Arial" w:cs="Arial" w:eastAsia="Arial" w:hAnsi="Arial"/>
          <w:sz w:val="16"/>
          <w:szCs w:val="16"/>
          <w:b w:val="1"/>
          <w:bCs w:val="1"/>
          <w:color w:val="auto"/>
        </w:rPr>
        <w:t xml:space="preserve"> </w:t>
      </w:r>
      <w:r>
        <w:rPr>
          <w:rFonts w:ascii="Arial" w:cs="Arial" w:eastAsia="Arial" w:hAnsi="Arial"/>
          <w:sz w:val="16"/>
          <w:szCs w:val="16"/>
          <w:color w:val="auto"/>
        </w:rPr>
        <w:t>forth in the Company’s long-term business model. The strong gross margin performance was due to a higher mix of higher-margin products. The Company expects gross margin to continue to vary from period to period due to a variety of factors, such as sales volume and product mix.</w:t>
      </w:r>
    </w:p>
    <w:p>
      <w:pPr>
        <w:spacing w:after="0" w:line="169" w:lineRule="exact"/>
        <w:rPr>
          <w:rFonts w:ascii="Arial" w:cs="Arial" w:eastAsia="Arial" w:hAnsi="Arial"/>
          <w:sz w:val="16"/>
          <w:szCs w:val="16"/>
          <w:color w:val="auto"/>
        </w:rPr>
      </w:pPr>
    </w:p>
    <w:p>
      <w:pPr>
        <w:ind w:left="340" w:right="40" w:hanging="332"/>
        <w:spacing w:after="0" w:line="289"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Operating expenses </w:t>
      </w:r>
      <w:r>
        <w:rPr>
          <w:rFonts w:ascii="Arial" w:cs="Arial" w:eastAsia="Arial" w:hAnsi="Arial"/>
          <w:sz w:val="17"/>
          <w:szCs w:val="17"/>
          <w:color w:val="auto"/>
        </w:rPr>
        <w:t>were $9.2 million, an increase of 34%. GAAP operating expenses as a percent of revenue decreased to 27.6%, compared to 29.7%</w:t>
      </w:r>
      <w:r>
        <w:rPr>
          <w:rFonts w:ascii="Arial" w:cs="Arial" w:eastAsia="Arial" w:hAnsi="Arial"/>
          <w:sz w:val="17"/>
          <w:szCs w:val="17"/>
          <w:b w:val="1"/>
          <w:bCs w:val="1"/>
          <w:color w:val="auto"/>
        </w:rPr>
        <w:t xml:space="preserve"> </w:t>
      </w:r>
      <w:r>
        <w:rPr>
          <w:rFonts w:ascii="Arial" w:cs="Arial" w:eastAsia="Arial" w:hAnsi="Arial"/>
          <w:sz w:val="17"/>
          <w:szCs w:val="17"/>
          <w:color w:val="auto"/>
        </w:rPr>
        <w:t>in the third quarter of 2018. Non-GAAP operating expenses, which remove stock-based compensation, were $7.8 million, an increase of 20.4%. Non-GAAP operating expenses as a percent of revenue decreased to 23.4%, compared to 28.0% in the third quarter of 2018.</w:t>
      </w:r>
    </w:p>
    <w:p>
      <w:pPr>
        <w:spacing w:after="0" w:line="185" w:lineRule="exact"/>
        <w:rPr>
          <w:rFonts w:ascii="Arial" w:cs="Arial" w:eastAsia="Arial" w:hAnsi="Arial"/>
          <w:sz w:val="17"/>
          <w:szCs w:val="17"/>
          <w:color w:val="auto"/>
        </w:rPr>
      </w:pPr>
    </w:p>
    <w:p>
      <w:pPr>
        <w:ind w:left="340" w:right="160" w:hanging="332"/>
        <w:spacing w:after="0" w:line="261"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Net income attributable to ACM Research, Inc. </w:t>
      </w:r>
      <w:r>
        <w:rPr>
          <w:rFonts w:ascii="Arial" w:cs="Arial" w:eastAsia="Arial" w:hAnsi="Arial"/>
          <w:sz w:val="18"/>
          <w:szCs w:val="18"/>
          <w:color w:val="auto"/>
        </w:rPr>
        <w:t>was $8.8 million, compared to $3.9 million in the third quarter of 2018. Non-GAAP net income</w:t>
      </w:r>
      <w:r>
        <w:rPr>
          <w:rFonts w:ascii="Arial" w:cs="Arial" w:eastAsia="Arial" w:hAnsi="Arial"/>
          <w:sz w:val="18"/>
          <w:szCs w:val="18"/>
          <w:b w:val="1"/>
          <w:bCs w:val="1"/>
          <w:color w:val="auto"/>
        </w:rPr>
        <w:t xml:space="preserve"> </w:t>
      </w:r>
      <w:r>
        <w:rPr>
          <w:rFonts w:ascii="Arial" w:cs="Arial" w:eastAsia="Arial" w:hAnsi="Arial"/>
          <w:sz w:val="18"/>
          <w:szCs w:val="18"/>
          <w:color w:val="auto"/>
        </w:rPr>
        <w:t>attributable to ACM Research, Inc. was $10.3 million, compared to $4.3 million in the third quarter of 2018. Third quarter net income attributable to ACM Research, Inc included currency fluctuations, which contributed approximately $1.7 million (adjusted for a 10% normalized tax rate), and a one-time tax benefit from a reduced tax valuation, which contributed approximately $1.4 million.</w:t>
      </w:r>
    </w:p>
    <w:p>
      <w:pPr>
        <w:spacing w:after="0" w:line="207" w:lineRule="exact"/>
        <w:rPr>
          <w:rFonts w:ascii="Arial" w:cs="Arial" w:eastAsia="Arial" w:hAnsi="Arial"/>
          <w:sz w:val="18"/>
          <w:szCs w:val="18"/>
          <w:color w:val="auto"/>
        </w:rPr>
      </w:pPr>
    </w:p>
    <w:p>
      <w:pPr>
        <w:ind w:left="340" w:hanging="332"/>
        <w:spacing w:after="0" w:line="282"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Net income attributable to ACM Research, Inc. per diluted share </w:t>
      </w:r>
      <w:r>
        <w:rPr>
          <w:rFonts w:ascii="Arial" w:cs="Arial" w:eastAsia="Arial" w:hAnsi="Arial"/>
          <w:sz w:val="18"/>
          <w:szCs w:val="18"/>
          <w:color w:val="auto"/>
        </w:rPr>
        <w:t>was $0.45, compared to $0.21 in the third quarter of 2018. Non-GAAP net income</w:t>
      </w:r>
      <w:r>
        <w:rPr>
          <w:rFonts w:ascii="Arial" w:cs="Arial" w:eastAsia="Arial" w:hAnsi="Arial"/>
          <w:sz w:val="18"/>
          <w:szCs w:val="18"/>
          <w:b w:val="1"/>
          <w:bCs w:val="1"/>
          <w:color w:val="auto"/>
        </w:rPr>
        <w:t xml:space="preserve"> </w:t>
      </w:r>
      <w:r>
        <w:rPr>
          <w:rFonts w:ascii="Arial" w:cs="Arial" w:eastAsia="Arial" w:hAnsi="Arial"/>
          <w:sz w:val="18"/>
          <w:szCs w:val="18"/>
          <w:color w:val="auto"/>
        </w:rPr>
        <w:t>attributable to ACM Research, Inc. per diluted share was $0.53, compared to $0.23 in the third quarter of 2018.</w:t>
      </w:r>
    </w:p>
    <w:p>
      <w:pPr>
        <w:spacing w:after="0" w:line="188" w:lineRule="exact"/>
        <w:rPr>
          <w:rFonts w:ascii="Arial" w:cs="Arial" w:eastAsia="Arial" w:hAnsi="Arial"/>
          <w:sz w:val="18"/>
          <w:szCs w:val="18"/>
          <w:color w:val="auto"/>
        </w:rPr>
      </w:pPr>
    </w:p>
    <w:p>
      <w:pPr>
        <w:ind w:left="340" w:right="80" w:hanging="332"/>
        <w:spacing w:after="0" w:line="282"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Cash and equivalents </w:t>
      </w:r>
      <w:r>
        <w:rPr>
          <w:rFonts w:ascii="Arial" w:cs="Arial" w:eastAsia="Arial" w:hAnsi="Arial"/>
          <w:sz w:val="18"/>
          <w:szCs w:val="18"/>
          <w:color w:val="auto"/>
        </w:rPr>
        <w:t>at quarter-end were $47.3 million, up from $27.6 million at the end of the second quarter of 2019 and $18.2 million at the end of</w:t>
      </w:r>
      <w:r>
        <w:rPr>
          <w:rFonts w:ascii="Arial" w:cs="Arial" w:eastAsia="Arial" w:hAnsi="Arial"/>
          <w:sz w:val="18"/>
          <w:szCs w:val="18"/>
          <w:b w:val="1"/>
          <w:bCs w:val="1"/>
          <w:color w:val="auto"/>
        </w:rPr>
        <w:t xml:space="preserve"> </w:t>
      </w:r>
      <w:r>
        <w:rPr>
          <w:rFonts w:ascii="Arial" w:cs="Arial" w:eastAsia="Arial" w:hAnsi="Arial"/>
          <w:sz w:val="18"/>
          <w:szCs w:val="18"/>
          <w:color w:val="auto"/>
        </w:rPr>
        <w:t>the third quarter of 2018.</w:t>
      </w:r>
    </w:p>
    <w:p>
      <w:pPr>
        <w:spacing w:after="0" w:line="36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2" w:right="29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u w:val="single" w:color="auto"/>
          <w:color w:val="auto"/>
        </w:rPr>
        <w:t>Outlook</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For fiscal year 2019, the Company continues to expect revenue to be approximately $105 million.</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Conference Call Details</w:t>
      </w:r>
    </w:p>
    <w:p>
      <w:pPr>
        <w:spacing w:after="0" w:line="239"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A conference call to discuss results will be held on Thursday, November 7, 2019, at 8:00 a.m. Eastern Time (9:00 p.m. China Time). Dial-in details for the call are as follows. Please reference conference ID 9483075.</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80" w:type="dxa"/>
            <w:vAlign w:val="bottom"/>
          </w:tcPr>
          <w:p>
            <w:pPr>
              <w:spacing w:after="0"/>
              <w:rPr>
                <w:sz w:val="17"/>
                <w:szCs w:val="17"/>
                <w:color w:val="auto"/>
              </w:rPr>
            </w:pPr>
          </w:p>
        </w:tc>
        <w:tc>
          <w:tcPr>
            <w:tcW w:w="2040" w:type="dxa"/>
            <w:vAlign w:val="bottom"/>
            <w:gridSpan w:val="3"/>
          </w:tcPr>
          <w:p>
            <w:pPr>
              <w:spacing w:after="0"/>
              <w:rPr>
                <w:sz w:val="20"/>
                <w:szCs w:val="20"/>
                <w:color w:val="auto"/>
              </w:rPr>
            </w:pPr>
            <w:r>
              <w:rPr>
                <w:rFonts w:ascii="Arial" w:cs="Arial" w:eastAsia="Arial" w:hAnsi="Arial"/>
                <w:sz w:val="18"/>
                <w:szCs w:val="18"/>
                <w:b w:val="1"/>
                <w:bCs w:val="1"/>
                <w:color w:val="auto"/>
              </w:rPr>
              <w:t>Phone Number</w:t>
            </w:r>
          </w:p>
        </w:tc>
        <w:tc>
          <w:tcPr>
            <w:tcW w:w="1980" w:type="dxa"/>
            <w:vAlign w:val="bottom"/>
            <w:gridSpan w:val="2"/>
          </w:tcPr>
          <w:p>
            <w:pPr>
              <w:ind w:left="600"/>
              <w:spacing w:after="0"/>
              <w:rPr>
                <w:sz w:val="20"/>
                <w:szCs w:val="20"/>
                <w:color w:val="auto"/>
              </w:rPr>
            </w:pPr>
            <w:r>
              <w:rPr>
                <w:rFonts w:ascii="Arial" w:cs="Arial" w:eastAsia="Arial" w:hAnsi="Arial"/>
                <w:sz w:val="18"/>
                <w:szCs w:val="18"/>
                <w:b w:val="1"/>
                <w:bCs w:val="1"/>
                <w:color w:val="auto"/>
                <w:w w:val="91"/>
              </w:rPr>
              <w:t>Toll-Free Number</w:t>
            </w:r>
          </w:p>
        </w:tc>
      </w:tr>
      <w:tr>
        <w:trPr>
          <w:trHeight w:val="20"/>
        </w:trPr>
        <w:tc>
          <w:tcPr>
            <w:tcW w:w="228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438"/>
        </w:trPr>
        <w:tc>
          <w:tcPr>
            <w:tcW w:w="2280" w:type="dxa"/>
            <w:vAlign w:val="bottom"/>
          </w:tcPr>
          <w:p>
            <w:pPr>
              <w:spacing w:after="0"/>
              <w:rPr>
                <w:sz w:val="20"/>
                <w:szCs w:val="20"/>
                <w:color w:val="auto"/>
              </w:rPr>
            </w:pPr>
            <w:r>
              <w:rPr>
                <w:rFonts w:ascii="Arial" w:cs="Arial" w:eastAsia="Arial" w:hAnsi="Arial"/>
                <w:sz w:val="18"/>
                <w:szCs w:val="18"/>
                <w:color w:val="auto"/>
              </w:rPr>
              <w:t>United States</w:t>
            </w:r>
          </w:p>
        </w:tc>
        <w:tc>
          <w:tcPr>
            <w:tcW w:w="2040" w:type="dxa"/>
            <w:vAlign w:val="bottom"/>
            <w:gridSpan w:val="3"/>
          </w:tcPr>
          <w:p>
            <w:pPr>
              <w:spacing w:after="0"/>
              <w:rPr>
                <w:sz w:val="20"/>
                <w:szCs w:val="20"/>
                <w:color w:val="auto"/>
              </w:rPr>
            </w:pPr>
            <w:r>
              <w:rPr>
                <w:rFonts w:ascii="Arial" w:cs="Arial" w:eastAsia="Arial" w:hAnsi="Arial"/>
                <w:sz w:val="18"/>
                <w:szCs w:val="18"/>
                <w:color w:val="auto"/>
              </w:rPr>
              <w:t>+1 (845) 675-0437</w:t>
            </w:r>
          </w:p>
        </w:tc>
        <w:tc>
          <w:tcPr>
            <w:tcW w:w="1980" w:type="dxa"/>
            <w:vAlign w:val="bottom"/>
            <w:gridSpan w:val="2"/>
          </w:tcPr>
          <w:p>
            <w:pPr>
              <w:ind w:left="600"/>
              <w:spacing w:after="0"/>
              <w:rPr>
                <w:sz w:val="20"/>
                <w:szCs w:val="20"/>
                <w:color w:val="auto"/>
              </w:rPr>
            </w:pPr>
            <w:r>
              <w:rPr>
                <w:rFonts w:ascii="Arial" w:cs="Arial" w:eastAsia="Arial" w:hAnsi="Arial"/>
                <w:sz w:val="18"/>
                <w:szCs w:val="18"/>
                <w:color w:val="auto"/>
                <w:w w:val="91"/>
              </w:rPr>
              <w:t>+1 (866) 519-4004</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Hong Kong</w:t>
            </w:r>
          </w:p>
        </w:tc>
        <w:tc>
          <w:tcPr>
            <w:tcW w:w="2040" w:type="dxa"/>
            <w:vAlign w:val="bottom"/>
            <w:gridSpan w:val="3"/>
          </w:tcPr>
          <w:p>
            <w:pPr>
              <w:spacing w:after="0"/>
              <w:rPr>
                <w:sz w:val="20"/>
                <w:szCs w:val="20"/>
                <w:color w:val="auto"/>
              </w:rPr>
            </w:pPr>
            <w:r>
              <w:rPr>
                <w:rFonts w:ascii="Arial" w:cs="Arial" w:eastAsia="Arial" w:hAnsi="Arial"/>
                <w:sz w:val="18"/>
                <w:szCs w:val="18"/>
                <w:color w:val="auto"/>
              </w:rPr>
              <w:t>+852 3018 6771</w:t>
            </w:r>
          </w:p>
        </w:tc>
        <w:tc>
          <w:tcPr>
            <w:tcW w:w="1980" w:type="dxa"/>
            <w:vAlign w:val="bottom"/>
            <w:gridSpan w:val="2"/>
          </w:tcPr>
          <w:p>
            <w:pPr>
              <w:ind w:left="600"/>
              <w:spacing w:after="0"/>
              <w:rPr>
                <w:sz w:val="20"/>
                <w:szCs w:val="20"/>
                <w:color w:val="auto"/>
              </w:rPr>
            </w:pPr>
            <w:r>
              <w:rPr>
                <w:rFonts w:ascii="Arial" w:cs="Arial" w:eastAsia="Arial" w:hAnsi="Arial"/>
                <w:sz w:val="18"/>
                <w:szCs w:val="18"/>
                <w:color w:val="auto"/>
                <w:w w:val="96"/>
              </w:rPr>
              <w:t>+852 8009 06601</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Mainland China</w:t>
            </w:r>
          </w:p>
        </w:tc>
        <w:tc>
          <w:tcPr>
            <w:tcW w:w="300" w:type="dxa"/>
            <w:vAlign w:val="bottom"/>
          </w:tcPr>
          <w:p>
            <w:pPr>
              <w:spacing w:after="0"/>
              <w:rPr>
                <w:sz w:val="20"/>
                <w:szCs w:val="20"/>
                <w:color w:val="auto"/>
              </w:rPr>
            </w:pPr>
            <w:r>
              <w:rPr>
                <w:rFonts w:ascii="Arial" w:cs="Arial" w:eastAsia="Arial" w:hAnsi="Arial"/>
                <w:sz w:val="18"/>
                <w:szCs w:val="18"/>
                <w:color w:val="auto"/>
                <w:w w:val="91"/>
              </w:rPr>
              <w:t>+86</w:t>
            </w:r>
          </w:p>
        </w:tc>
        <w:tc>
          <w:tcPr>
            <w:tcW w:w="1740" w:type="dxa"/>
            <w:vAlign w:val="bottom"/>
            <w:gridSpan w:val="2"/>
          </w:tcPr>
          <w:p>
            <w:pPr>
              <w:ind w:left="20"/>
              <w:spacing w:after="0"/>
              <w:rPr>
                <w:sz w:val="20"/>
                <w:szCs w:val="20"/>
                <w:color w:val="auto"/>
              </w:rPr>
            </w:pPr>
            <w:r>
              <w:rPr>
                <w:rFonts w:ascii="Arial" w:cs="Arial" w:eastAsia="Arial" w:hAnsi="Arial"/>
                <w:sz w:val="18"/>
                <w:szCs w:val="18"/>
                <w:color w:val="auto"/>
              </w:rPr>
              <w:t>(800) 819 0121</w:t>
            </w:r>
          </w:p>
        </w:tc>
        <w:tc>
          <w:tcPr>
            <w:tcW w:w="6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228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w w:val="91"/>
              </w:rPr>
              <w:t>+86</w:t>
            </w:r>
          </w:p>
        </w:tc>
        <w:tc>
          <w:tcPr>
            <w:tcW w:w="1740" w:type="dxa"/>
            <w:vAlign w:val="bottom"/>
            <w:gridSpan w:val="2"/>
          </w:tcPr>
          <w:p>
            <w:pPr>
              <w:ind w:left="20"/>
              <w:spacing w:after="0"/>
              <w:rPr>
                <w:sz w:val="20"/>
                <w:szCs w:val="20"/>
                <w:color w:val="auto"/>
              </w:rPr>
            </w:pPr>
            <w:r>
              <w:rPr>
                <w:rFonts w:ascii="Arial" w:cs="Arial" w:eastAsia="Arial" w:hAnsi="Arial"/>
                <w:sz w:val="18"/>
                <w:szCs w:val="18"/>
                <w:color w:val="auto"/>
              </w:rPr>
              <w:t>(400) 620 8038</w:t>
            </w:r>
          </w:p>
        </w:tc>
        <w:tc>
          <w:tcPr>
            <w:tcW w:w="6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Other International</w:t>
            </w:r>
          </w:p>
        </w:tc>
        <w:tc>
          <w:tcPr>
            <w:tcW w:w="300" w:type="dxa"/>
            <w:vAlign w:val="bottom"/>
          </w:tcPr>
          <w:p>
            <w:pPr>
              <w:spacing w:after="0"/>
              <w:rPr>
                <w:sz w:val="20"/>
                <w:szCs w:val="20"/>
                <w:color w:val="auto"/>
              </w:rPr>
            </w:pPr>
            <w:r>
              <w:rPr>
                <w:rFonts w:ascii="Arial" w:cs="Arial" w:eastAsia="Arial" w:hAnsi="Arial"/>
                <w:sz w:val="18"/>
                <w:szCs w:val="18"/>
                <w:color w:val="auto"/>
                <w:w w:val="91"/>
              </w:rPr>
              <w:t>+65</w:t>
            </w:r>
          </w:p>
        </w:tc>
        <w:tc>
          <w:tcPr>
            <w:tcW w:w="860" w:type="dxa"/>
            <w:vAlign w:val="bottom"/>
          </w:tcPr>
          <w:p>
            <w:pPr>
              <w:ind w:left="20"/>
              <w:spacing w:after="0"/>
              <w:rPr>
                <w:sz w:val="20"/>
                <w:szCs w:val="20"/>
                <w:color w:val="auto"/>
              </w:rPr>
            </w:pPr>
            <w:r>
              <w:rPr>
                <w:rFonts w:ascii="Arial" w:cs="Arial" w:eastAsia="Arial" w:hAnsi="Arial"/>
                <w:sz w:val="18"/>
                <w:szCs w:val="18"/>
                <w:color w:val="auto"/>
                <w:w w:val="96"/>
              </w:rPr>
              <w:t>6713 5090</w:t>
            </w:r>
          </w:p>
        </w:tc>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80" w:type="dxa"/>
            <w:vAlign w:val="bottom"/>
          </w:tcPr>
          <w:p>
            <w:pPr>
              <w:spacing w:after="0"/>
              <w:rPr>
                <w:sz w:val="20"/>
                <w:szCs w:val="20"/>
                <w:color w:val="auto"/>
              </w:rPr>
            </w:pPr>
          </w:p>
        </w:tc>
      </w:tr>
    </w:tbl>
    <w:p>
      <w:pPr>
        <w:spacing w:after="0" w:line="222" w:lineRule="exact"/>
        <w:rPr>
          <w:sz w:val="20"/>
          <w:szCs w:val="20"/>
          <w:color w:val="auto"/>
        </w:rPr>
      </w:pPr>
    </w:p>
    <w:p>
      <w:pPr>
        <w:ind w:right="880"/>
        <w:spacing w:after="0" w:line="251" w:lineRule="auto"/>
        <w:rPr>
          <w:sz w:val="20"/>
          <w:szCs w:val="20"/>
          <w:color w:val="auto"/>
        </w:rPr>
      </w:pPr>
      <w:r>
        <w:rPr>
          <w:rFonts w:ascii="Arial" w:cs="Arial" w:eastAsia="Arial" w:hAnsi="Arial"/>
          <w:sz w:val="22"/>
          <w:szCs w:val="22"/>
          <w:color w:val="auto"/>
        </w:rPr>
        <w:t>A recording of the webcast will be available on the investor page of the ACM website at www.acmrcsh.com for one week following the call.</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Use of Non-GAAP Financial Measures</w:t>
      </w:r>
    </w:p>
    <w:p>
      <w:pPr>
        <w:spacing w:after="0" w:line="239" w:lineRule="exact"/>
        <w:rPr>
          <w:sz w:val="20"/>
          <w:szCs w:val="20"/>
          <w:color w:val="auto"/>
        </w:rPr>
      </w:pPr>
    </w:p>
    <w:p>
      <w:pPr>
        <w:ind w:right="80"/>
        <w:spacing w:after="0" w:line="282" w:lineRule="auto"/>
        <w:rPr>
          <w:sz w:val="20"/>
          <w:szCs w:val="20"/>
          <w:color w:val="auto"/>
        </w:rPr>
      </w:pPr>
      <w:r>
        <w:rPr>
          <w:rFonts w:ascii="Arial" w:cs="Arial" w:eastAsia="Arial" w:hAnsi="Arial"/>
          <w:sz w:val="19"/>
          <w:szCs w:val="19"/>
          <w:color w:val="auto"/>
        </w:rPr>
        <w:t>ACM presents non-GAAP gross margin, operating expenses, operating income, net income, and basic and diluted earnings per share as supplemental measures to GAAP financial measures regarding ACM’s operational performance. These supplemental measures exclude the impact of stock-based compensation, which ACM does not believe is indicative of its core operating results. A reconciliation of each non-GAAP financial measure to the most directly comparable GAAP financial measure is provided below under “Reconciliation of Non-GAAP to GAAP Financial Measures.”</w:t>
      </w:r>
    </w:p>
    <w:p>
      <w:pPr>
        <w:spacing w:after="0" w:line="175" w:lineRule="exact"/>
        <w:rPr>
          <w:sz w:val="20"/>
          <w:szCs w:val="20"/>
          <w:color w:val="auto"/>
        </w:rPr>
      </w:pPr>
    </w:p>
    <w:p>
      <w:pPr>
        <w:ind w:right="120"/>
        <w:spacing w:after="0" w:line="287" w:lineRule="auto"/>
        <w:rPr>
          <w:sz w:val="20"/>
          <w:szCs w:val="20"/>
          <w:color w:val="auto"/>
        </w:rPr>
      </w:pPr>
      <w:r>
        <w:rPr>
          <w:rFonts w:ascii="Arial" w:cs="Arial" w:eastAsia="Arial" w:hAnsi="Arial"/>
          <w:sz w:val="19"/>
          <w:szCs w:val="19"/>
          <w:color w:val="auto"/>
        </w:rPr>
        <w:t>ACM believes these non-GAAP financial measures are useful to investors in assessing its operating performance. ACM uses these financial measures internally to evaluate its operating performance and for planning and forecasting of future periods. Financial analysts may focus on and publish both historical results and future projections based on the non-GAAP financial measures. ACM also believes it is in the best interests of investors for ACM to provide this non-GAAP information.</w:t>
      </w:r>
    </w:p>
    <w:p>
      <w:pPr>
        <w:spacing w:after="0" w:line="170"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While ACM believes these non-GAAP financial measures provide useful supplemental information to investors, there are limitations associated with the use of these non-GAAP financial measures. These non-GAAP financial measures may not be reported by competitors, and they may not be directly comparable to similarly titled measures of other companies due to differences in calculation methodologies. The non-GAAP financial measures are not an alternative to GAAP information and are not meant to be considered in isolation or as a substitute for comparable GAAP financial measures. They should be used only as a supplement to GAAP information and should be considered only in conjunction with ACM’s consolidated financial statements prepared in accordance with GAAP.</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Forward-Looking Statements</w:t>
      </w:r>
    </w:p>
    <w:p>
      <w:pPr>
        <w:spacing w:after="0" w:line="239"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color w:val="auto"/>
        </w:rPr>
        <w:t>Information presented in the second and third paragraphs of this press release and under the heading “Outlook” above contains forward-looking statements for purposes of the safe harbor provisions of the Private Securities Litigation Reform Act of 1995. Actual results may vary significantly from ACM’s expectations based on a number of risks and uncertainties, including but not limited to the following: anticipated customer orders or identified market opportunities may not grow or develop as anticipated; customer orders already received may be postponed or canceled; suppliers may not be able to meet ACM’s demands on a timely basis; volatile global economic, market, industry, regulatory and other conditions could result in sharply lower demand for products containing semiconductors and for the Company's products and in disruption of capital and credit markets; ACM’s failure to successfully manage its operations; and trade regulations, currency fluctuations, political instability and war may materially adversely affect ACM due to its substantial non-U.S. customer and supplier base and its substantial non-U.S. manufacturing operations. ACM cannot guarantee any future results, levels of activity, performance or achievements. ACM expressly disclaims any obligation to update forward-looking statements after the date of this press release.</w:t>
      </w:r>
    </w:p>
    <w:p>
      <w:pPr>
        <w:sectPr>
          <w:pgSz w:w="11900" w:h="16838" w:orient="portrait"/>
          <w:cols w:equalWidth="0" w:num="1">
            <w:col w:w="11420"/>
          </w:cols>
          <w:pgMar w:left="240" w:top="111" w:right="239"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22"/>
          <w:szCs w:val="22"/>
          <w:b w:val="1"/>
          <w:bCs w:val="1"/>
          <w:u w:val="single" w:color="auto"/>
          <w:color w:val="auto"/>
        </w:rPr>
        <w:t>About ACM Research, Inc.</w:t>
      </w:r>
    </w:p>
    <w:p>
      <w:pPr>
        <w:spacing w:after="0" w:line="240" w:lineRule="exact"/>
        <w:rPr>
          <w:sz w:val="20"/>
          <w:szCs w:val="20"/>
          <w:color w:val="auto"/>
        </w:rPr>
      </w:pPr>
    </w:p>
    <w:p>
      <w:pPr>
        <w:ind w:right="40"/>
        <w:spacing w:after="0"/>
        <w:rPr>
          <w:sz w:val="20"/>
          <w:szCs w:val="20"/>
          <w:color w:val="auto"/>
        </w:rPr>
      </w:pPr>
      <w:r>
        <w:rPr>
          <w:rFonts w:ascii="Arial" w:cs="Arial" w:eastAsia="Arial" w:hAnsi="Arial"/>
          <w:sz w:val="22"/>
          <w:szCs w:val="22"/>
          <w:color w:val="auto"/>
        </w:rPr>
        <w:t>ACM develops, manufactures and sells single-wafer wet cleaning equipment, which semiconductor manufacturers can use in numerous manufacturing steps to remove particles, contaminants and other random defects, and thereby improve product yield, in fabricating advanced integrated circuits.</w:t>
      </w:r>
    </w:p>
    <w:p>
      <w:pPr>
        <w:spacing w:after="0" w:line="213" w:lineRule="exact"/>
        <w:rPr>
          <w:sz w:val="20"/>
          <w:szCs w:val="20"/>
          <w:color w:val="auto"/>
        </w:rPr>
      </w:pPr>
    </w:p>
    <w:p>
      <w:pPr>
        <w:ind w:firstLine="8"/>
        <w:spacing w:after="0" w:line="238" w:lineRule="auto"/>
        <w:tabs>
          <w:tab w:leader="none" w:pos="218" w:val="left"/>
        </w:tabs>
        <w:numPr>
          <w:ilvl w:val="0"/>
          <w:numId w:val="5"/>
        </w:numPr>
        <w:rPr>
          <w:rFonts w:ascii="Arial" w:cs="Arial" w:eastAsia="Arial" w:hAnsi="Arial"/>
          <w:sz w:val="22"/>
          <w:szCs w:val="22"/>
          <w:color w:val="auto"/>
        </w:rPr>
      </w:pPr>
      <w:r>
        <w:rPr>
          <w:rFonts w:ascii="Arial" w:cs="Arial" w:eastAsia="Arial" w:hAnsi="Arial"/>
          <w:sz w:val="22"/>
          <w:szCs w:val="22"/>
          <w:color w:val="auto"/>
        </w:rPr>
        <w:t>ACM Research, Inc. The ACM logo, SAPS, and TEBO are trademarks of ACM Research, Inc. For convenience, these trademarks appear in this press release without ™ symbols, but that practice does not mean that ACM will not assert, to the fullest extent under applicable law, its rights to the trademarks. This press release also contains other companies’ trademarks, registered marks and trade names, which are the property of those companies.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investor and media inquiries, please contact:</w:t>
      </w:r>
    </w:p>
    <w:p>
      <w:pPr>
        <w:spacing w:after="0" w:line="229"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840" w:type="dxa"/>
            <w:vAlign w:val="bottom"/>
            <w:gridSpan w:val="3"/>
          </w:tcPr>
          <w:p>
            <w:pPr>
              <w:spacing w:after="0"/>
              <w:rPr>
                <w:sz w:val="20"/>
                <w:szCs w:val="20"/>
                <w:color w:val="auto"/>
              </w:rPr>
            </w:pPr>
            <w:r>
              <w:rPr>
                <w:rFonts w:ascii="Arial" w:cs="Arial" w:eastAsia="Arial" w:hAnsi="Arial"/>
                <w:sz w:val="18"/>
                <w:szCs w:val="18"/>
                <w:color w:val="auto"/>
              </w:rPr>
              <w:t>In the United States:</w:t>
            </w:r>
          </w:p>
        </w:tc>
        <w:tc>
          <w:tcPr>
            <w:tcW w:w="2340" w:type="dxa"/>
            <w:vAlign w:val="bottom"/>
          </w:tcPr>
          <w:p>
            <w:pPr>
              <w:ind w:left="360"/>
              <w:spacing w:after="0"/>
              <w:rPr>
                <w:sz w:val="20"/>
                <w:szCs w:val="20"/>
                <w:color w:val="auto"/>
              </w:rPr>
            </w:pPr>
            <w:r>
              <w:rPr>
                <w:rFonts w:ascii="Arial" w:cs="Arial" w:eastAsia="Arial" w:hAnsi="Arial"/>
                <w:sz w:val="18"/>
                <w:szCs w:val="18"/>
                <w:color w:val="auto"/>
              </w:rPr>
              <w:t>The Blueshirt Group</w:t>
            </w:r>
          </w:p>
        </w:tc>
      </w:tr>
      <w:tr>
        <w:trPr>
          <w:trHeight w:val="222"/>
        </w:trPr>
        <w:tc>
          <w:tcPr>
            <w:tcW w:w="6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340" w:type="dxa"/>
            <w:vAlign w:val="bottom"/>
          </w:tcPr>
          <w:p>
            <w:pPr>
              <w:ind w:left="360"/>
              <w:spacing w:after="0"/>
              <w:rPr>
                <w:sz w:val="20"/>
                <w:szCs w:val="20"/>
                <w:color w:val="auto"/>
              </w:rPr>
            </w:pPr>
            <w:r>
              <w:rPr>
                <w:rFonts w:ascii="Arial" w:cs="Arial" w:eastAsia="Arial" w:hAnsi="Arial"/>
                <w:sz w:val="18"/>
                <w:szCs w:val="18"/>
                <w:color w:val="auto"/>
              </w:rPr>
              <w:t>Ralph Fong</w:t>
            </w:r>
          </w:p>
        </w:tc>
      </w:tr>
      <w:tr>
        <w:trPr>
          <w:trHeight w:val="216"/>
        </w:trPr>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tcPr>
          <w:p>
            <w:pPr>
              <w:ind w:left="360"/>
              <w:spacing w:after="0"/>
              <w:rPr>
                <w:sz w:val="20"/>
                <w:szCs w:val="20"/>
                <w:color w:val="auto"/>
              </w:rPr>
            </w:pPr>
            <w:r>
              <w:rPr>
                <w:rFonts w:ascii="Arial" w:cs="Arial" w:eastAsia="Arial" w:hAnsi="Arial"/>
                <w:sz w:val="18"/>
                <w:szCs w:val="18"/>
                <w:color w:val="auto"/>
              </w:rPr>
              <w:t>+1 (415) 489-2195</w:t>
            </w:r>
          </w:p>
        </w:tc>
      </w:tr>
      <w:tr>
        <w:trPr>
          <w:trHeight w:val="230"/>
        </w:trPr>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40" w:type="dxa"/>
            <w:vAlign w:val="bottom"/>
          </w:tcPr>
          <w:p>
            <w:pPr>
              <w:ind w:left="360"/>
              <w:spacing w:after="0"/>
              <w:rPr>
                <w:sz w:val="20"/>
                <w:szCs w:val="20"/>
                <w:color w:val="auto"/>
              </w:rPr>
            </w:pPr>
            <w:r>
              <w:rPr>
                <w:rFonts w:ascii="Arial" w:cs="Arial" w:eastAsia="Arial" w:hAnsi="Arial"/>
                <w:sz w:val="18"/>
                <w:szCs w:val="18"/>
                <w:i w:val="1"/>
                <w:iCs w:val="1"/>
                <w:color w:val="auto"/>
                <w:w w:val="92"/>
              </w:rPr>
              <w:t>ralph@blueshirtgroup.com</w:t>
            </w:r>
          </w:p>
        </w:tc>
      </w:tr>
      <w:tr>
        <w:trPr>
          <w:trHeight w:val="392"/>
        </w:trPr>
        <w:tc>
          <w:tcPr>
            <w:tcW w:w="1840" w:type="dxa"/>
            <w:vAlign w:val="bottom"/>
            <w:gridSpan w:val="3"/>
          </w:tcPr>
          <w:p>
            <w:pPr>
              <w:spacing w:after="0"/>
              <w:rPr>
                <w:sz w:val="20"/>
                <w:szCs w:val="20"/>
                <w:color w:val="auto"/>
              </w:rPr>
            </w:pPr>
            <w:r>
              <w:rPr>
                <w:rFonts w:ascii="Arial" w:cs="Arial" w:eastAsia="Arial" w:hAnsi="Arial"/>
                <w:sz w:val="18"/>
                <w:szCs w:val="18"/>
                <w:color w:val="auto"/>
              </w:rPr>
              <w:t>In China:</w:t>
            </w:r>
          </w:p>
        </w:tc>
        <w:tc>
          <w:tcPr>
            <w:tcW w:w="2340" w:type="dxa"/>
            <w:vAlign w:val="bottom"/>
          </w:tcPr>
          <w:p>
            <w:pPr>
              <w:ind w:left="360"/>
              <w:spacing w:after="0"/>
              <w:rPr>
                <w:sz w:val="20"/>
                <w:szCs w:val="20"/>
                <w:color w:val="auto"/>
              </w:rPr>
            </w:pPr>
            <w:r>
              <w:rPr>
                <w:rFonts w:ascii="Arial" w:cs="Arial" w:eastAsia="Arial" w:hAnsi="Arial"/>
                <w:sz w:val="18"/>
                <w:szCs w:val="18"/>
                <w:color w:val="auto"/>
                <w:w w:val="97"/>
              </w:rPr>
              <w:t>The Blueshirt Group Asia</w:t>
            </w:r>
          </w:p>
        </w:tc>
      </w:tr>
      <w:tr>
        <w:trPr>
          <w:trHeight w:val="222"/>
        </w:trPr>
        <w:tc>
          <w:tcPr>
            <w:tcW w:w="660" w:type="dxa"/>
            <w:vAlign w:val="bottom"/>
            <w:tcBorders>
              <w:top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340" w:type="dxa"/>
            <w:vAlign w:val="bottom"/>
          </w:tcPr>
          <w:p>
            <w:pPr>
              <w:ind w:left="360"/>
              <w:spacing w:after="0"/>
              <w:rPr>
                <w:sz w:val="20"/>
                <w:szCs w:val="20"/>
                <w:color w:val="auto"/>
              </w:rPr>
            </w:pPr>
            <w:r>
              <w:rPr>
                <w:rFonts w:ascii="Arial" w:cs="Arial" w:eastAsia="Arial" w:hAnsi="Arial"/>
                <w:sz w:val="18"/>
                <w:szCs w:val="18"/>
                <w:color w:val="auto"/>
              </w:rPr>
              <w:t>Gary Dvorchak, CFA</w:t>
            </w:r>
          </w:p>
        </w:tc>
      </w:tr>
      <w:tr>
        <w:trPr>
          <w:trHeight w:val="216"/>
        </w:trPr>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tcPr>
          <w:p>
            <w:pPr>
              <w:ind w:left="360"/>
              <w:spacing w:after="0"/>
              <w:rPr>
                <w:sz w:val="20"/>
                <w:szCs w:val="20"/>
                <w:color w:val="auto"/>
              </w:rPr>
            </w:pPr>
            <w:r>
              <w:rPr>
                <w:rFonts w:ascii="Arial" w:cs="Arial" w:eastAsia="Arial" w:hAnsi="Arial"/>
                <w:sz w:val="18"/>
                <w:szCs w:val="18"/>
                <w:color w:val="auto"/>
              </w:rPr>
              <w:t>+86 (138) 1079-1480</w:t>
            </w:r>
          </w:p>
        </w:tc>
      </w:tr>
      <w:tr>
        <w:trPr>
          <w:trHeight w:val="230"/>
        </w:trPr>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40" w:type="dxa"/>
            <w:vAlign w:val="bottom"/>
          </w:tcPr>
          <w:p>
            <w:pPr>
              <w:ind w:left="360"/>
              <w:spacing w:after="0"/>
              <w:rPr>
                <w:sz w:val="20"/>
                <w:szCs w:val="20"/>
                <w:color w:val="auto"/>
              </w:rPr>
            </w:pPr>
            <w:r>
              <w:rPr>
                <w:rFonts w:ascii="Arial" w:cs="Arial" w:eastAsia="Arial" w:hAnsi="Arial"/>
                <w:sz w:val="18"/>
                <w:szCs w:val="18"/>
                <w:i w:val="1"/>
                <w:iCs w:val="1"/>
                <w:color w:val="auto"/>
                <w:w w:val="94"/>
              </w:rPr>
              <w:t>gary@blueshirtgroup.com</w:t>
            </w:r>
          </w:p>
        </w:tc>
      </w:tr>
    </w:tbl>
    <w:p>
      <w:pPr>
        <w:spacing w:after="0" w:line="400"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11" w:right="37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ACM RESEARCH,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Sheets</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September 30, 2019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December 31, 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40" w:type="dxa"/>
            <w:vAlign w:val="bottom"/>
            <w:gridSpan w:val="4"/>
          </w:tcPr>
          <w:p>
            <w:pPr>
              <w:jc w:val="right"/>
              <w:ind w:right="230"/>
              <w:spacing w:after="0" w:line="201" w:lineRule="exact"/>
              <w:rPr>
                <w:sz w:val="20"/>
                <w:szCs w:val="20"/>
                <w:color w:val="auto"/>
              </w:rPr>
            </w:pPr>
            <w:r>
              <w:rPr>
                <w:rFonts w:ascii="Arial" w:cs="Arial" w:eastAsia="Arial" w:hAnsi="Arial"/>
                <w:sz w:val="18"/>
                <w:szCs w:val="18"/>
                <w:i w:val="1"/>
                <w:iCs w:val="1"/>
                <w:color w:val="auto"/>
              </w:rPr>
              <w:t>(Unaudited)</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3520" w:type="dxa"/>
            <w:vAlign w:val="bottom"/>
            <w:gridSpan w:val="7"/>
          </w:tcPr>
          <w:p>
            <w:pPr>
              <w:spacing w:after="0"/>
              <w:rPr>
                <w:sz w:val="20"/>
                <w:szCs w:val="20"/>
                <w:color w:val="auto"/>
              </w:rPr>
            </w:pPr>
            <w:r>
              <w:rPr>
                <w:rFonts w:ascii="Arial" w:cs="Arial" w:eastAsia="Arial" w:hAnsi="Arial"/>
                <w:sz w:val="18"/>
                <w:szCs w:val="18"/>
                <w:i w:val="1"/>
                <w:iCs w:val="1"/>
                <w:color w:val="auto"/>
                <w:w w:val="91"/>
              </w:rPr>
              <w:t>(In thousands, except share and per share data)</w:t>
            </w:r>
          </w:p>
        </w:tc>
        <w:tc>
          <w:tcPr>
            <w:tcW w:w="0" w:type="dxa"/>
            <w:vAlign w:val="bottom"/>
          </w:tcPr>
          <w:p>
            <w:pPr>
              <w:spacing w:after="0"/>
              <w:rPr>
                <w:sz w:val="1"/>
                <w:szCs w:val="1"/>
                <w:color w:val="auto"/>
              </w:rPr>
            </w:pPr>
          </w:p>
        </w:tc>
      </w:tr>
      <w:tr>
        <w:trPr>
          <w:trHeight w:val="202"/>
        </w:trPr>
        <w:tc>
          <w:tcPr>
            <w:tcW w:w="7900" w:type="dxa"/>
            <w:vAlign w:val="bottom"/>
            <w:gridSpan w:val="2"/>
            <w:vMerge w:val="continue"/>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47,264</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Restricted cash</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26,582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Accounts receivable, less allowance for doubtful accounts of $0 as of September 30, 2019 and $0 as of</w:t>
            </w: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 2018</w:t>
            </w:r>
          </w:p>
        </w:tc>
        <w:tc>
          <w:tcPr>
            <w:tcW w:w="5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43,144</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Other receivables</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Prepaid expenses</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5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 net</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Intangible assets, net</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Long-term investments</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Arial" w:cs="Arial" w:eastAsia="Arial" w:hAnsi="Arial"/>
                <w:sz w:val="18"/>
                <w:szCs w:val="18"/>
                <w:b w:val="1"/>
                <w:bCs w:val="1"/>
                <w:color w:val="auto"/>
              </w:rPr>
              <w:t>Total assets</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180,216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103,047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Liabilities, Redeemable Non-controlling Interest and Stockholders’ Equity</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Current liabilities:</w:t>
            </w: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Accounts payable</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Advances from customers</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Income taxes payable</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Other payables and accrued expenses</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Current portion of operating lease liability</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5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56,148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Long-term operating lease liability</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2,855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ind w:left="320"/>
              <w:spacing w:after="0"/>
              <w:rPr>
                <w:sz w:val="20"/>
                <w:szCs w:val="20"/>
                <w:color w:val="auto"/>
              </w:rPr>
            </w:pPr>
            <w:r>
              <w:rPr>
                <w:rFonts w:ascii="Arial" w:cs="Arial" w:eastAsia="Arial" w:hAnsi="Arial"/>
                <w:sz w:val="18"/>
                <w:szCs w:val="18"/>
                <w:b w:val="1"/>
                <w:bCs w:val="1"/>
                <w:color w:val="auto"/>
              </w:rPr>
              <w:t>Total liabilities</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61,983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50,723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5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Redeemable Non-controlling interests</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26,888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5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80" w:type="dxa"/>
            <w:vAlign w:val="bottom"/>
          </w:tcPr>
          <w:p>
            <w:pPr>
              <w:spacing w:after="0" w:line="201" w:lineRule="exact"/>
              <w:rPr>
                <w:sz w:val="20"/>
                <w:szCs w:val="20"/>
                <w:color w:val="auto"/>
              </w:rPr>
            </w:pPr>
            <w:r>
              <w:rPr>
                <w:rFonts w:ascii="Arial" w:cs="Arial" w:eastAsia="Arial" w:hAnsi="Arial"/>
                <w:sz w:val="18"/>
                <w:szCs w:val="18"/>
                <w:color w:val="auto"/>
                <w:w w:val="92"/>
              </w:rPr>
              <w:t>Common stock – Class A, par value $0.0001: 50,000,000 shares authorized as of September 30, 2019 and</w:t>
            </w: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w w:val="90"/>
              </w:rPr>
              <w:t>December 31, 2018; 16,179,058 shares issued and outstanding as of September 30, 2019 and 14,110,315</w:t>
            </w: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shares issued and outstanding as of December 31, 2018</w:t>
            </w: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Common stock–Class B, par value $0.0001: 2,409,738 shares authorized as of September 30, 2019 and</w:t>
            </w: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December 31, 2018; 1,862,608 shares issued and outstanding as of September 30, 2019 and 1,898,423</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issued and outstanding as of December 31, 2018</w:t>
            </w:r>
          </w:p>
        </w:tc>
        <w:tc>
          <w:tcPr>
            <w:tcW w:w="5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82,857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56,567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Accumulated surplus (deficit)</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54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(3,077)</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91,345</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52,324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b w:val="1"/>
                <w:bCs w:val="1"/>
                <w:color w:val="auto"/>
              </w:rPr>
              <w:t>Total liabilities, redeembable non-controlling interests, and stockholders' equity</w:t>
            </w: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180,216</w:t>
            </w:r>
          </w:p>
        </w:tc>
        <w:tc>
          <w:tcPr>
            <w:tcW w:w="180" w:type="dxa"/>
            <w:vAlign w:val="bottom"/>
          </w:tcPr>
          <w:p>
            <w:pPr>
              <w:spacing w:after="0"/>
              <w:rPr>
                <w:sz w:val="18"/>
                <w:szCs w:val="18"/>
                <w:color w:val="auto"/>
              </w:rPr>
            </w:pPr>
          </w:p>
        </w:tc>
        <w:tc>
          <w:tcPr>
            <w:tcW w:w="74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103,047</w:t>
            </w:r>
          </w:p>
        </w:tc>
        <w:tc>
          <w:tcPr>
            <w:tcW w:w="0" w:type="dxa"/>
            <w:vAlign w:val="bottom"/>
          </w:tcPr>
          <w:p>
            <w:pPr>
              <w:spacing w:after="0"/>
              <w:rPr>
                <w:sz w:val="1"/>
                <w:szCs w:val="1"/>
                <w:color w:val="auto"/>
              </w:rPr>
            </w:pPr>
          </w:p>
        </w:tc>
      </w:tr>
      <w:tr>
        <w:trPr>
          <w:trHeight w:val="21"/>
        </w:trPr>
        <w:tc>
          <w:tcPr>
            <w:tcW w:w="7900" w:type="dxa"/>
            <w:vAlign w:val="bottom"/>
            <w:gridSpan w:val="2"/>
            <w:vMerge w:val="restart"/>
          </w:tcPr>
          <w:p>
            <w:pPr>
              <w:jc w:val="right"/>
              <w:ind w:right="2070"/>
              <w:spacing w:after="0"/>
              <w:rPr>
                <w:sz w:val="20"/>
                <w:szCs w:val="20"/>
                <w:color w:val="auto"/>
              </w:rPr>
            </w:pPr>
            <w:r>
              <w:rPr>
                <w:rFonts w:ascii="Arial" w:cs="Arial" w:eastAsia="Arial" w:hAnsi="Arial"/>
                <w:sz w:val="14"/>
                <w:szCs w:val="14"/>
                <w:color w:val="auto"/>
              </w:rPr>
              <w:t>5</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6"/>
        </w:trPr>
        <w:tc>
          <w:tcPr>
            <w:tcW w:w="790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8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ACM RESEARCH,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Operations and Comprehensive Income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3620" w:type="dxa"/>
            <w:vAlign w:val="bottom"/>
            <w:gridSpan w:val="6"/>
          </w:tcPr>
          <w:p>
            <w:pPr>
              <w:ind w:left="340"/>
              <w:spacing w:after="0"/>
              <w:rPr>
                <w:sz w:val="20"/>
                <w:szCs w:val="20"/>
                <w:color w:val="auto"/>
              </w:rPr>
            </w:pPr>
            <w:r>
              <w:rPr>
                <w:rFonts w:ascii="Arial" w:cs="Arial" w:eastAsia="Arial" w:hAnsi="Arial"/>
                <w:sz w:val="18"/>
                <w:szCs w:val="18"/>
                <w:b w:val="1"/>
                <w:bCs w:val="1"/>
                <w:color w:val="auto"/>
              </w:rPr>
              <w:t>Three Months Ended September 30,</w:t>
            </w:r>
          </w:p>
        </w:tc>
        <w:tc>
          <w:tcPr>
            <w:tcW w:w="220" w:type="dxa"/>
            <w:vAlign w:val="bottom"/>
          </w:tcPr>
          <w:p>
            <w:pPr>
              <w:spacing w:after="0"/>
              <w:rPr>
                <w:sz w:val="20"/>
                <w:szCs w:val="20"/>
                <w:color w:val="auto"/>
              </w:rPr>
            </w:pPr>
          </w:p>
        </w:tc>
        <w:tc>
          <w:tcPr>
            <w:tcW w:w="330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5"/>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02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b w:val="1"/>
                <w:bCs w:val="1"/>
                <w:color w:val="auto"/>
                <w:w w:val="94"/>
              </w:rPr>
              <w:t>2019</w:t>
            </w:r>
          </w:p>
        </w:tc>
        <w:tc>
          <w:tcPr>
            <w:tcW w:w="5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00" w:type="dxa"/>
            <w:vAlign w:val="bottom"/>
            <w:gridSpan w:val="3"/>
          </w:tcPr>
          <w:p>
            <w:pPr>
              <w:jc w:val="right"/>
              <w:ind w:right="85"/>
              <w:spacing w:after="0" w:line="201" w:lineRule="exact"/>
              <w:rPr>
                <w:sz w:val="20"/>
                <w:szCs w:val="20"/>
                <w:color w:val="auto"/>
              </w:rPr>
            </w:pPr>
            <w:r>
              <w:rPr>
                <w:rFonts w:ascii="Arial" w:cs="Arial" w:eastAsia="Arial" w:hAnsi="Arial"/>
                <w:sz w:val="18"/>
                <w:szCs w:val="18"/>
                <w:i w:val="1"/>
                <w:iCs w:val="1"/>
                <w:color w:val="auto"/>
              </w:rPr>
              <w:t>(Unaudited)</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gridSpan w:val="4"/>
          </w:tcPr>
          <w:p>
            <w:pPr>
              <w:jc w:val="right"/>
              <w:ind w:right="140"/>
              <w:spacing w:after="0" w:line="201" w:lineRule="exact"/>
              <w:rPr>
                <w:sz w:val="20"/>
                <w:szCs w:val="20"/>
                <w:color w:val="auto"/>
              </w:rPr>
            </w:pPr>
            <w:r>
              <w:rPr>
                <w:rFonts w:ascii="Arial" w:cs="Arial" w:eastAsia="Arial" w:hAnsi="Arial"/>
                <w:sz w:val="18"/>
                <w:szCs w:val="18"/>
                <w:i w:val="1"/>
                <w:iCs w:val="1"/>
                <w:color w:val="auto"/>
              </w:rPr>
              <w:t>(Unaudited)</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3620" w:type="dxa"/>
            <w:vAlign w:val="bottom"/>
            <w:gridSpan w:val="6"/>
          </w:tcPr>
          <w:p>
            <w:pPr>
              <w:spacing w:after="0"/>
              <w:rPr>
                <w:sz w:val="20"/>
                <w:szCs w:val="20"/>
                <w:color w:val="auto"/>
              </w:rPr>
            </w:pPr>
            <w:r>
              <w:rPr>
                <w:rFonts w:ascii="Arial" w:cs="Arial" w:eastAsia="Arial" w:hAnsi="Arial"/>
                <w:sz w:val="18"/>
                <w:szCs w:val="18"/>
                <w:i w:val="1"/>
                <w:iCs w:val="1"/>
                <w:color w:val="auto"/>
                <w:w w:val="91"/>
              </w:rPr>
              <w:t>( In thousands, except share and per share data)</w:t>
            </w:r>
          </w:p>
        </w:tc>
        <w:tc>
          <w:tcPr>
            <w:tcW w:w="3520" w:type="dxa"/>
            <w:vAlign w:val="bottom"/>
            <w:gridSpan w:val="7"/>
          </w:tcPr>
          <w:p>
            <w:pPr>
              <w:spacing w:after="0"/>
              <w:rPr>
                <w:sz w:val="20"/>
                <w:szCs w:val="20"/>
                <w:color w:val="auto"/>
              </w:rPr>
            </w:pPr>
            <w:r>
              <w:rPr>
                <w:rFonts w:ascii="Arial" w:cs="Arial" w:eastAsia="Arial" w:hAnsi="Arial"/>
                <w:sz w:val="18"/>
                <w:szCs w:val="18"/>
                <w:i w:val="1"/>
                <w:iCs w:val="1"/>
                <w:color w:val="auto"/>
                <w:w w:val="89"/>
              </w:rPr>
              <w:t>( In thousands, except share and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33,427</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23,179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82,916</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Cost of revenue</w:t>
            </w: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17,173</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12,892</w:t>
            </w:r>
          </w:p>
        </w:tc>
        <w:tc>
          <w:tcPr>
            <w:tcW w:w="2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44,705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29,662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Gross profit</w:t>
            </w:r>
          </w:p>
        </w:tc>
        <w:tc>
          <w:tcPr>
            <w:tcW w:w="10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16,254</w:t>
            </w:r>
          </w:p>
        </w:tc>
        <w:tc>
          <w:tcPr>
            <w:tcW w:w="280" w:type="dxa"/>
            <w:vAlign w:val="bottom"/>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10,287</w:t>
            </w:r>
          </w:p>
        </w:tc>
        <w:tc>
          <w:tcPr>
            <w:tcW w:w="180" w:type="dxa"/>
            <w:vAlign w:val="bottom"/>
            <w:tcBorders>
              <w:right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38,211</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10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marketing</w:t>
            </w:r>
          </w:p>
        </w:tc>
        <w:tc>
          <w:tcPr>
            <w:tcW w:w="10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3,886</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3,229</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8,679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3,492</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2,264</w:t>
            </w:r>
          </w:p>
        </w:tc>
        <w:tc>
          <w:tcPr>
            <w:tcW w:w="2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9,598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0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5,992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6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80" w:type="dxa"/>
            <w:vAlign w:val="bottom"/>
            <w:tcBorders>
              <w:right w:val="single" w:sz="8" w:color="CCEEFF"/>
            </w:tcBorders>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Pr>
          <w:p>
            <w:pPr>
              <w:ind w:left="320"/>
              <w:spacing w:after="0"/>
              <w:rPr>
                <w:sz w:val="20"/>
                <w:szCs w:val="20"/>
                <w:color w:val="auto"/>
              </w:rPr>
            </w:pPr>
            <w:r>
              <w:rPr>
                <w:rFonts w:ascii="Arial" w:cs="Arial" w:eastAsia="Arial" w:hAnsi="Arial"/>
                <w:sz w:val="18"/>
                <w:szCs w:val="18"/>
                <w:b w:val="1"/>
                <w:bCs w:val="1"/>
                <w:color w:val="auto"/>
              </w:rPr>
              <w:t>Total operating expenses, net</w:t>
            </w: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9,224</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6,883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24,269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Income from operations</w:t>
            </w:r>
          </w:p>
        </w:tc>
        <w:tc>
          <w:tcPr>
            <w:tcW w:w="10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7,030</w:t>
            </w:r>
          </w:p>
        </w:tc>
        <w:tc>
          <w:tcPr>
            <w:tcW w:w="2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3,404</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Interest income</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(205)</w:t>
            </w:r>
          </w:p>
        </w:tc>
        <w:tc>
          <w:tcPr>
            <w:tcW w:w="44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Other income, net</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1,850</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902</w:t>
            </w:r>
          </w:p>
        </w:tc>
        <w:tc>
          <w:tcPr>
            <w:tcW w:w="2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2,132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Equity income (loss) in net income of affiliates</w:t>
            </w:r>
          </w:p>
        </w:tc>
        <w:tc>
          <w:tcPr>
            <w:tcW w:w="10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44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117</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6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80" w:type="dxa"/>
            <w:vAlign w:val="bottom"/>
            <w:tcBorders>
              <w:right w:val="single" w:sz="8" w:color="CCEEFF"/>
            </w:tcBorders>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20"/>
              <w:spacing w:after="0"/>
              <w:rPr>
                <w:sz w:val="20"/>
                <w:szCs w:val="20"/>
                <w:color w:val="auto"/>
              </w:rPr>
            </w:pPr>
            <w:r>
              <w:rPr>
                <w:rFonts w:ascii="Arial" w:cs="Arial" w:eastAsia="Arial" w:hAnsi="Arial"/>
                <w:sz w:val="18"/>
                <w:szCs w:val="18"/>
                <w:b w:val="1"/>
                <w:bCs w:val="1"/>
                <w:color w:val="auto"/>
              </w:rPr>
              <w:t>Income before income taxes</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8,761</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4,314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15,924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0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(461)</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6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80" w:type="dxa"/>
            <w:vAlign w:val="bottom"/>
            <w:tcBorders>
              <w:right w:val="single" w:sz="8" w:color="CCEEFF"/>
            </w:tcBorders>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20"/>
              <w:spacing w:after="0"/>
              <w:rPr>
                <w:sz w:val="20"/>
                <w:szCs w:val="20"/>
                <w:color w:val="auto"/>
              </w:rPr>
            </w:pPr>
            <w:r>
              <w:rPr>
                <w:rFonts w:ascii="Arial" w:cs="Arial" w:eastAsia="Arial" w:hAnsi="Arial"/>
                <w:sz w:val="18"/>
                <w:szCs w:val="18"/>
                <w:b w:val="1"/>
                <w:bCs w:val="1"/>
                <w:color w:val="auto"/>
              </w:rPr>
              <w:t>Net income</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9,089</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3,853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15,257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0" w:type="dxa"/>
            <w:vAlign w:val="bottom"/>
            <w:vMerge w:val="continue"/>
          </w:tcPr>
          <w:p>
            <w:pPr>
              <w:spacing w:after="0"/>
              <w:rPr>
                <w:sz w:val="18"/>
                <w:szCs w:val="18"/>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Less: Net income attributable to non-controlling interest</w:t>
            </w:r>
          </w:p>
        </w:tc>
        <w:tc>
          <w:tcPr>
            <w:tcW w:w="10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20"/>
              <w:spacing w:after="0"/>
              <w:rPr>
                <w:sz w:val="20"/>
                <w:szCs w:val="20"/>
                <w:color w:val="auto"/>
              </w:rPr>
            </w:pPr>
            <w:r>
              <w:rPr>
                <w:rFonts w:ascii="Arial" w:cs="Arial" w:eastAsia="Arial" w:hAnsi="Arial"/>
                <w:sz w:val="18"/>
                <w:szCs w:val="18"/>
                <w:b w:val="1"/>
                <w:bCs w:val="1"/>
                <w:color w:val="auto"/>
                <w:w w:val="99"/>
              </w:rPr>
              <w:t>Net income attributable to ACM Research, Inc.</w:t>
            </w:r>
          </w:p>
        </w:tc>
        <w:tc>
          <w:tcPr>
            <w:tcW w:w="102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8,782</w:t>
            </w:r>
          </w:p>
        </w:tc>
        <w:tc>
          <w:tcPr>
            <w:tcW w:w="280" w:type="dxa"/>
            <w:vAlign w:val="bottom"/>
          </w:tcPr>
          <w:p>
            <w:pPr>
              <w:spacing w:after="0"/>
              <w:rPr>
                <w:sz w:val="18"/>
                <w:szCs w:val="18"/>
                <w:color w:val="auto"/>
              </w:rPr>
            </w:pP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3,853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14,950</w:t>
            </w:r>
          </w:p>
        </w:tc>
        <w:tc>
          <w:tcPr>
            <w:tcW w:w="5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0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9,089</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3,853</w:t>
            </w:r>
          </w:p>
        </w:tc>
        <w:tc>
          <w:tcPr>
            <w:tcW w:w="2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15,257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w:t>
            </w:r>
          </w:p>
        </w:tc>
        <w:tc>
          <w:tcPr>
            <w:tcW w:w="10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(2,591)</w:t>
            </w:r>
          </w:p>
        </w:tc>
        <w:tc>
          <w:tcPr>
            <w:tcW w:w="44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(746)</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6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80" w:type="dxa"/>
            <w:vAlign w:val="bottom"/>
            <w:tcBorders>
              <w:right w:val="single" w:sz="8" w:color="CCEEFF"/>
            </w:tcBorders>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20"/>
              <w:spacing w:after="0"/>
              <w:rPr>
                <w:sz w:val="20"/>
                <w:szCs w:val="20"/>
                <w:color w:val="auto"/>
              </w:rPr>
            </w:pPr>
            <w:r>
              <w:rPr>
                <w:rFonts w:ascii="Arial" w:cs="Arial" w:eastAsia="Arial" w:hAnsi="Arial"/>
                <w:sz w:val="18"/>
                <w:szCs w:val="18"/>
                <w:b w:val="1"/>
                <w:bCs w:val="1"/>
                <w:color w:val="auto"/>
              </w:rPr>
              <w:t>Total comprehensive income</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6,498</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3,107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12,355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3,211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42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Less: Comprehensive income attributable to non-</w:t>
            </w:r>
          </w:p>
        </w:tc>
        <w:tc>
          <w:tcPr>
            <w:tcW w:w="1020" w:type="dxa"/>
            <w:vAlign w:val="bottom"/>
            <w:shd w:val="clear" w:color="auto" w:fill="CCEEFF"/>
          </w:tcPr>
          <w:p>
            <w:pPr>
              <w:spacing w:after="0"/>
              <w:rPr>
                <w:sz w:val="16"/>
                <w:szCs w:val="16"/>
                <w:color w:val="auto"/>
              </w:rPr>
            </w:pPr>
          </w:p>
        </w:tc>
        <w:tc>
          <w:tcPr>
            <w:tcW w:w="580" w:type="dxa"/>
            <w:vAlign w:val="bottom"/>
            <w:tcBorders>
              <w:right w:val="single" w:sz="8" w:color="CCEEFF"/>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controlling interests</w:t>
            </w:r>
          </w:p>
        </w:tc>
        <w:tc>
          <w:tcPr>
            <w:tcW w:w="1020" w:type="dxa"/>
            <w:vAlign w:val="bottom"/>
            <w:shd w:val="clear" w:color="auto" w:fill="CCEEFF"/>
          </w:tcPr>
          <w:p>
            <w:pPr>
              <w:spacing w:after="0"/>
              <w:rPr>
                <w:sz w:val="20"/>
                <w:szCs w:val="20"/>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60" w:type="dxa"/>
            <w:vAlign w:val="bottom"/>
            <w:tcBorders>
              <w:top w:val="single" w:sz="8" w:color="CCEEFF"/>
            </w:tcBorders>
          </w:tcPr>
          <w:p>
            <w:pPr>
              <w:ind w:left="320"/>
              <w:spacing w:after="0" w:line="198" w:lineRule="exact"/>
              <w:rPr>
                <w:sz w:val="20"/>
                <w:szCs w:val="20"/>
                <w:color w:val="auto"/>
              </w:rPr>
            </w:pPr>
            <w:r>
              <w:rPr>
                <w:rFonts w:ascii="Arial" w:cs="Arial" w:eastAsia="Arial" w:hAnsi="Arial"/>
                <w:sz w:val="18"/>
                <w:szCs w:val="18"/>
                <w:b w:val="1"/>
                <w:bCs w:val="1"/>
                <w:color w:val="auto"/>
              </w:rPr>
              <w:t>Total comprehensive income</w:t>
            </w:r>
          </w:p>
        </w:tc>
        <w:tc>
          <w:tcPr>
            <w:tcW w:w="10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60" w:type="dxa"/>
            <w:vAlign w:val="bottom"/>
          </w:tcPr>
          <w:p>
            <w:pPr>
              <w:ind w:left="480"/>
              <w:spacing w:after="0"/>
              <w:rPr>
                <w:sz w:val="20"/>
                <w:szCs w:val="20"/>
                <w:color w:val="auto"/>
              </w:rPr>
            </w:pPr>
            <w:r>
              <w:rPr>
                <w:rFonts w:ascii="Arial" w:cs="Arial" w:eastAsia="Arial" w:hAnsi="Arial"/>
                <w:sz w:val="18"/>
                <w:szCs w:val="18"/>
                <w:b w:val="1"/>
                <w:bCs w:val="1"/>
                <w:color w:val="auto"/>
              </w:rPr>
              <w:t>attributable to ACM Research, Inc.</w:t>
            </w:r>
          </w:p>
        </w:tc>
        <w:tc>
          <w:tcPr>
            <w:tcW w:w="102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6,191</w:t>
            </w:r>
          </w:p>
        </w:tc>
        <w:tc>
          <w:tcPr>
            <w:tcW w:w="280" w:type="dxa"/>
            <w:vAlign w:val="bottom"/>
          </w:tcPr>
          <w:p>
            <w:pPr>
              <w:spacing w:after="0"/>
              <w:rPr>
                <w:sz w:val="20"/>
                <w:szCs w:val="20"/>
                <w:color w:val="auto"/>
              </w:rPr>
            </w:pP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3,107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12,048</w:t>
            </w:r>
          </w:p>
        </w:tc>
        <w:tc>
          <w:tcPr>
            <w:tcW w:w="5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3,211</w:t>
            </w:r>
          </w:p>
        </w:tc>
        <w:tc>
          <w:tcPr>
            <w:tcW w:w="0" w:type="dxa"/>
            <w:vAlign w:val="bottom"/>
          </w:tcPr>
          <w:p>
            <w:pPr>
              <w:spacing w:after="0"/>
              <w:rPr>
                <w:sz w:val="1"/>
                <w:szCs w:val="1"/>
                <w:color w:val="auto"/>
              </w:rPr>
            </w:pPr>
          </w:p>
        </w:tc>
      </w:tr>
      <w:tr>
        <w:trPr>
          <w:trHeight w:val="21"/>
        </w:trPr>
        <w:tc>
          <w:tcPr>
            <w:tcW w:w="428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60" w:type="dxa"/>
            <w:vAlign w:val="bottom"/>
          </w:tcPr>
          <w:p>
            <w:pPr>
              <w:spacing w:after="0" w:line="201" w:lineRule="exact"/>
              <w:rPr>
                <w:sz w:val="20"/>
                <w:szCs w:val="20"/>
                <w:color w:val="auto"/>
              </w:rPr>
            </w:pPr>
            <w:r>
              <w:rPr>
                <w:rFonts w:ascii="Arial" w:cs="Arial" w:eastAsia="Arial" w:hAnsi="Arial"/>
                <w:sz w:val="18"/>
                <w:szCs w:val="18"/>
                <w:color w:val="auto"/>
              </w:rPr>
              <w:t>Net income attributable to ACM Research, Inc.</w:t>
            </w: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per common share:</w:t>
            </w: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2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0.91</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Diluted</w:t>
            </w:r>
          </w:p>
        </w:tc>
        <w:tc>
          <w:tcPr>
            <w:tcW w:w="102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0.45</w:t>
            </w:r>
          </w:p>
        </w:tc>
        <w:tc>
          <w:tcPr>
            <w:tcW w:w="280" w:type="dxa"/>
            <w:vAlign w:val="bottom"/>
          </w:tcPr>
          <w:p>
            <w:pPr>
              <w:spacing w:after="0"/>
              <w:rPr>
                <w:sz w:val="18"/>
                <w:szCs w:val="18"/>
                <w:color w:val="auto"/>
              </w:rPr>
            </w:pP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0.21</w:t>
            </w:r>
          </w:p>
        </w:tc>
        <w:tc>
          <w:tcPr>
            <w:tcW w:w="1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0.80</w:t>
            </w:r>
          </w:p>
        </w:tc>
        <w:tc>
          <w:tcPr>
            <w:tcW w:w="5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Weighted average common shares outstanding used in computing per share amounts: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16,999,746</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15,915,864</w:t>
            </w:r>
          </w:p>
        </w:tc>
        <w:tc>
          <w:tcPr>
            <w:tcW w:w="18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16,381,944</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15,714,310</w:t>
            </w:r>
          </w:p>
        </w:tc>
      </w:tr>
      <w:tr>
        <w:trPr>
          <w:trHeight w:val="20"/>
        </w:trPr>
        <w:tc>
          <w:tcPr>
            <w:tcW w:w="42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4280" w:type="dxa"/>
            <w:vAlign w:val="bottom"/>
          </w:tcPr>
          <w:p>
            <w:pPr>
              <w:ind w:left="180"/>
              <w:spacing w:after="0"/>
              <w:rPr>
                <w:sz w:val="20"/>
                <w:szCs w:val="20"/>
                <w:color w:val="auto"/>
              </w:rPr>
            </w:pPr>
            <w:r>
              <w:rPr>
                <w:rFonts w:ascii="Arial" w:cs="Arial" w:eastAsia="Arial" w:hAnsi="Arial"/>
                <w:sz w:val="18"/>
                <w:szCs w:val="18"/>
                <w:color w:val="auto"/>
              </w:rPr>
              <w:t>Diluted</w:t>
            </w:r>
          </w:p>
        </w:tc>
        <w:tc>
          <w:tcPr>
            <w:tcW w:w="1580" w:type="dxa"/>
            <w:vAlign w:val="bottom"/>
          </w:tcPr>
          <w:p>
            <w:pPr>
              <w:jc w:val="right"/>
              <w:spacing w:after="0"/>
              <w:rPr>
                <w:sz w:val="20"/>
                <w:szCs w:val="20"/>
                <w:color w:val="auto"/>
              </w:rPr>
            </w:pPr>
            <w:r>
              <w:rPr>
                <w:rFonts w:ascii="Arial" w:cs="Arial" w:eastAsia="Arial" w:hAnsi="Arial"/>
                <w:sz w:val="18"/>
                <w:szCs w:val="18"/>
                <w:color w:val="auto"/>
              </w:rPr>
              <w:t>19,354,214</w:t>
            </w: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18,169,807</w:t>
            </w:r>
          </w:p>
        </w:tc>
        <w:tc>
          <w:tcPr>
            <w:tcW w:w="180" w:type="dxa"/>
            <w:vAlign w:val="bottom"/>
          </w:tcPr>
          <w:p>
            <w:pPr>
              <w:spacing w:after="0"/>
              <w:rPr>
                <w:sz w:val="18"/>
                <w:szCs w:val="18"/>
                <w:color w:val="auto"/>
              </w:rPr>
            </w:pPr>
          </w:p>
        </w:tc>
        <w:tc>
          <w:tcPr>
            <w:tcW w:w="1860" w:type="dxa"/>
            <w:vAlign w:val="bottom"/>
            <w:gridSpan w:val="2"/>
          </w:tcPr>
          <w:p>
            <w:pPr>
              <w:jc w:val="right"/>
              <w:ind w:right="300"/>
              <w:spacing w:after="0"/>
              <w:rPr>
                <w:sz w:val="20"/>
                <w:szCs w:val="20"/>
                <w:color w:val="auto"/>
              </w:rPr>
            </w:pPr>
            <w:r>
              <w:rPr>
                <w:rFonts w:ascii="Arial" w:cs="Arial" w:eastAsia="Arial" w:hAnsi="Arial"/>
                <w:sz w:val="18"/>
                <w:szCs w:val="18"/>
                <w:color w:val="auto"/>
              </w:rPr>
              <w:t>18,699,010</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17,816,101</w:t>
            </w:r>
          </w:p>
        </w:tc>
      </w:tr>
      <w:tr>
        <w:trPr>
          <w:trHeight w:val="21"/>
        </w:trPr>
        <w:tc>
          <w:tcPr>
            <w:tcW w:w="428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76"/>
        </w:trPr>
        <w:tc>
          <w:tcPr>
            <w:tcW w:w="4280" w:type="dxa"/>
            <w:vAlign w:val="bottom"/>
          </w:tcPr>
          <w:p>
            <w:pPr>
              <w:spacing w:after="0"/>
              <w:rPr>
                <w:sz w:val="24"/>
                <w:szCs w:val="24"/>
                <w:color w:val="auto"/>
              </w:rPr>
            </w:pPr>
          </w:p>
        </w:tc>
        <w:tc>
          <w:tcPr>
            <w:tcW w:w="1580" w:type="dxa"/>
            <w:vAlign w:val="bottom"/>
          </w:tcPr>
          <w:p>
            <w:pPr>
              <w:jc w:val="right"/>
              <w:ind w:right="36"/>
              <w:spacing w:after="0"/>
              <w:rPr>
                <w:sz w:val="20"/>
                <w:szCs w:val="20"/>
                <w:color w:val="auto"/>
              </w:rPr>
            </w:pPr>
            <w:r>
              <w:rPr>
                <w:rFonts w:ascii="Arial" w:cs="Arial" w:eastAsia="Arial" w:hAnsi="Arial"/>
                <w:sz w:val="14"/>
                <w:szCs w:val="14"/>
                <w:color w:val="auto"/>
              </w:rPr>
              <w:t>6</w:t>
            </w: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2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1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ACM RESEARCH,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Reconciliation of GAAP to Non-GAAP Financial Measures</w:t>
      </w:r>
    </w:p>
    <w:p>
      <w:pPr>
        <w:spacing w:after="0" w:line="215" w:lineRule="exact"/>
        <w:rPr>
          <w:sz w:val="20"/>
          <w:szCs w:val="20"/>
          <w:color w:val="auto"/>
        </w:rPr>
      </w:pPr>
    </w:p>
    <w:p>
      <w:pPr>
        <w:ind w:right="180"/>
        <w:spacing w:after="0" w:line="287" w:lineRule="auto"/>
        <w:rPr>
          <w:sz w:val="20"/>
          <w:szCs w:val="20"/>
          <w:color w:val="auto"/>
        </w:rPr>
      </w:pPr>
      <w:r>
        <w:rPr>
          <w:rFonts w:ascii="Arial" w:cs="Arial" w:eastAsia="Arial" w:hAnsi="Arial"/>
          <w:sz w:val="19"/>
          <w:szCs w:val="19"/>
          <w:color w:val="auto"/>
        </w:rPr>
        <w:t>As described under “Use of Non-GAAP Financial Measures” above, ACM presents non-GAAP gross margin, operating income and net income (loss) attributable to ACM Research, Inc. as supplemental measures to GAAP financial measures, each of which excludes stock-based compensation (“SBC”) from the equivalent GAAP financial line items. The following table reconciles gross margin, operating income and net income (loss) attributable to ACM Research, Inc. to the related non-GAAP financial measures: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5"/>
          </w:tcPr>
          <w:p>
            <w:pPr>
              <w:jc w:val="center"/>
              <w:ind w:left="831"/>
              <w:spacing w:after="0"/>
              <w:rPr>
                <w:sz w:val="20"/>
                <w:szCs w:val="20"/>
                <w:color w:val="auto"/>
              </w:rPr>
            </w:pPr>
            <w:r>
              <w:rPr>
                <w:rFonts w:ascii="Arial" w:cs="Arial" w:eastAsia="Arial" w:hAnsi="Arial"/>
                <w:sz w:val="18"/>
                <w:szCs w:val="18"/>
                <w:b w:val="1"/>
                <w:bCs w:val="1"/>
                <w:color w:val="auto"/>
                <w:w w:val="90"/>
              </w:rPr>
              <w:t>Three Months Ended September 30,</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251"/>
              <w:spacing w:after="0"/>
              <w:rPr>
                <w:sz w:val="20"/>
                <w:szCs w:val="20"/>
                <w:color w:val="auto"/>
              </w:rPr>
            </w:pPr>
            <w:r>
              <w:rPr>
                <w:rFonts w:ascii="Arial" w:cs="Arial" w:eastAsia="Arial" w:hAnsi="Arial"/>
                <w:sz w:val="18"/>
                <w:szCs w:val="18"/>
                <w:b w:val="1"/>
                <w:bCs w:val="1"/>
                <w:color w:val="auto"/>
                <w:w w:val="89"/>
              </w:rPr>
              <w:t>2019</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230"/>
              <w:spacing w:after="0" w:line="198" w:lineRule="exact"/>
              <w:rPr>
                <w:sz w:val="20"/>
                <w:szCs w:val="20"/>
                <w:color w:val="auto"/>
              </w:rPr>
            </w:pPr>
            <w:r>
              <w:rPr>
                <w:rFonts w:ascii="Arial" w:cs="Arial" w:eastAsia="Arial" w:hAnsi="Arial"/>
                <w:sz w:val="18"/>
                <w:szCs w:val="18"/>
                <w:b w:val="1"/>
                <w:bCs w:val="1"/>
                <w:color w:val="auto"/>
                <w:w w:val="90"/>
              </w:rPr>
              <w:t>Actual</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center"/>
              <w:ind w:right="210"/>
              <w:spacing w:after="0" w:line="198" w:lineRule="exact"/>
              <w:rPr>
                <w:sz w:val="20"/>
                <w:szCs w:val="20"/>
                <w:color w:val="auto"/>
              </w:rPr>
            </w:pPr>
            <w:r>
              <w:rPr>
                <w:rFonts w:ascii="Arial" w:cs="Arial" w:eastAsia="Arial" w:hAnsi="Arial"/>
                <w:sz w:val="18"/>
                <w:szCs w:val="18"/>
                <w:b w:val="1"/>
                <w:bCs w:val="1"/>
                <w:color w:val="auto"/>
                <w:w w:val="90"/>
              </w:rPr>
              <w:t>Adjusted</w:t>
            </w:r>
          </w:p>
        </w:tc>
        <w:tc>
          <w:tcPr>
            <w:tcW w:w="240" w:type="dxa"/>
            <w:vAlign w:val="bottom"/>
          </w:tcPr>
          <w:p>
            <w:pPr>
              <w:spacing w:after="0"/>
              <w:rPr>
                <w:sz w:val="17"/>
                <w:szCs w:val="17"/>
                <w:color w:val="auto"/>
              </w:rPr>
            </w:pPr>
          </w:p>
        </w:tc>
        <w:tc>
          <w:tcPr>
            <w:tcW w:w="1120" w:type="dxa"/>
            <w:vAlign w:val="bottom"/>
          </w:tcPr>
          <w:p>
            <w:pPr>
              <w:jc w:val="center"/>
              <w:ind w:right="230"/>
              <w:spacing w:after="0" w:line="198" w:lineRule="exact"/>
              <w:rPr>
                <w:sz w:val="20"/>
                <w:szCs w:val="20"/>
                <w:color w:val="auto"/>
              </w:rPr>
            </w:pPr>
            <w:r>
              <w:rPr>
                <w:rFonts w:ascii="Arial" w:cs="Arial" w:eastAsia="Arial" w:hAnsi="Arial"/>
                <w:sz w:val="18"/>
                <w:szCs w:val="18"/>
                <w:b w:val="1"/>
                <w:bCs w:val="1"/>
                <w:color w:val="auto"/>
                <w:w w:val="94"/>
              </w:rPr>
              <w:t>Actual</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center"/>
              <w:ind w:right="170"/>
              <w:spacing w:after="0" w:line="198" w:lineRule="exact"/>
              <w:rPr>
                <w:sz w:val="20"/>
                <w:szCs w:val="20"/>
                <w:color w:val="auto"/>
              </w:rPr>
            </w:pPr>
            <w:r>
              <w:rPr>
                <w:rFonts w:ascii="Arial" w:cs="Arial" w:eastAsia="Arial" w:hAnsi="Arial"/>
                <w:sz w:val="18"/>
                <w:szCs w:val="18"/>
                <w:b w:val="1"/>
                <w:bCs w:val="1"/>
                <w:color w:val="auto"/>
                <w:w w:val="90"/>
              </w:rPr>
              <w:t>Adjusted</w:t>
            </w: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6"/>
              </w:rPr>
              <w:t>(GAAP)</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211"/>
              <w:spacing w:after="0"/>
              <w:rPr>
                <w:sz w:val="20"/>
                <w:szCs w:val="20"/>
                <w:color w:val="auto"/>
              </w:rPr>
            </w:pPr>
            <w:r>
              <w:rPr>
                <w:rFonts w:ascii="Arial" w:cs="Arial" w:eastAsia="Arial" w:hAnsi="Arial"/>
                <w:sz w:val="18"/>
                <w:szCs w:val="18"/>
                <w:b w:val="1"/>
                <w:bCs w:val="1"/>
                <w:color w:val="auto"/>
                <w:w w:val="94"/>
              </w:rPr>
              <w:t>SBC</w:t>
            </w: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7"/>
              </w:rPr>
              <w:t>(Non-GAAP)</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9"/>
              </w:rPr>
              <w:t>(GAAP)</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SBC</w:t>
            </w: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5"/>
              </w:rPr>
              <w:t>(Non-GAAP)</w:t>
            </w: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80" w:type="dxa"/>
            <w:vAlign w:val="bottom"/>
            <w:gridSpan w:val="3"/>
          </w:tcPr>
          <w:p>
            <w:pPr>
              <w:jc w:val="center"/>
              <w:ind w:right="310"/>
              <w:spacing w:after="0"/>
              <w:rPr>
                <w:sz w:val="20"/>
                <w:szCs w:val="20"/>
                <w:color w:val="auto"/>
              </w:rPr>
            </w:pPr>
            <w:r>
              <w:rPr>
                <w:rFonts w:ascii="Arial" w:cs="Arial" w:eastAsia="Arial" w:hAnsi="Arial"/>
                <w:sz w:val="18"/>
                <w:szCs w:val="18"/>
                <w:i w:val="1"/>
                <w:iCs w:val="1"/>
                <w:color w:val="auto"/>
                <w:w w:val="90"/>
              </w:rPr>
              <w:t>(In thousands)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33,427</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33,427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23,179</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23,179</w:t>
            </w:r>
          </w:p>
        </w:tc>
      </w:tr>
      <w:tr>
        <w:trPr>
          <w:trHeight w:val="223"/>
        </w:trPr>
        <w:tc>
          <w:tcPr>
            <w:tcW w:w="2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Cost of revenue</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(17,173)</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(17,019)</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(12,892)</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(12,867)</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16,254</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16,408</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10,287</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10,312</w:t>
            </w: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Sales and marketing</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(3,886)</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(3,714)</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w:t>
            </w: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(3,492)</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(759)</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(2,733)</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(2,264)</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(2,200)</w:t>
            </w: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w:t>
            </w:r>
          </w:p>
        </w:tc>
      </w:tr>
      <w:tr>
        <w:trPr>
          <w:trHeight w:val="223"/>
        </w:trPr>
        <w:tc>
          <w:tcPr>
            <w:tcW w:w="2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Income from operations</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7,030</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8,587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3,404</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3,815</w:t>
            </w:r>
          </w:p>
        </w:tc>
      </w:tr>
      <w:tr>
        <w:trPr>
          <w:trHeight w:val="198"/>
        </w:trPr>
        <w:tc>
          <w:tcPr>
            <w:tcW w:w="20" w:type="dxa"/>
            <w:vAlign w:val="bottom"/>
          </w:tcPr>
          <w:p>
            <w:pPr>
              <w:spacing w:after="0"/>
              <w:rPr>
                <w:sz w:val="17"/>
                <w:szCs w:val="17"/>
                <w:color w:val="auto"/>
              </w:rPr>
            </w:pPr>
          </w:p>
        </w:tc>
        <w:tc>
          <w:tcPr>
            <w:tcW w:w="33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 attributable to ACM</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75"/>
        </w:trPr>
        <w:tc>
          <w:tcPr>
            <w:tcW w:w="20" w:type="dxa"/>
            <w:vAlign w:val="bottom"/>
          </w:tcPr>
          <w:p>
            <w:pPr>
              <w:spacing w:after="0"/>
              <w:rPr>
                <w:sz w:val="23"/>
                <w:szCs w:val="23"/>
                <w:color w:val="auto"/>
              </w:rPr>
            </w:pPr>
          </w:p>
        </w:tc>
        <w:tc>
          <w:tcPr>
            <w:tcW w:w="3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Research, Inc.</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8,782</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10,339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3,853</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4,264</w:t>
            </w:r>
          </w:p>
        </w:tc>
      </w:tr>
      <w:tr>
        <w:trPr>
          <w:trHeight w:val="460"/>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Nine Months Ended September 30,</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251"/>
              <w:spacing w:after="0"/>
              <w:rPr>
                <w:sz w:val="20"/>
                <w:szCs w:val="20"/>
                <w:color w:val="auto"/>
              </w:rPr>
            </w:pPr>
            <w:r>
              <w:rPr>
                <w:rFonts w:ascii="Arial" w:cs="Arial" w:eastAsia="Arial" w:hAnsi="Arial"/>
                <w:sz w:val="18"/>
                <w:szCs w:val="18"/>
                <w:b w:val="1"/>
                <w:bCs w:val="1"/>
                <w:color w:val="auto"/>
                <w:w w:val="89"/>
              </w:rPr>
              <w:t>2019</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230"/>
              <w:spacing w:after="0" w:line="198" w:lineRule="exact"/>
              <w:rPr>
                <w:sz w:val="20"/>
                <w:szCs w:val="20"/>
                <w:color w:val="auto"/>
              </w:rPr>
            </w:pPr>
            <w:r>
              <w:rPr>
                <w:rFonts w:ascii="Arial" w:cs="Arial" w:eastAsia="Arial" w:hAnsi="Arial"/>
                <w:sz w:val="18"/>
                <w:szCs w:val="18"/>
                <w:b w:val="1"/>
                <w:bCs w:val="1"/>
                <w:color w:val="auto"/>
                <w:w w:val="90"/>
              </w:rPr>
              <w:t>Actual</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center"/>
              <w:ind w:right="210"/>
              <w:spacing w:after="0" w:line="198" w:lineRule="exact"/>
              <w:rPr>
                <w:sz w:val="20"/>
                <w:szCs w:val="20"/>
                <w:color w:val="auto"/>
              </w:rPr>
            </w:pPr>
            <w:r>
              <w:rPr>
                <w:rFonts w:ascii="Arial" w:cs="Arial" w:eastAsia="Arial" w:hAnsi="Arial"/>
                <w:sz w:val="18"/>
                <w:szCs w:val="18"/>
                <w:b w:val="1"/>
                <w:bCs w:val="1"/>
                <w:color w:val="auto"/>
                <w:w w:val="90"/>
              </w:rPr>
              <w:t>Adjusted</w:t>
            </w:r>
          </w:p>
        </w:tc>
        <w:tc>
          <w:tcPr>
            <w:tcW w:w="240" w:type="dxa"/>
            <w:vAlign w:val="bottom"/>
          </w:tcPr>
          <w:p>
            <w:pPr>
              <w:spacing w:after="0"/>
              <w:rPr>
                <w:sz w:val="17"/>
                <w:szCs w:val="17"/>
                <w:color w:val="auto"/>
              </w:rPr>
            </w:pPr>
          </w:p>
        </w:tc>
        <w:tc>
          <w:tcPr>
            <w:tcW w:w="1120" w:type="dxa"/>
            <w:vAlign w:val="bottom"/>
          </w:tcPr>
          <w:p>
            <w:pPr>
              <w:jc w:val="center"/>
              <w:ind w:right="230"/>
              <w:spacing w:after="0" w:line="198" w:lineRule="exact"/>
              <w:rPr>
                <w:sz w:val="20"/>
                <w:szCs w:val="20"/>
                <w:color w:val="auto"/>
              </w:rPr>
            </w:pPr>
            <w:r>
              <w:rPr>
                <w:rFonts w:ascii="Arial" w:cs="Arial" w:eastAsia="Arial" w:hAnsi="Arial"/>
                <w:sz w:val="18"/>
                <w:szCs w:val="18"/>
                <w:b w:val="1"/>
                <w:bCs w:val="1"/>
                <w:color w:val="auto"/>
                <w:w w:val="94"/>
              </w:rPr>
              <w:t>Actual</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center"/>
              <w:ind w:right="170"/>
              <w:spacing w:after="0" w:line="198" w:lineRule="exact"/>
              <w:rPr>
                <w:sz w:val="20"/>
                <w:szCs w:val="20"/>
                <w:color w:val="auto"/>
              </w:rPr>
            </w:pPr>
            <w:r>
              <w:rPr>
                <w:rFonts w:ascii="Arial" w:cs="Arial" w:eastAsia="Arial" w:hAnsi="Arial"/>
                <w:sz w:val="18"/>
                <w:szCs w:val="18"/>
                <w:b w:val="1"/>
                <w:bCs w:val="1"/>
                <w:color w:val="auto"/>
                <w:w w:val="90"/>
              </w:rPr>
              <w:t>Adjusted</w:t>
            </w: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6"/>
              </w:rPr>
              <w:t>(GAAP)</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211"/>
              <w:spacing w:after="0"/>
              <w:rPr>
                <w:sz w:val="20"/>
                <w:szCs w:val="20"/>
                <w:color w:val="auto"/>
              </w:rPr>
            </w:pPr>
            <w:r>
              <w:rPr>
                <w:rFonts w:ascii="Arial" w:cs="Arial" w:eastAsia="Arial" w:hAnsi="Arial"/>
                <w:sz w:val="18"/>
                <w:szCs w:val="18"/>
                <w:b w:val="1"/>
                <w:bCs w:val="1"/>
                <w:color w:val="auto"/>
                <w:w w:val="94"/>
              </w:rPr>
              <w:t>SBC</w:t>
            </w: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7"/>
              </w:rPr>
              <w:t>(Non-GAAP)</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9"/>
              </w:rPr>
              <w:t>(GAAP)</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SBC</w:t>
            </w: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5"/>
              </w:rPr>
              <w:t>(Non-GAAP)</w:t>
            </w: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80" w:type="dxa"/>
            <w:vAlign w:val="bottom"/>
            <w:gridSpan w:val="3"/>
          </w:tcPr>
          <w:p>
            <w:pPr>
              <w:jc w:val="center"/>
              <w:ind w:right="310"/>
              <w:spacing w:after="0"/>
              <w:rPr>
                <w:sz w:val="20"/>
                <w:szCs w:val="20"/>
                <w:color w:val="auto"/>
              </w:rPr>
            </w:pPr>
            <w:r>
              <w:rPr>
                <w:rFonts w:ascii="Arial" w:cs="Arial" w:eastAsia="Arial" w:hAnsi="Arial"/>
                <w:sz w:val="18"/>
                <w:szCs w:val="18"/>
                <w:i w:val="1"/>
                <w:iCs w:val="1"/>
                <w:color w:val="auto"/>
                <w:w w:val="90"/>
              </w:rPr>
              <w:t>(In thousands)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82,916</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82,916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53,795</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53,795</w:t>
            </w:r>
          </w:p>
        </w:tc>
      </w:tr>
      <w:tr>
        <w:trPr>
          <w:trHeight w:val="223"/>
        </w:trPr>
        <w:tc>
          <w:tcPr>
            <w:tcW w:w="2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Cost of revenue</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(44,705)</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(44,492)</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(29,662)</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(29,618)</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38,211</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38,424</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24,133</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24,177</w:t>
            </w: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Sales and marketing</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(8,679)</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(8,427)</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(7,766)</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(7,651)</w:t>
            </w: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(9,598)</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(939)</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(8,659)</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(6,224)</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(6,093)</w:t>
            </w: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(5,992)</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(4,477)</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(6,312)</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(2,481)</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(3,831)</w:t>
            </w:r>
          </w:p>
        </w:tc>
      </w:tr>
      <w:tr>
        <w:trPr>
          <w:trHeight w:val="223"/>
        </w:trPr>
        <w:tc>
          <w:tcPr>
            <w:tcW w:w="2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Income from operations</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13,942</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(2,919)</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16,861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3,831</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6,602</w:t>
            </w:r>
          </w:p>
        </w:tc>
      </w:tr>
      <w:tr>
        <w:trPr>
          <w:trHeight w:val="198"/>
        </w:trPr>
        <w:tc>
          <w:tcPr>
            <w:tcW w:w="20" w:type="dxa"/>
            <w:vAlign w:val="bottom"/>
          </w:tcPr>
          <w:p>
            <w:pPr>
              <w:spacing w:after="0"/>
              <w:rPr>
                <w:sz w:val="17"/>
                <w:szCs w:val="17"/>
                <w:color w:val="auto"/>
              </w:rPr>
            </w:pPr>
          </w:p>
        </w:tc>
        <w:tc>
          <w:tcPr>
            <w:tcW w:w="33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 attributable to ACM</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75"/>
        </w:trPr>
        <w:tc>
          <w:tcPr>
            <w:tcW w:w="20" w:type="dxa"/>
            <w:vAlign w:val="bottom"/>
          </w:tcPr>
          <w:p>
            <w:pPr>
              <w:spacing w:after="0"/>
              <w:rPr>
                <w:sz w:val="23"/>
                <w:szCs w:val="23"/>
                <w:color w:val="auto"/>
              </w:rPr>
            </w:pPr>
          </w:p>
        </w:tc>
        <w:tc>
          <w:tcPr>
            <w:tcW w:w="3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Research, Inc.</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14,950</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17,869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4,288</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7,059</w:t>
            </w:r>
          </w:p>
        </w:tc>
      </w:tr>
      <w:tr>
        <w:trPr>
          <w:trHeight w:val="643"/>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7</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00"/>
        </w:trPr>
        <w:tc>
          <w:tcPr>
            <w:tcW w:w="20" w:type="dxa"/>
            <w:vAlign w:val="bottom"/>
          </w:tcPr>
          <w:p>
            <w:pPr>
              <w:spacing w:after="0"/>
              <w:rPr>
                <w:sz w:val="8"/>
                <w:szCs w:val="8"/>
                <w:color w:val="auto"/>
              </w:rPr>
            </w:pPr>
          </w:p>
        </w:tc>
        <w:tc>
          <w:tcPr>
            <w:tcW w:w="33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r>
    </w:tbl>
    <w:p>
      <w:pPr>
        <w:spacing w:after="0" w:line="1" w:lineRule="exact"/>
        <w:rPr>
          <w:sz w:val="20"/>
          <w:szCs w:val="20"/>
          <w:color w:val="auto"/>
        </w:rPr>
      </w:pP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2019-12-28T02:27:07Z</dcterms:created>
  <dcterms:modified xsi:type="dcterms:W3CDTF">2019-12-28T02:27:07Z</dcterms:modified>
</cp:coreProperties>
</file>