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Cheav Sotheara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63,334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-3265805</wp:posOffset>
            </wp:positionV>
            <wp:extent cx="7033895" cy="3308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30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5, 2020, the reporting person exercised, by net exercise, a previously issued stock option to purchase 20,000 shares of Class A Common Stock of the Issuer. The reporting person paid the exercise price on a cashless basis, resulting in the Issuer withholding 330 shares of Class A Common Stock for payment of the exercise price, based on the closing price of the Issuer's Class A Common Stock on November 4, 2020 of $91.00, and issuing to the reporting person the remaining 19,670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Senior Vice President, Manufacturing of ACM Research (Shanghai), Inc., a subsidiary of the Issuer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L. Johnson,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Sotheara Cheav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27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2020-11-09T16:35:05Z</dcterms:created>
  <dcterms:modified xsi:type="dcterms:W3CDTF">2020-11-09T16:35:05Z</dcterms:modified>
</cp:coreProperties>
</file>