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Date of Report (Date of earliest event reported): </w:t>
      </w:r>
      <w:r>
        <w:rPr>
          <w:rFonts w:ascii="Times New Roman;serif" w:hAnsi="Times New Roman;serif"/>
          <w:b/>
          <w:color w:val="000000"/>
          <w:sz w:val="20"/>
          <w:shd w:fill="FFFFFF" w:val="clear"/>
        </w:rPr>
        <w:t>August 7, 2026</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999" w:type="dxa"/>
        <w:jc w:val="left"/>
        <w:tblInd w:w="0" w:type="dxa"/>
        <w:tblLayout w:type="fixed"/>
        <w:tblCellMar>
          <w:top w:w="28" w:type="dxa"/>
          <w:left w:w="28" w:type="dxa"/>
          <w:bottom w:w="28" w:type="dxa"/>
          <w:right w:w="28" w:type="dxa"/>
        </w:tblCellMar>
      </w:tblPr>
      <w:tblGrid>
        <w:gridCol w:w="1387"/>
        <w:gridCol w:w="1219"/>
        <w:gridCol w:w="1234"/>
        <w:gridCol w:w="757"/>
        <w:gridCol w:w="757"/>
        <w:gridCol w:w="765"/>
        <w:gridCol w:w="842"/>
        <w:gridCol w:w="842"/>
        <w:gridCol w:w="1196"/>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001-38273</w:t>
            </w:r>
          </w:p>
        </w:tc>
        <w:tc>
          <w:tcPr>
            <w:tcW w:w="28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w:t>
            </w:r>
          </w:p>
        </w:tc>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bl>
    <w:tbl>
      <w:tblPr>
        <w:tblW w:w="4394" w:type="dxa"/>
        <w:jc w:val="left"/>
        <w:tblInd w:w="0" w:type="dxa"/>
        <w:tblLayout w:type="fixed"/>
        <w:tblCellMar>
          <w:top w:w="28" w:type="dxa"/>
          <w:left w:w="28" w:type="dxa"/>
          <w:bottom w:w="28" w:type="dxa"/>
          <w:right w:w="28" w:type="dxa"/>
        </w:tblCellMar>
      </w:tblPr>
      <w:tblGrid>
        <w:gridCol w:w="1221"/>
        <w:gridCol w:w="1074"/>
        <w:gridCol w:w="1079"/>
        <w:gridCol w:w="299"/>
        <w:gridCol w:w="299"/>
        <w:gridCol w:w="422"/>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33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240" w:after="283"/>
        <w:jc w:val="center"/>
        <w:rPr/>
      </w:pPr>
      <w:r>
        <w:rPr>
          <w:rFonts w:ascii="Times New Roman;serif" w:hAnsi="Times New Roman;serif"/>
          <w:b w:val="false"/>
          <w:color w:val="000000"/>
          <w:sz w:val="20"/>
          <w:shd w:fill="FFFFFF" w:val="clear"/>
        </w:rPr>
        <w:t xml:space="preserve">Registrant’s telephone number, including area code: </w:t>
      </w:r>
      <w:r>
        <w:rPr>
          <w:rFonts w:ascii="Times New Roman;serif" w:hAnsi="Times New Roman;serif"/>
          <w:b/>
          <w:color w:val="000000"/>
          <w:sz w:val="20"/>
          <w:shd w:fill="FFFFFF" w:val="clear"/>
        </w:rPr>
        <w:t>(510) 445-3700</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60"/>
        <w:gridCol w:w="1367"/>
        <w:gridCol w:w="1382"/>
        <w:gridCol w:w="109"/>
        <w:gridCol w:w="109"/>
        <w:gridCol w:w="109"/>
        <w:gridCol w:w="485"/>
        <w:gridCol w:w="485"/>
        <w:gridCol w:w="487"/>
        <w:gridCol w:w="109"/>
        <w:gridCol w:w="109"/>
        <w:gridCol w:w="109"/>
        <w:gridCol w:w="1105"/>
        <w:gridCol w:w="1105"/>
        <w:gridCol w:w="1575"/>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30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or Rule 12b-2 of the Securities Exchange Act of 1934:Emerging growth company </w:t>
      </w:r>
      <w:r>
        <w:rPr>
          <w:rFonts w:ascii="Wingdings;sans-serif" w:hAnsi="Wingdings;sans-serif"/>
          <w:b w:val="false"/>
          <w:color w:val="000000"/>
          <w:sz w:val="20"/>
          <w:shd w:fill="FFFFFF" w:val="clear"/>
        </w:rPr>
        <w:t>o</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On August 7, 2026, we issued a press release announcing financial results for the second quarter of 2026. The full text of the press release is furnished as Exhibit 99.1 hereto and is incorporated herein by reference</w:t>
      </w:r>
      <w:r>
        <w:rPr>
          <w:rFonts w:ascii="Times New Roman;serif" w:hAnsi="Times New Roman;serif"/>
          <w:b w:val="false"/>
          <w:i/>
          <w:color w:val="000000"/>
          <w:sz w:val="24"/>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pStyle w:val="TextBody"/>
        <w:bidi w:val="0"/>
        <w:spacing w:before="0" w:after="0"/>
        <w:jc w:val="both"/>
        <w:rPr/>
      </w:pPr>
      <w:r>
        <w:rPr/>
      </w:r>
    </w:p>
    <w:p>
      <w:pPr>
        <w:pStyle w:val="TextBody"/>
        <w:bidi w:val="0"/>
        <w:spacing w:lineRule="auto" w:line="276" w:before="0" w:after="20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048"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769"/>
        <w:gridCol w:w="1769"/>
        <w:gridCol w:w="253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20" w:after="120"/>
              <w:jc w:val="center"/>
              <w:rPr/>
            </w:pPr>
            <w:hyperlink w:anchor="acmr-q22026xearningsreleas.htm">
              <w:r>
                <w:rPr>
                  <w:rStyle w:val="InternetLink"/>
                  <w:rFonts w:ascii="Times New Roman;serif" w:hAnsi="Times New Roman;serif"/>
                  <w:b w:val="false"/>
                  <w:color w:val="0000FF"/>
                  <w:sz w:val="20"/>
                  <w:u w:val="single"/>
                </w:rPr>
                <w:t>99.1</w:t>
              </w:r>
            </w:hyperlink>
          </w:p>
          <w:p>
            <w:pPr>
              <w:pStyle w:val="TableContents"/>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Press Release of ACM Research, Inc. dated August 7, 2026</w:t>
            </w:r>
          </w:p>
          <w:p>
            <w:pPr>
              <w:pStyle w:val="TableContents"/>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Cover Page Interactive Data File (embedded within the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40" w:before="0" w:after="480"/>
        <w:jc w:val="left"/>
        <w:rPr>
          <w:rFonts w:ascii="Times New Roman;serif" w:hAnsi="Times New Roman;serif"/>
          <w:b w:val="false"/>
          <w:color w:val="000000"/>
          <w:sz w:val="20"/>
        </w:rPr>
      </w:pPr>
      <w:r>
        <w:rPr>
          <w:rFonts w:ascii="Times New Roman;serif" w:hAnsi="Times New Roman;serif"/>
          <w:b w:val="false"/>
          <w:color w:val="000000"/>
          <w:sz w:val="20"/>
        </w:rPr>
        <w:t>ACM RESEARCH, INC.</w:t>
      </w:r>
    </w:p>
    <w:p>
      <w:pPr>
        <w:pStyle w:val="TextBody"/>
        <w:bidi w:val="0"/>
        <w:spacing w:lineRule="auto" w:line="240" w:before="0" w:after="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Mark McKechnie</w:t>
      </w:r>
      <w:r>
        <w:rPr>
          <w:rFonts w:ascii="Times New Roman;serif" w:hAnsi="Times New Roman;serif"/>
          <w:b w:val="false"/>
          <w:color w:val="000000"/>
          <w:sz w:val="20"/>
        </w:rPr>
        <w:t>________________________</w:t>
      </w:r>
    </w:p>
    <w:p>
      <w:pPr>
        <w:pStyle w:val="TextBody"/>
        <w:bidi w:val="0"/>
        <w:spacing w:lineRule="auto" w:line="240" w:before="0" w:after="0"/>
        <w:jc w:val="left"/>
        <w:rPr>
          <w:color w:val="000000"/>
        </w:rPr>
      </w:pPr>
      <w:r>
        <w:rPr>
          <w:color w:val="000000"/>
        </w:rPr>
        <w:t>    </w:t>
      </w:r>
      <w:r>
        <w:rPr>
          <w:rFonts w:ascii="Times New Roman;serif" w:hAnsi="Times New Roman;serif"/>
          <w:b w:val="false"/>
          <w:color w:val="000000"/>
          <w:sz w:val="20"/>
        </w:rPr>
        <w:t>Mark McKechnie</w:t>
      </w:r>
    </w:p>
    <w:p>
      <w:pPr>
        <w:pStyle w:val="TextBody"/>
        <w:bidi w:val="0"/>
        <w:spacing w:lineRule="auto" w:line="240" w:before="0" w:after="20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283"/>
        <w:jc w:val="center"/>
        <w:rPr/>
      </w:pPr>
      <w:r>
        <w:rPr/>
        <w:drawing>
          <wp:inline distT="0" distB="0" distL="0" distR="0">
            <wp:extent cx="800100"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800100" cy="49530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ACM Research Reports Second Quarter 2026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FREMONT, Calif., August 07, 2026 (Globe Newswire) – ACM Research, Inc. (“ACM”) (NASDAQ: ACMR), a leading supplier of wafer processing solutions for semiconductor and advanced wafer-level packaging applications, today reported financial results for its second quarter ended June 30, 2026.</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color w:val="000000"/>
          <w:sz w:val="20"/>
        </w:rPr>
        <w:t xml:space="preserve">We delivered a strong second quarter, with revenue and shipments both increasing 36% year over year,” said Dr. David Wang, President </w:t>
      </w:r>
      <w:r>
        <w:rPr>
          <w:rFonts w:ascii="Times New Roman;serif" w:hAnsi="Times New Roman;serif"/>
          <w:b w:val="false"/>
          <w:color w:val="000000"/>
          <w:sz w:val="20"/>
          <w:shd w:fill="FFFFFF" w:val="clear"/>
        </w:rPr>
        <w:t>and Chief Executive Officer of ACM. “Revenue growth was led by the ECP and advanced packaging categories, which grew 168% and 153%, respectively, reflecting the growing contribution of our broader product portfolio. During the quarter, we shipped our 2,000th ECP chamber, an important milestone that demonstrates the increasing adoption of our ECP technology in high-volume manufacturing of logic, memory and 3D packaging. We also delivered good profitability, and ended the quarter with $1.0 billion in net cash, providing significant financial strength to support our long-term growth strategy.”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Dr. Wang continued, “Customer demand as demonstrated by increased order activity provides us with good visibility for the remainder of 2026. We see 2026 as a ‘Big Year’ for new products as we proceed with customer evaluations and product ramps across multiple platforms, including SPM Cleaning, Track, PECVD and horizontal panel-level </w:t>
      </w:r>
      <w:r>
        <w:rPr>
          <w:rFonts w:ascii="Times New Roman;serif" w:hAnsi="Times New Roman;serif"/>
          <w:b w:val="false"/>
          <w:color w:val="000000"/>
          <w:sz w:val="20"/>
        </w:rPr>
        <w:t>plating for advanced packaging</w:t>
      </w:r>
      <w:r>
        <w:rPr>
          <w:rFonts w:ascii="Times New Roman;serif" w:hAnsi="Times New Roman;serif"/>
          <w:b w:val="false"/>
          <w:color w:val="000000"/>
          <w:sz w:val="20"/>
          <w:shd w:fill="FFFFFF" w:val="clear"/>
        </w:rPr>
        <w:t>. At the same time, we are expanding engagement with global custome</w:t>
      </w:r>
      <w:r>
        <w:rPr>
          <w:rFonts w:ascii="Times New Roman;serif" w:hAnsi="Times New Roman;serif"/>
          <w:b w:val="false"/>
          <w:color w:val="000000"/>
          <w:sz w:val="20"/>
        </w:rPr>
        <w:t>rs and making solid progress at our Oregon facility. W</w:t>
      </w:r>
      <w:r>
        <w:rPr>
          <w:rFonts w:ascii="Times New Roman;serif" w:hAnsi="Times New Roman;serif"/>
          <w:b w:val="false"/>
          <w:color w:val="000000"/>
          <w:sz w:val="20"/>
          <w:shd w:fill="FFFFFF" w:val="clear"/>
        </w:rPr>
        <w:t>e are raising our full-year 2026 revenue outloo</w:t>
      </w:r>
      <w:r>
        <w:rPr>
          <w:rFonts w:ascii="Times New Roman;serif" w:hAnsi="Times New Roman;serif"/>
          <w:b w:val="false"/>
          <w:color w:val="000000"/>
          <w:sz w:val="20"/>
        </w:rPr>
        <w:t xml:space="preserve">k for 25% to 30% growth. </w:t>
      </w:r>
      <w:r>
        <w:rPr>
          <w:rFonts w:ascii="Times New Roman;serif" w:hAnsi="Times New Roman;serif"/>
          <w:b w:val="false"/>
          <w:color w:val="000000"/>
          <w:sz w:val="20"/>
          <w:shd w:fill="FFFFFF" w:val="clear"/>
        </w:rPr>
        <w:t>We remain confident in our ability to outgrow the market through new product cycles, market share gains and increasing contributions from global markets as we execute toward our long-term revenue target of $4 billion.”</w:t>
      </w:r>
    </w:p>
    <w:p>
      <w:pPr>
        <w:pStyle w:val="TextBody"/>
        <w:bidi w:val="0"/>
        <w:spacing w:before="0" w:after="0"/>
        <w:jc w:val="both"/>
        <w:rPr/>
      </w:pPr>
      <w:r>
        <w:rPr/>
      </w:r>
    </w:p>
    <w:p>
      <w:pPr>
        <w:pStyle w:val="TextBody"/>
        <w:bidi w:val="0"/>
        <w:spacing w:before="0" w:after="0"/>
        <w:jc w:val="both"/>
        <w:rPr/>
      </w:pPr>
      <w:r>
        <w:rPr/>
      </w:r>
    </w:p>
    <w:tbl>
      <w:tblPr>
        <w:tblW w:w="9693" w:type="dxa"/>
        <w:jc w:val="left"/>
        <w:tblInd w:w="0" w:type="dxa"/>
        <w:tblLayout w:type="fixed"/>
        <w:tblCellMar>
          <w:top w:w="28" w:type="dxa"/>
          <w:left w:w="28" w:type="dxa"/>
          <w:bottom w:w="28" w:type="dxa"/>
          <w:right w:w="28" w:type="dxa"/>
        </w:tblCellMar>
      </w:tblPr>
      <w:tblGrid>
        <w:gridCol w:w="1415"/>
        <w:gridCol w:w="1246"/>
        <w:gridCol w:w="1254"/>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EPS)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215,372 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693" w:type="dxa"/>
        <w:jc w:val="left"/>
        <w:tblInd w:w="0" w:type="dxa"/>
        <w:tblLayout w:type="fixed"/>
        <w:tblCellMar>
          <w:top w:w="28" w:type="dxa"/>
          <w:left w:w="28" w:type="dxa"/>
          <w:bottom w:w="28" w:type="dxa"/>
          <w:right w:w="28" w:type="dxa"/>
        </w:tblCellMar>
      </w:tblPr>
      <w:tblGrid>
        <w:gridCol w:w="1415"/>
        <w:gridCol w:w="1246"/>
        <w:gridCol w:w="1254"/>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 except EPS)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524,182 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387,719 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77,058 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68,395 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attributable to ACM Research, Inc. and basic and diluted earnings per share, also exclude unrealized gain on short-term investments and its impact to net income attributable to non-controlling interests.</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Outlook</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AC</w:t>
      </w:r>
      <w:r>
        <w:rPr>
          <w:rFonts w:ascii="Times New Roman;serif" w:hAnsi="Times New Roman;serif"/>
          <w:b w:val="false"/>
          <w:color w:val="000000"/>
          <w:sz w:val="20"/>
        </w:rPr>
        <w:t>M has raised its revenue guidance range to $1.125 billion to $1.175 billion fo</w:t>
      </w:r>
      <w:r>
        <w:rPr>
          <w:rFonts w:ascii="Times New Roman;serif" w:hAnsi="Times New Roman;serif"/>
          <w:b w:val="false"/>
          <w:color w:val="000000"/>
          <w:sz w:val="20"/>
          <w:shd w:fill="FFFFFF" w:val="clear"/>
        </w:rPr>
        <w:t xml:space="preserve">r fiscal year 2026, from the prior range of $1.08 billion to $1.175 billion.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 </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Highlights and Recent Announcements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Shipments. </w:t>
      </w:r>
      <w:r>
        <w:rPr>
          <w:rFonts w:ascii="Times New Roman;serif" w:hAnsi="Times New Roman;serif"/>
          <w:b w:val="false"/>
          <w:color w:val="000000"/>
          <w:sz w:val="20"/>
          <w:shd w:fill="FFFFFF" w:val="clear"/>
        </w:rPr>
        <w:t>Total shipments in the second quarter of 2026 were $</w:t>
      </w:r>
      <w:r>
        <w:rPr>
          <w:rFonts w:ascii="Times New Roman;serif" w:hAnsi="Times New Roman;serif"/>
          <w:b w:val="false"/>
          <w:color w:val="000000"/>
          <w:sz w:val="20"/>
        </w:rPr>
        <w:t xml:space="preserve">281.5 </w:t>
      </w:r>
      <w:r>
        <w:rPr>
          <w:rFonts w:ascii="Times New Roman;serif" w:hAnsi="Times New Roman;serif"/>
          <w:b w:val="false"/>
          <w:color w:val="000000"/>
          <w:sz w:val="20"/>
          <w:shd w:fill="FFFFFF" w:val="clear"/>
        </w:rPr>
        <w:t>million, up 36.4% when compared to the second quarter of 2025. Total shipments include deliveries for revenue in the quarter and deliveries of first tool systems awaiting customer acceptance for potential revenue in future quarters.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Shipment of the 2,000th Electroplating Chamber. </w:t>
      </w:r>
      <w:r>
        <w:rPr>
          <w:rFonts w:ascii="Times New Roman;serif" w:hAnsi="Times New Roman;serif"/>
          <w:b w:val="false"/>
          <w:color w:val="000000"/>
          <w:sz w:val="20"/>
        </w:rPr>
        <w:t>ACM shipped its 2,000th electroplating chamber, following shipment milestones of 500 chambers in 2022 and 1,500 chambers in 2025. The achievement underscores the continued commercial expansion and growing market recognition of ACM's electroplating solutions.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Presented Proprietary High-Temperature SPM Cleaning Technology at SPCC 2026. </w:t>
      </w:r>
      <w:r>
        <w:rPr>
          <w:rFonts w:ascii="Times New Roman;serif" w:hAnsi="Times New Roman;serif"/>
          <w:b w:val="false"/>
          <w:color w:val="000000"/>
          <w:sz w:val="20"/>
        </w:rPr>
        <w:t>ACM presented its proprietary high-temperature SPM cleaning technology at the Surface Preparation and Cleaning Conference (SPCC) 2026, showcasing particle performance of fewer than 15 particles at 15nm without requiring periodic DI water chamber cleaning. The technology is designed to improve yield and lower maintenance requirements for advanced GAA logic, DRAM and HBM applications.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Expansion of the Ultra C Tahoe Wet Processing Platform. </w:t>
      </w:r>
      <w:r>
        <w:rPr>
          <w:rFonts w:ascii="Times New Roman;serif" w:hAnsi="Times New Roman;serif"/>
          <w:b w:val="false"/>
          <w:color w:val="000000"/>
          <w:sz w:val="20"/>
        </w:rPr>
        <w:t>ACM has expanded its Ultra C Tahoe system into a multi-process wet processing platform, by adding advanced wet etch and monitor wafer reclaim applications for logic and memory manufacturing. The expanded platform has been adopted by leading semiconductor manufacturers, and the Tahoe Recycle application is running in volume production at customer facilities. This expanded Tahoe platform demonstrates the versatility of our hybrid architecture and its scalability for advanced semiconductor manufacturing. ACM will continue to drive world-class process performance and integrating environmental benefits into product development to help make advanced semiconductor manufacturing more efficient and sustainable.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 xml:space="preserve">Received Orders for the Ultra ECP ap-p Tool. </w:t>
      </w:r>
      <w:r>
        <w:rPr>
          <w:rFonts w:ascii="Times New Roman;serif" w:hAnsi="Times New Roman;serif"/>
          <w:b w:val="false"/>
          <w:color w:val="000000"/>
          <w:sz w:val="20"/>
        </w:rPr>
        <w:t>ACM received the first production order for one 510 × 515 mm Ultra ECP ap-p tool from an existing advanced packaging customer in mainland China, with delivery scheduled for the first half of 2027. ACM also received an evaluation order for one 310 × 310 mm tool from a new leading panel-manufacturer customer based in Asia, with delivery scheduled for the fourth quarter of 2026.</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color w:val="000000"/>
          <w:sz w:val="20"/>
          <w:u w:val="single"/>
        </w:rPr>
        <w:t>Second Quarter 2026 Financial Summary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Unless otherwise noted, the following figures refer to the second quarter of 2026 and comparisons are with the second quarter of 2025.</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Revenue</w:t>
      </w:r>
      <w:r>
        <w:rPr>
          <w:color w:val="000000"/>
        </w:rPr>
        <w:t xml:space="preserve"> </w:t>
      </w:r>
      <w:r>
        <w:rPr>
          <w:rFonts w:ascii="Times New Roman;serif" w:hAnsi="Times New Roman;serif"/>
          <w:b w:val="false"/>
          <w:color w:val="000000"/>
          <w:sz w:val="20"/>
        </w:rPr>
        <w:t>was $292.9 million, up 36.0%, primarily driven by higher sales of ECP (front-end and packaging), furnace and other technologies, and advanced packaging (excluding ECP), services &amp; spares, partially offset by lower sales of single-wafer cleaning, Tahoe and semi-critical cleaning tools.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Gross margin</w:t>
      </w:r>
      <w:r>
        <w:rPr>
          <w:color w:val="000000"/>
        </w:rPr>
        <w:t xml:space="preserve"> </w:t>
      </w:r>
      <w:r>
        <w:rPr>
          <w:rFonts w:ascii="Times New Roman;serif" w:hAnsi="Times New Roman;serif"/>
          <w:b w:val="false"/>
          <w:color w:val="000000"/>
          <w:sz w:val="20"/>
        </w:rPr>
        <w:t>was 46.0% versus 48.5%. Non-GAAP gross margin, which excludes stock-based compensation, was 46.0% versus 48.7%. Gross margin was above the mid-point of ACM’s long-term business model target range of 42% to 48%. ACM expects gross margin to vary from period to period due to a variety of factors, such as product mix, currency impacts and sales volume.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Operating expenses</w:t>
      </w:r>
      <w:r>
        <w:rPr>
          <w:color w:val="000000"/>
        </w:rPr>
        <w:t xml:space="preserve"> </w:t>
      </w:r>
      <w:r>
        <w:rPr>
          <w:rFonts w:ascii="Times New Roman;serif" w:hAnsi="Times New Roman;serif"/>
          <w:b w:val="false"/>
          <w:color w:val="000000"/>
          <w:sz w:val="20"/>
        </w:rPr>
        <w:t xml:space="preserve">were $84.9 million, an increase of 16.6%. Operating expenses as a percentage of revenue decreased to </w:t>
      </w:r>
      <w:r>
        <w:rPr>
          <w:rFonts w:ascii="Times New Roman;serif" w:hAnsi="Times New Roman;serif"/>
          <w:b w:val="false"/>
          <w:color w:val="000000"/>
          <w:sz w:val="18"/>
        </w:rPr>
        <w:t xml:space="preserve">29.0% </w:t>
      </w:r>
      <w:r>
        <w:rPr>
          <w:rFonts w:ascii="Times New Roman;serif" w:hAnsi="Times New Roman;serif"/>
          <w:b w:val="false"/>
          <w:color w:val="000000"/>
          <w:sz w:val="20"/>
        </w:rPr>
        <w:t>from 33.8%. Non-GAAP operating expenses, which exclude the effect of stock-based compensation, were $78.5 million, up 23.9%. Non-GAAP operating expenses as a percentage of revenue decreased to 26.8% from 29.4%</w:t>
      </w:r>
      <w:r>
        <w:rPr>
          <w:rFonts w:ascii="Arial;sans-serif" w:hAnsi="Arial;sans-serif"/>
          <w:b w:val="false"/>
          <w:color w:val="000000"/>
          <w:sz w:val="24"/>
        </w:rPr>
        <w:t>.</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Operating income</w:t>
      </w:r>
      <w:r>
        <w:rPr>
          <w:color w:val="000000"/>
        </w:rPr>
        <w:t xml:space="preserve"> </w:t>
      </w:r>
      <w:r>
        <w:rPr>
          <w:rFonts w:ascii="Times New Roman;serif" w:hAnsi="Times New Roman;serif"/>
          <w:b w:val="false"/>
          <w:color w:val="000000"/>
          <w:sz w:val="20"/>
        </w:rPr>
        <w:t>was $49.7</w:t>
      </w:r>
      <w:r>
        <w:rPr>
          <w:color w:val="000000"/>
        </w:rPr>
        <w:t xml:space="preserve"> </w:t>
      </w:r>
      <w:r>
        <w:rPr>
          <w:rFonts w:ascii="Times New Roman;serif" w:hAnsi="Times New Roman;serif"/>
          <w:b w:val="false"/>
          <w:color w:val="000000"/>
          <w:sz w:val="20"/>
        </w:rPr>
        <w:t>million, compared to $31.7</w:t>
      </w:r>
      <w:r>
        <w:rPr>
          <w:color w:val="000000"/>
        </w:rPr>
        <w:t xml:space="preserve"> </w:t>
      </w:r>
      <w:r>
        <w:rPr>
          <w:rFonts w:ascii="Times New Roman;serif" w:hAnsi="Times New Roman;serif"/>
          <w:b w:val="false"/>
          <w:color w:val="000000"/>
          <w:sz w:val="20"/>
        </w:rPr>
        <w:t>million. Operating margin was 17.0%</w:t>
      </w:r>
      <w:r>
        <w:rPr>
          <w:color w:val="000000"/>
        </w:rPr>
        <w:t xml:space="preserve"> </w:t>
      </w:r>
      <w:r>
        <w:rPr>
          <w:rFonts w:ascii="Times New Roman;serif" w:hAnsi="Times New Roman;serif"/>
          <w:b w:val="false"/>
          <w:color w:val="000000"/>
          <w:sz w:val="20"/>
        </w:rPr>
        <w:t xml:space="preserve">compared to 14.7%. Non-GAAP operating income, which excludes the effect of stock-based compensation, was $56.3 million, compared to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3840"/>
                <wp:effectExtent l="0" t="0" r="0" b="0"/>
                <wp:wrapNone/>
                <wp:docPr id="6" name="Frame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- 2 -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$41.5 million. Non-GAAP operating margin, which excludes stock-based compensation, was 19.2% compared to 19.3%.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Unrealized gain on short-term investments</w:t>
      </w:r>
      <w:r>
        <w:rPr>
          <w:color w:val="000000"/>
        </w:rPr>
        <w:t xml:space="preserve"> </w:t>
      </w:r>
      <w:r>
        <w:rPr>
          <w:rFonts w:ascii="Times New Roman;serif" w:hAnsi="Times New Roman;serif"/>
          <w:b w:val="false"/>
          <w:color w:val="000000"/>
          <w:sz w:val="20"/>
        </w:rPr>
        <w:t>was $69.6</w:t>
      </w:r>
      <w:r>
        <w:rPr>
          <w:color w:val="000000"/>
        </w:rPr>
        <w:t xml:space="preserve"> </w:t>
      </w:r>
      <w:r>
        <w:rPr>
          <w:rFonts w:ascii="Times New Roman;serif" w:hAnsi="Times New Roman;serif"/>
          <w:b w:val="false"/>
          <w:color w:val="000000"/>
          <w:sz w:val="20"/>
        </w:rPr>
        <w:t>million, compared to an unrealized gain of $2.7</w:t>
      </w:r>
      <w:r>
        <w:rPr>
          <w:color w:val="000000"/>
        </w:rPr>
        <w:t xml:space="preserve"> </w:t>
      </w:r>
      <w:r>
        <w:rPr>
          <w:rFonts w:ascii="Times New Roman;serif" w:hAnsi="Times New Roman;serif"/>
          <w:b w:val="false"/>
          <w:color w:val="000000"/>
          <w:sz w:val="20"/>
        </w:rPr>
        <w:t>million. Unrealized gain reflects the change in market value of the investments by ACM’s principal operating subsidiary, ACM Research (Shanghai), Inc. The value is marked-to-market quarterly and is excluded in the non-GAAP financial metrics.</w:t>
      </w:r>
    </w:p>
    <w:p>
      <w:pPr>
        <w:pStyle w:val="TextBody"/>
        <w:bidi w:val="0"/>
        <w:spacing w:lineRule="auto" w:line="268" w:before="240" w:after="283"/>
        <w:ind w:left="0" w:right="0" w:hanging="360"/>
        <w:jc w:val="both"/>
        <w:rPr/>
      </w:pPr>
      <w:r>
        <w:rPr>
          <w:color w:val="000000"/>
        </w:rPr>
        <w:t>•</w:t>
      </w:r>
      <w:r>
        <w:rPr>
          <w:rFonts w:ascii="Times New Roman;serif" w:hAnsi="Times New Roman;serif"/>
          <w:b/>
          <w:color w:val="000000"/>
          <w:sz w:val="20"/>
        </w:rPr>
        <w:t>Income tax expense</w:t>
      </w:r>
      <w:r>
        <w:rPr>
          <w:color w:val="000000"/>
        </w:rPr>
        <w:t xml:space="preserve"> </w:t>
      </w:r>
      <w:r>
        <w:rPr>
          <w:rFonts w:ascii="Times New Roman;serif" w:hAnsi="Times New Roman;serif"/>
          <w:b w:val="false"/>
          <w:color w:val="000000"/>
          <w:sz w:val="20"/>
        </w:rPr>
        <w:t>was $13.5 million, compared to $1.9</w:t>
      </w:r>
      <w:r>
        <w:rPr>
          <w:color w:val="000000"/>
        </w:rPr>
        <w:t xml:space="preserve"> </w:t>
      </w:r>
      <w:r>
        <w:rPr>
          <w:rFonts w:ascii="Times New Roman;serif" w:hAnsi="Times New Roman;serif"/>
          <w:b w:val="false"/>
          <w:color w:val="000000"/>
          <w:sz w:val="20"/>
        </w:rPr>
        <w:t>million. The change in tax expense primarily resulted from the tax effect of an increase in operating profit for the period.</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Net income attributable to ACM Research, Inc.</w:t>
      </w:r>
      <w:r>
        <w:rPr>
          <w:color w:val="000000"/>
        </w:rPr>
        <w:t xml:space="preserve"> </w:t>
      </w:r>
      <w:r>
        <w:rPr>
          <w:rFonts w:ascii="Times New Roman;serif" w:hAnsi="Times New Roman;serif"/>
          <w:b w:val="false"/>
          <w:color w:val="000000"/>
          <w:sz w:val="20"/>
        </w:rPr>
        <w:t>was $89.0</w:t>
      </w:r>
      <w:r>
        <w:rPr>
          <w:color w:val="000000"/>
        </w:rPr>
        <w:t xml:space="preserve"> </w:t>
      </w:r>
      <w:r>
        <w:rPr>
          <w:rFonts w:ascii="Times New Roman;serif" w:hAnsi="Times New Roman;serif"/>
          <w:b w:val="false"/>
          <w:color w:val="000000"/>
          <w:sz w:val="20"/>
        </w:rPr>
        <w:t>million, compared to $29.8</w:t>
      </w:r>
      <w:r>
        <w:rPr>
          <w:color w:val="000000"/>
        </w:rPr>
        <w:t xml:space="preserve"> </w:t>
      </w:r>
      <w:r>
        <w:rPr>
          <w:rFonts w:ascii="Times New Roman;serif" w:hAnsi="Times New Roman;serif"/>
          <w:b w:val="false"/>
          <w:color w:val="000000"/>
          <w:sz w:val="20"/>
        </w:rPr>
        <w:t>million. Non-GAAP net income attributable to ACM Research, Inc., which excludes the effect of stock-based compensation and unrealized gain on short-term investments, was $44.5</w:t>
      </w:r>
      <w:r>
        <w:rPr>
          <w:color w:val="000000"/>
        </w:rPr>
        <w:t xml:space="preserve"> </w:t>
      </w:r>
      <w:r>
        <w:rPr>
          <w:rFonts w:ascii="Times New Roman;serif" w:hAnsi="Times New Roman;serif"/>
          <w:b w:val="false"/>
          <w:color w:val="000000"/>
          <w:sz w:val="20"/>
        </w:rPr>
        <w:t>million, compared to $37.3</w:t>
      </w:r>
      <w:r>
        <w:rPr>
          <w:color w:val="000000"/>
        </w:rPr>
        <w:t xml:space="preserve"> </w:t>
      </w:r>
      <w:r>
        <w:rPr>
          <w:rFonts w:ascii="Times New Roman;serif" w:hAnsi="Times New Roman;serif"/>
          <w:b w:val="false"/>
          <w:color w:val="000000"/>
          <w:sz w:val="20"/>
        </w:rPr>
        <w:t xml:space="preserve">million.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Net income per diluted share attributable to ACM Research, Inc.</w:t>
      </w:r>
      <w:r>
        <w:rPr>
          <w:color w:val="000000"/>
        </w:rPr>
        <w:t xml:space="preserve"> </w:t>
      </w:r>
      <w:r>
        <w:rPr>
          <w:rFonts w:ascii="Times New Roman;serif" w:hAnsi="Times New Roman;serif"/>
          <w:b w:val="false"/>
          <w:color w:val="000000"/>
          <w:sz w:val="20"/>
        </w:rPr>
        <w:t xml:space="preserve">was $1.23, compared to $0.44. Non-GAAP net income per diluted share, which excludes the effect of stock-based compensation and unrealized gain on short-term investments, was $0.61, compared to $0.55. </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Cash and cash equivalents,</w:t>
      </w:r>
      <w:r>
        <w:rPr>
          <w:color w:val="000000"/>
        </w:rPr>
        <w:t xml:space="preserve"> </w:t>
      </w:r>
      <w:r>
        <w:rPr>
          <w:rFonts w:ascii="Times New Roman;serif" w:hAnsi="Times New Roman;serif"/>
          <w:b/>
          <w:color w:val="000000"/>
          <w:sz w:val="20"/>
        </w:rPr>
        <w:t>plus restricted cash and short-term time deposits</w:t>
      </w:r>
      <w:r>
        <w:rPr>
          <w:color w:val="000000"/>
        </w:rPr>
        <w:t xml:space="preserve"> </w:t>
      </w:r>
      <w:r>
        <w:rPr>
          <w:rFonts w:ascii="Times New Roman;serif" w:hAnsi="Times New Roman;serif"/>
          <w:b w:val="false"/>
          <w:color w:val="000000"/>
          <w:sz w:val="20"/>
        </w:rPr>
        <w:t>were $1.36 billion at June 30, 2026, compared to $1.25 billion at March 31, 2026. Net cash, which excludes short-term and long-term borrowings, was $1.0 billion at June 30, 2026, compared to $924.2 million at March 31, 2026.</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conference call to discuss results will be held on Friday, August 7, 2026, at 8:00 a.m. Eastern Time (8:00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pStyle w:val="TextBody"/>
        <w:bidi w:val="0"/>
        <w:spacing w:before="0" w:after="0"/>
        <w:jc w:val="left"/>
        <w:rPr/>
      </w:pPr>
      <w:r>
        <w:rPr/>
      </w:r>
    </w:p>
    <w:p>
      <w:pPr>
        <w:pStyle w:val="TextBody"/>
        <w:bidi w:val="0"/>
        <w:spacing w:lineRule="auto" w:line="256" w:before="0" w:after="0"/>
        <w:jc w:val="both"/>
        <w:rPr/>
      </w:pPr>
      <w:r>
        <w:rPr>
          <w:rFonts w:ascii="Times New Roman;serif" w:hAnsi="Times New Roman;serif"/>
          <w:b/>
          <w:color w:val="000000"/>
          <w:sz w:val="20"/>
        </w:rPr>
        <w:t xml:space="preserve">Online Registration: </w:t>
      </w:r>
      <w:r>
        <w:rPr>
          <w:rFonts w:ascii="Times New Roman;serif" w:hAnsi="Times New Roman;serif"/>
          <w:b w:val="false"/>
          <w:color w:val="000000"/>
          <w:sz w:val="20"/>
        </w:rPr>
        <w:t>https://register-conf.media-server.com/register/BIc282607074af4b0895b2ed37fb7d0eb9</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Participants who have not pre-registered may join the webcast by accessing the link at ir.acmr.com/news-events/events.</w:t>
      </w:r>
    </w:p>
    <w:p>
      <w:pPr>
        <w:pStyle w:val="TextBody"/>
        <w:bidi w:val="0"/>
        <w:spacing w:lineRule="auto" w:line="288" w:before="240" w:after="283"/>
        <w:jc w:val="both"/>
        <w:rPr/>
      </w:pPr>
      <w:r>
        <w:rPr>
          <w:rFonts w:ascii="Times New Roman;serif" w:hAnsi="Times New Roman;serif"/>
          <w:b w:val="false"/>
          <w:color w:val="000000"/>
          <w:sz w:val="20"/>
        </w:rPr>
        <w:t>A live and archived webcast will be available on the Investors section of the ACM website at www.acmr.com</w:t>
      </w:r>
      <w:r>
        <w:rPr>
          <w:rFonts w:ascii="Times New Roman;serif" w:hAnsi="Times New Roman;serif"/>
          <w:b w:val="false"/>
          <w:color w:val="000000"/>
          <w:sz w:val="20"/>
          <w:u w:val="single"/>
        </w:rPr>
        <w:t>.</w:t>
      </w:r>
      <w:r>
        <w:rPr>
          <w:color w:val="000000"/>
        </w:rPr>
        <w:t xml:space="preserve"> </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Use of 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3840"/>
                <wp:effectExtent l="0" t="0" r="0" b="0"/>
                <wp:wrapNone/>
                <wp:docPr id="7" name="Frame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- 3 -</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About ACM Research,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www.acmr.com.</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 investor and media inquiries, please contact:</w:t>
      </w:r>
    </w:p>
    <w:tbl>
      <w:tblPr>
        <w:tblW w:w="4080" w:type="dxa"/>
        <w:jc w:val="left"/>
        <w:tblInd w:w="0" w:type="dxa"/>
        <w:tblLayout w:type="fixed"/>
        <w:tblCellMar>
          <w:top w:w="28" w:type="dxa"/>
          <w:left w:w="28" w:type="dxa"/>
          <w:bottom w:w="28" w:type="dxa"/>
          <w:right w:w="28" w:type="dxa"/>
        </w:tblCellMar>
      </w:tblPr>
      <w:tblGrid>
        <w:gridCol w:w="641"/>
        <w:gridCol w:w="563"/>
        <w:gridCol w:w="565"/>
        <w:gridCol w:w="677"/>
        <w:gridCol w:w="677"/>
        <w:gridCol w:w="95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u w:val="single"/>
              </w:rPr>
              <w:t>In the United States</w:t>
            </w:r>
            <w:r>
              <w:rPr>
                <w:rFonts w:ascii="Times New Roman;serif" w:hAnsi="Times New Roman;serif"/>
                <w:b w:val="false"/>
                <w:color w:val="000000"/>
                <w:sz w:val="20"/>
              </w:rPr>
              <w:t>:</w:t>
            </w:r>
          </w:p>
        </w:tc>
        <w:tc>
          <w:tcPr>
            <w:tcW w:w="23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Blueshirt Group</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Steven C. Pelayo, CFA</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(360) 808-5154</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steven@blueshirtgroup.co</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u w:val="single"/>
              </w:rPr>
              <w:t>In China</w:t>
            </w:r>
            <w:r>
              <w:rPr>
                <w:rFonts w:ascii="Times New Roman;serif" w:hAnsi="Times New Roman;serif"/>
                <w:b w:val="false"/>
                <w:color w:val="000000"/>
                <w:sz w:val="20"/>
              </w:rPr>
              <w:t>:</w:t>
            </w:r>
          </w:p>
        </w:tc>
        <w:tc>
          <w:tcPr>
            <w:tcW w:w="23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Blueshirt Group Asia</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Gary Dvorchak, CFA</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+86 (138) 1079-1480</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gary@blueshirtgroup.co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3840"/>
                <wp:effectExtent l="0" t="0" r="0" b="0"/>
                <wp:wrapNone/>
                <wp:docPr id="8" name="Frame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- 4 -</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ACM RESEARCH,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6573" w:type="dxa"/>
        <w:jc w:val="left"/>
        <w:tblInd w:w="0" w:type="dxa"/>
        <w:tblLayout w:type="fixed"/>
        <w:tblCellMar>
          <w:top w:w="28" w:type="dxa"/>
          <w:left w:w="28" w:type="dxa"/>
          <w:bottom w:w="28" w:type="dxa"/>
          <w:right w:w="28" w:type="dxa"/>
        </w:tblCellMar>
      </w:tblPr>
      <w:tblGrid>
        <w:gridCol w:w="1266"/>
        <w:gridCol w:w="1113"/>
        <w:gridCol w:w="1131"/>
        <w:gridCol w:w="196"/>
        <w:gridCol w:w="886"/>
        <w:gridCol w:w="109"/>
        <w:gridCol w:w="109"/>
        <w:gridCol w:w="109"/>
        <w:gridCol w:w="109"/>
        <w:gridCol w:w="245"/>
        <w:gridCol w:w="1108"/>
        <w:gridCol w:w="192"/>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time 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366,591 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48,655 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702,631 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related parties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2,436,680 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3,399,238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2,872,185</w:t>
            </w:r>
            <w:r>
              <w:rPr>
                <w:color w:val="000000"/>
              </w:rPr>
              <w:t>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74,041 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Current portion of long-term borrowings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parties accounts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215,440 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from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187,809 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FIN-48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payables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150,396 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745,712 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178,930 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994,115 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941,676 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Commitments and contingencies </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Stockholders’ equity: </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B Common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1,115,504 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350,428 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Statutory surplus reserve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ACM Research, Inc. stockholders’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1,860,154 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1,464,363 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466,146 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1,930,509 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Total liabilities and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3,399,238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1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2,872,185</w:t>
            </w:r>
            <w:r>
              <w:rPr>
                <w:color w:val="000000"/>
              </w:rPr>
              <w:t>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3840"/>
                <wp:effectExtent l="0" t="0" r="0" b="0"/>
                <wp:wrapNone/>
                <wp:docPr id="9" name="Frame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- 5 -</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ACM RESEARCH,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tbl>
      <w:tblPr>
        <w:tblW w:w="10907" w:type="dxa"/>
        <w:jc w:val="center"/>
        <w:tblInd w:w="0" w:type="dxa"/>
        <w:tblLayout w:type="fixed"/>
        <w:tblCellMar>
          <w:top w:w="28" w:type="dxa"/>
          <w:left w:w="28" w:type="dxa"/>
          <w:bottom w:w="28" w:type="dxa"/>
          <w:right w:w="28" w:type="dxa"/>
        </w:tblCellMar>
      </w:tblPr>
      <w:tblGrid>
        <w:gridCol w:w="2435"/>
        <w:gridCol w:w="1517"/>
        <w:gridCol w:w="132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 In thousands, except share and per share data)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Income from operations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on 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Income before income taxes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Net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Net income attributable to ACM Research, Inc.</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Foreign currency translation adjustment, net of tax of nil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Comprehensive Income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153,066 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Comprehensive income attributable to ACM Research, Inc.</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149,454 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ACM Research, Inc.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 used in computing per share amounts: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Basic</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67,890,917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63,968,763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66,853,350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63,620,235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Diluted</w:t>
            </w:r>
          </w:p>
        </w:tc>
        <w:tc>
          <w:tcPr>
            <w:tcW w:w="1041" w:type="dxa"/>
            <w:gridSpan w:val="3"/>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71,838,908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67,464,856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70,678,872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67,138,338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3840"/>
                <wp:effectExtent l="0" t="0" r="0" b="0"/>
                <wp:wrapNone/>
                <wp:docPr id="10" name="Frame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- 6 -</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ACM RESEARCH,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Revenue by Product Category</w:t>
      </w:r>
    </w:p>
    <w:tbl>
      <w:tblPr>
        <w:tblW w:w="10205" w:type="dxa"/>
        <w:jc w:val="left"/>
        <w:tblInd w:w="0" w:type="dxa"/>
        <w:tblLayout w:type="fixed"/>
        <w:tblCellMar>
          <w:top w:w="28" w:type="dxa"/>
          <w:left w:w="28" w:type="dxa"/>
          <w:bottom w:w="28" w:type="dxa"/>
          <w:right w:w="28" w:type="dxa"/>
        </w:tblCellMar>
      </w:tblPr>
      <w:tblGrid>
        <w:gridCol w:w="1637"/>
        <w:gridCol w:w="1438"/>
        <w:gridCol w:w="1443"/>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55"/>
      </w:tblGrid>
      <w:tr>
        <w:trPr/>
        <w:tc>
          <w:tcPr>
            <w:tcW w:w="163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 in thousand)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wafer cleaning, Tahoe and semi-critical cleaning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ECP (front-end and packaging), furnace and other technologies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Advanced packaging (excluding ECP), services &amp; spares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 By Product Category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292,919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215,372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524,182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387,719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3840"/>
                <wp:effectExtent l="0" t="0" r="0" b="0"/>
                <wp:wrapNone/>
                <wp:docPr id="11" name="Frame1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- 7 -</w:t>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ACM RESEARCH,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pStyle w:val="TextBody"/>
        <w:bidi w:val="0"/>
        <w:spacing w:before="240" w:after="283"/>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3840"/>
                <wp:effectExtent l="0" t="0" r="0" b="0"/>
                <wp:wrapNone/>
                <wp:docPr id="12" name="Frame1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- 8 -</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90"/>
        <w:gridCol w:w="307"/>
        <w:gridCol w:w="299"/>
        <w:gridCol w:w="196"/>
        <w:gridCol w:w="736"/>
        <w:gridCol w:w="241"/>
        <w:gridCol w:w="196"/>
        <w:gridCol w:w="574"/>
        <w:gridCol w:w="241"/>
        <w:gridCol w:w="207"/>
        <w:gridCol w:w="699"/>
        <w:gridCol w:w="116"/>
        <w:gridCol w:w="196"/>
        <w:gridCol w:w="736"/>
        <w:gridCol w:w="241"/>
        <w:gridCol w:w="196"/>
        <w:gridCol w:w="736"/>
        <w:gridCol w:w="241"/>
        <w:gridCol w:w="196"/>
        <w:gridCol w:w="574"/>
        <w:gridCol w:w="241"/>
        <w:gridCol w:w="228"/>
        <w:gridCol w:w="667"/>
        <w:gridCol w:w="127"/>
        <w:gridCol w:w="196"/>
        <w:gridCol w:w="736"/>
        <w:gridCol w:w="292"/>
      </w:tblGrid>
      <w:tr>
        <w:trPr/>
        <w:tc>
          <w:tcPr>
            <w:tcW w:w="7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3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Actual </w:t>
              <w:br/>
              <w:t>(GAAP)</w:t>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SBC</w:t>
            </w:r>
          </w:p>
        </w:tc>
        <w:tc>
          <w:tcPr>
            <w:tcW w:w="10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non-</w:t>
              <w:br/>
              <w:t>operating adjustments</w:t>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Adjusted </w:t>
              <w:br/>
              <w:t>(Non-GAAP)</w:t>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Actual </w:t>
              <w:br/>
              <w:t>(GAAP)</w:t>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SBC</w:t>
            </w:r>
          </w:p>
        </w:tc>
        <w:tc>
          <w:tcPr>
            <w:tcW w:w="10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non-</w:t>
              <w:br/>
              <w:t>operating adjustments</w:t>
            </w:r>
          </w:p>
        </w:tc>
        <w:tc>
          <w:tcPr>
            <w:tcW w:w="12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w:t>
              <w:br/>
              <w:t>(Non-GAAP)</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xml:space="preserve">(In thousands)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215,372 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(110,555)</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134,795 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104,817 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(20,006)</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(42,254)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(40,722)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(31,237)</w:t>
            </w:r>
          </w:p>
        </w:tc>
        <w:tc>
          <w:tcPr>
            <w:tcW w:w="29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(84,875)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(78,469)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(72,767)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(63,353)</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49,743 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(6,583)</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(9,770)</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41,464 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(18,541)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ACM Research,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88,984</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(6,583)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51,051</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44,516</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29,760</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(9,770)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2,214</w:t>
            </w: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37,316</w:t>
            </w: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EPS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0.58 </w:t>
            </w:r>
          </w:p>
        </w:tc>
        <w:tc>
          <w:tcPr>
            <w:tcW w:w="29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58"/>
        <w:gridCol w:w="261"/>
        <w:gridCol w:w="252"/>
        <w:gridCol w:w="196"/>
        <w:gridCol w:w="751"/>
        <w:gridCol w:w="241"/>
        <w:gridCol w:w="196"/>
        <w:gridCol w:w="662"/>
        <w:gridCol w:w="241"/>
        <w:gridCol w:w="201"/>
        <w:gridCol w:w="677"/>
        <w:gridCol w:w="112"/>
        <w:gridCol w:w="196"/>
        <w:gridCol w:w="736"/>
        <w:gridCol w:w="241"/>
        <w:gridCol w:w="196"/>
        <w:gridCol w:w="736"/>
        <w:gridCol w:w="241"/>
        <w:gridCol w:w="196"/>
        <w:gridCol w:w="662"/>
        <w:gridCol w:w="241"/>
        <w:gridCol w:w="221"/>
        <w:gridCol w:w="645"/>
        <w:gridCol w:w="123"/>
        <w:gridCol w:w="196"/>
        <w:gridCol w:w="736"/>
        <w:gridCol w:w="291"/>
      </w:tblGrid>
      <w:tr>
        <w:trPr/>
        <w:tc>
          <w:tcPr>
            <w:tcW w:w="7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0"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84"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Actual </w:t>
              <w:br/>
              <w:t>(GAAP)</w:t>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SBC</w:t>
            </w:r>
          </w:p>
        </w:tc>
        <w:tc>
          <w:tcPr>
            <w:tcW w:w="9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non-</w:t>
              <w:br/>
              <w:t>operating adjustments</w:t>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Adjusted </w:t>
              <w:br/>
              <w:t>(Non-GAAP)</w:t>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Actual </w:t>
              <w:br/>
              <w:t>(GAAP)</w:t>
            </w:r>
          </w:p>
        </w:tc>
        <w:tc>
          <w:tcPr>
            <w:tcW w:w="10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SBC</w:t>
            </w:r>
          </w:p>
        </w:tc>
        <w:tc>
          <w:tcPr>
            <w:tcW w:w="9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non-</w:t>
              <w:br/>
              <w:t>operating adjustments</w:t>
            </w:r>
          </w:p>
        </w:tc>
        <w:tc>
          <w:tcPr>
            <w:tcW w:w="12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w:t>
              <w:br/>
              <w:t>(Non-GAAP)</w:t>
            </w:r>
          </w:p>
        </w:tc>
      </w:tr>
      <w:tr>
        <w:trPr/>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xml:space="preserve">(In thousands) </w:t>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524,182 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387,719 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(282,326)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(200,708)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242,381 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187,011 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187,896 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Gross margin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48.5 </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(34,192)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(55,965)</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(144,257)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(129,540)</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(110,838)</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85,920 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(12,204)</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57,471 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(19,587)</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77,058 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short-term investments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10,827 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attributable to ACM Research,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106,291</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(12,204)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50,011</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68,484</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50,140</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(19,587)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1,332</w:t>
            </w:r>
            <w:r>
              <w:rPr>
                <w:color w:val="000000"/>
              </w:rPr>
              <w:t>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68,395</w:t>
            </w:r>
            <w:r>
              <w:rPr>
                <w:color w:val="000000"/>
              </w:rPr>
              <w:t>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EPS</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29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3840"/>
                <wp:effectExtent l="0" t="0" r="0" b="0"/>
                <wp:wrapNone/>
                <wp:docPr id="13" name="Frame1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00" w:after="200"/>
                        <w:jc w:val="center"/>
                        <w:rPr>
                          <w:rFonts w:ascii="Times New Roman;serif" w:hAnsi="Times New Roman;serif"/>
                          <w:b w:val="false"/>
                          <w:color w:val="000000"/>
                          <w:sz w:val="16"/>
                        </w:rPr>
                      </w:pPr>
                      <w:r>
                        <w:rPr>
                          <w:rFonts w:ascii="Times New Roman;serif" w:hAnsi="Times New Roman;serif"/>
                          <w:b w:val="false"/>
                          <w:color w:val="000000"/>
                          <w:sz w:val="16"/>
                        </w:rPr>
                        <w:t>- 9 -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3827</Words>
  <Characters>21798</Characters>
  <CharactersWithSpaces>25290</CharactersWithSpaces>
  <Paragraphs>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