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David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0"/>
        <w:spacing w:after="0"/>
        <w:tabs>
          <w:tab w:leader="none" w:pos="170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255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6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862,708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03/11/2026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55,373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47.89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807,335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03/11/2026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4,627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48.34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852,708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10,561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44.92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842,147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38,737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45.74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803,410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45,837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620,001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11. Nature</w:t>
            </w: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Indirect</w:t>
            </w: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17526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140" w:type="dxa"/>
            <w:vAlign w:val="bottom"/>
            <w:gridSpan w:val="10"/>
          </w:tcPr>
          <w:p>
            <w:pPr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5(A).Number(D)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7"/>
              </w:rPr>
              <w:t>6Exercisable.DateExercisableDate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9"/>
              </w:rPr>
              <w:t>7Title.Title and SharesAmount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3"/>
              </w:rPr>
              <w:t>Underlying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73"/>
              </w:rPr>
              <w:t>ClassA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5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03/11/2026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12/27/2026</w:t>
            </w: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1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60,000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60,000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420,002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12/27/2026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50,000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370,002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highlight w:val="white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960" w:type="dxa"/>
            <w:vAlign w:val="bottom"/>
            <w:gridSpan w:val="12"/>
          </w:tcPr>
          <w:p>
            <w:pPr>
              <w:ind w:left="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8000"/>
              </w:rPr>
              <w:t>1. The sales reported on this Form 4 were effected pursuant to a Rule 10b5-1 trading plan adopted by the reporting person on November 29, 2024.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price reported in Column 4 is a weighted average price. These shares were sold in multiple transactions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at prices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Expiration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rangingfrom $47.23 to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$48.22, inclusive. The reporting person undertakes to provide 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 w:right="1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Issuer, any security holder of the Issuer, or the staff of the Securities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Code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andExchange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V (A)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Commission,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(D)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upon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Exercisable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request, full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information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Title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regarding the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Shares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sold at each separate price within the ranges set forth in footnote (2), (3), (4), (5), and (6) to this Form 4.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$48.23 to $48.61, inclusive.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$44.40 to $45.39, inclusive.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$45.40 to $46.39, inclusive.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$46.45 to $46.59, inclusive.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Officer, President and Director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41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6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2026-03-13T15:59:46Z</dcterms:created>
  <dcterms:modified xsi:type="dcterms:W3CDTF">2026-03-13T15:59:46Z</dcterms:modified>
</cp:coreProperties>
</file>