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25, 2017.</w:t>
      </w:r>
    </w:p>
    <w:p>
      <w:pPr>
        <w:jc w:val="right"/>
        <w:spacing w:after="0"/>
        <w:rPr>
          <w:sz w:val="20"/>
          <w:szCs w:val="20"/>
          <w:color w:val="auto"/>
        </w:rPr>
      </w:pPr>
      <w:r>
        <w:rPr>
          <w:rFonts w:ascii="Arial" w:cs="Arial" w:eastAsia="Arial" w:hAnsi="Arial"/>
          <w:sz w:val="14"/>
          <w:szCs w:val="14"/>
          <w:b w:val="1"/>
          <w:bCs w:val="1"/>
          <w:color w:val="auto"/>
        </w:rPr>
        <w:t>Registration No. 333-220451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83820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131445</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to</w:t>
      </w:r>
    </w:p>
    <w:p>
      <w:pPr>
        <w:jc w:val="center"/>
        <w:spacing w:after="0"/>
        <w:rPr>
          <w:sz w:val="20"/>
          <w:szCs w:val="20"/>
          <w:color w:val="auto"/>
        </w:rPr>
      </w:pPr>
      <w:r>
        <w:rPr>
          <w:rFonts w:ascii="Arial" w:cs="Arial" w:eastAsia="Arial" w:hAnsi="Arial"/>
          <w:sz w:val="28"/>
          <w:szCs w:val="28"/>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124460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ACM RESEARCH,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118745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94"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ind w:left="1080"/>
        <w:spacing w:after="0"/>
        <w:rPr>
          <w:sz w:val="20"/>
          <w:szCs w:val="20"/>
          <w:color w:val="auto"/>
        </w:rPr>
      </w:pPr>
      <w:r>
        <w:rPr>
          <w:rFonts w:ascii="Arial" w:cs="Arial" w:eastAsia="Arial" w:hAnsi="Arial"/>
          <w:sz w:val="12"/>
          <w:szCs w:val="12"/>
          <w:b w:val="1"/>
          <w:bCs w:val="1"/>
          <w:color w:val="auto"/>
        </w:rPr>
        <w:t>(State or other jurisdiction of</w:t>
      </w:r>
    </w:p>
    <w:p>
      <w:pPr>
        <w:spacing w:after="0" w:line="5"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3559</w:t>
      </w:r>
    </w:p>
    <w:p>
      <w:pPr>
        <w:jc w:val="center"/>
        <w:ind w:right="1480"/>
        <w:spacing w:after="0" w:line="230" w:lineRule="auto"/>
        <w:rPr>
          <w:sz w:val="20"/>
          <w:szCs w:val="20"/>
          <w:color w:val="auto"/>
        </w:rPr>
      </w:pPr>
      <w:r>
        <w:rPr>
          <w:rFonts w:ascii="Arial" w:cs="Arial" w:eastAsia="Arial" w:hAnsi="Arial"/>
          <w:sz w:val="13"/>
          <w:szCs w:val="13"/>
          <w:b w:val="1"/>
          <w:bCs w:val="1"/>
          <w:color w:val="auto"/>
        </w:rPr>
        <w:t>(Primary Standard Industrial</w:t>
      </w:r>
    </w:p>
    <w:p>
      <w:pPr>
        <w:jc w:val="center"/>
        <w:ind w:right="148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94-3290283</w:t>
      </w:r>
    </w:p>
    <w:p>
      <w:pPr>
        <w:jc w:val="center"/>
        <w:ind w:right="1140"/>
        <w:spacing w:after="0" w:line="213" w:lineRule="auto"/>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Identification Number)</w:t>
      </w:r>
    </w:p>
    <w:p>
      <w:pPr>
        <w:spacing w:after="0" w:line="68" w:lineRule="exact"/>
        <w:rPr>
          <w:sz w:val="24"/>
          <w:szCs w:val="24"/>
          <w:color w:val="auto"/>
        </w:rPr>
      </w:pPr>
    </w:p>
    <w:p>
      <w:pPr>
        <w:sectPr>
          <w:pgSz w:w="11900" w:h="16838" w:orient="portrait"/>
          <w:cols w:equalWidth="0" w:num="3">
            <w:col w:w="4240" w:space="720"/>
            <w:col w:w="3240" w:space="720"/>
            <w:col w:w="2500"/>
          </w:cols>
          <w:pgMar w:left="240" w:top="226" w:right="239" w:bottom="1440" w:gutter="0" w:footer="0" w:header="0"/>
          <w:type w:val="continuous"/>
        </w:sectPr>
      </w:pPr>
    </w:p>
    <w:p>
      <w:pPr>
        <w:ind w:left="4900"/>
        <w:spacing w:after="0"/>
        <w:rPr>
          <w:sz w:val="20"/>
          <w:szCs w:val="20"/>
          <w:color w:val="auto"/>
        </w:rPr>
      </w:pPr>
      <w:r>
        <w:rPr>
          <w:rFonts w:ascii="Arial" w:cs="Arial" w:eastAsia="Arial" w:hAnsi="Arial"/>
          <w:sz w:val="12"/>
          <w:szCs w:val="12"/>
          <w:b w:val="1"/>
          <w:bCs w:val="1"/>
          <w:color w:val="auto"/>
        </w:rPr>
        <w:t>42307 Osgood Road, Suite I</w:t>
      </w:r>
    </w:p>
    <w:p>
      <w:pPr>
        <w:spacing w:after="0" w:line="15"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Fremont, California 94539</w:t>
      </w:r>
    </w:p>
    <w:p>
      <w:pPr>
        <w:ind w:left="5280"/>
        <w:spacing w:after="0"/>
        <w:rPr>
          <w:sz w:val="20"/>
          <w:szCs w:val="20"/>
          <w:color w:val="auto"/>
        </w:rPr>
      </w:pPr>
      <w:r>
        <w:rPr>
          <w:rFonts w:ascii="Arial" w:cs="Arial" w:eastAsia="Arial" w:hAnsi="Arial"/>
          <w:sz w:val="14"/>
          <w:szCs w:val="14"/>
          <w:b w:val="1"/>
          <w:bCs w:val="1"/>
          <w:color w:val="auto"/>
        </w:rPr>
        <w:t>(510) 445-3700</w:t>
      </w:r>
    </w:p>
    <w:p>
      <w:pPr>
        <w:sectPr>
          <w:pgSz w:w="11900" w:h="16838" w:orient="portrait"/>
          <w:cols w:equalWidth="0" w:num="1">
            <w:col w:w="11420"/>
          </w:cols>
          <w:pgMar w:left="240" w:top="226" w:right="239" w:bottom="1440" w:gutter="0" w:footer="0" w:header="0"/>
          <w:type w:val="continuous"/>
        </w:sectPr>
      </w:pPr>
    </w:p>
    <w:p>
      <w:pPr>
        <w:jc w:val="center"/>
        <w:spacing w:after="0" w:line="217"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115570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H. Wang</w:t>
      </w:r>
    </w:p>
    <w:p>
      <w:pPr>
        <w:jc w:val="center"/>
        <w:spacing w:after="0" w:line="213" w:lineRule="auto"/>
        <w:rPr>
          <w:sz w:val="20"/>
          <w:szCs w:val="20"/>
          <w:color w:val="auto"/>
        </w:rPr>
      </w:pPr>
      <w:r>
        <w:rPr>
          <w:rFonts w:ascii="Arial" w:cs="Arial" w:eastAsia="Arial" w:hAnsi="Arial"/>
          <w:sz w:val="14"/>
          <w:szCs w:val="14"/>
          <w:b w:val="1"/>
          <w:bCs w:val="1"/>
          <w:color w:val="auto"/>
        </w:rPr>
        <w:t>Chief Executive Officer and President</w:t>
      </w:r>
    </w:p>
    <w:p>
      <w:pPr>
        <w:jc w:val="center"/>
        <w:spacing w:after="0" w:line="214" w:lineRule="auto"/>
        <w:rPr>
          <w:sz w:val="20"/>
          <w:szCs w:val="20"/>
          <w:color w:val="auto"/>
        </w:rPr>
      </w:pPr>
      <w:r>
        <w:rPr>
          <w:rFonts w:ascii="Arial" w:cs="Arial" w:eastAsia="Arial" w:hAnsi="Arial"/>
          <w:sz w:val="14"/>
          <w:szCs w:val="14"/>
          <w:b w:val="1"/>
          <w:bCs w:val="1"/>
          <w:color w:val="auto"/>
        </w:rPr>
        <w:t>ACM Research, Inc.</w:t>
      </w:r>
    </w:p>
    <w:p>
      <w:pPr>
        <w:jc w:val="center"/>
        <w:spacing w:after="0" w:line="214" w:lineRule="auto"/>
        <w:rPr>
          <w:sz w:val="20"/>
          <w:szCs w:val="20"/>
          <w:color w:val="auto"/>
        </w:rPr>
      </w:pPr>
      <w:r>
        <w:rPr>
          <w:rFonts w:ascii="Arial" w:cs="Arial" w:eastAsia="Arial" w:hAnsi="Arial"/>
          <w:sz w:val="14"/>
          <w:szCs w:val="14"/>
          <w:b w:val="1"/>
          <w:bCs w:val="1"/>
          <w:color w:val="auto"/>
        </w:rPr>
        <w:t>42307 Osgood Road, Suite I</w:t>
      </w:r>
    </w:p>
    <w:p>
      <w:pPr>
        <w:jc w:val="center"/>
        <w:spacing w:after="0" w:line="214"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13" w:lineRule="auto"/>
        <w:rPr>
          <w:sz w:val="20"/>
          <w:szCs w:val="20"/>
          <w:color w:val="auto"/>
        </w:rPr>
      </w:pPr>
      <w:r>
        <w:rPr>
          <w:rFonts w:ascii="Arial" w:cs="Arial" w:eastAsia="Arial" w:hAnsi="Arial"/>
          <w:sz w:val="14"/>
          <w:szCs w:val="14"/>
          <w:b w:val="1"/>
          <w:bCs w:val="1"/>
          <w:color w:val="auto"/>
        </w:rPr>
        <w:t>Telephone: (510) 445-3700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108585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24" w:lineRule="exact"/>
        <w:rPr>
          <w:sz w:val="24"/>
          <w:szCs w:val="24"/>
          <w:color w:val="auto"/>
        </w:rPr>
      </w:pPr>
    </w:p>
    <w:tbl>
      <w:tblPr>
        <w:tblLayout w:type="fixed"/>
        <w:tblInd w:w="204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488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 to:</w:t>
            </w:r>
          </w:p>
        </w:tc>
      </w:tr>
      <w:tr>
        <w:trPr>
          <w:trHeight w:val="185"/>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91"/>
              </w:rPr>
              <w:t>Mark L. Johnson</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94"/>
              </w:rPr>
              <w:t>Michael D. Maline</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0"/>
              </w:rPr>
              <w:t>Bella Zaslavsky</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87"/>
              </w:rPr>
              <w:t>Seo Salimi</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6"/>
              </w:rPr>
              <w:t>K&amp;L Gates LLP</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92"/>
              </w:rPr>
              <w:t>Goodwin Procter LLP</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1"/>
              </w:rPr>
              <w:t>One Lincoln Street</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620 Eighth Avenue</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5"/>
              </w:rPr>
              <w:t>Boston, Massachusetts 02111</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90"/>
              </w:rPr>
              <w:t>New York, New York 10018</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8"/>
              </w:rPr>
              <w:t>Telephone: (617) 261-3100</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Telephone: (212) 813-8800</w:t>
            </w:r>
          </w:p>
        </w:tc>
      </w:tr>
      <w:tr>
        <w:trPr>
          <w:trHeight w:val="180"/>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88"/>
              </w:rPr>
              <w:t>Telecopy: (617) 261-3175</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88"/>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115570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7" w:lineRule="exact"/>
        <w:rPr>
          <w:sz w:val="24"/>
          <w:szCs w:val="24"/>
          <w:color w:val="auto"/>
        </w:rPr>
      </w:pPr>
    </w:p>
    <w:p>
      <w:pPr>
        <w:ind w:right="520"/>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3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6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48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416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113665</wp:posOffset>
            </wp:positionV>
            <wp:extent cx="152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5" w:lineRule="exact"/>
        <w:rPr>
          <w:sz w:val="24"/>
          <w:szCs w:val="24"/>
          <w:color w:val="auto"/>
        </w:rPr>
      </w:pPr>
    </w:p>
    <w:p>
      <w:pPr>
        <w:ind w:right="40" w:firstLine="342"/>
        <w:spacing w:after="0" w:line="23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51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51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EB0029"/>
        </w:rPr>
        <w:t>PRELIMINARY PROSPECTUS, SUBJECT TO COMPLETION, DATED OCTOBER 25,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149225</wp:posOffset>
            </wp:positionV>
            <wp:extent cx="951865" cy="596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219710</wp:posOffset>
            </wp:positionV>
            <wp:extent cx="1523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This is the initial public offering of common stock of ACM Research, Inc. We are selling 2,000,000 shares of Class A common stock. We anticipate that the initial public offering price of shares of Class A common stock will be between $7.50 and $9.50 per share. After the pricing of the offering, we expect that shares of Class A common stock will trade on The Nasdaq Global Market under the symbol “ACMR.”</w:t>
      </w:r>
    </w:p>
    <w:p>
      <w:pPr>
        <w:spacing w:after="0" w:line="146" w:lineRule="exact"/>
        <w:rPr>
          <w:sz w:val="20"/>
          <w:szCs w:val="20"/>
          <w:color w:val="auto"/>
        </w:rPr>
      </w:pPr>
    </w:p>
    <w:p>
      <w:pPr>
        <w:ind w:right="140" w:firstLine="457"/>
        <w:spacing w:after="0" w:line="288" w:lineRule="auto"/>
        <w:rPr>
          <w:sz w:val="20"/>
          <w:szCs w:val="20"/>
          <w:color w:val="auto"/>
        </w:rPr>
      </w:pPr>
      <w:r>
        <w:rPr>
          <w:rFonts w:ascii="Arial" w:cs="Arial" w:eastAsia="Arial" w:hAnsi="Arial"/>
          <w:sz w:val="16"/>
          <w:szCs w:val="16"/>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 otherwise identical. Immediately following this offering and the concurrent private placement described below, holders of Class B common stock will have 79.1% of the voting power of our outstanding capital stock and holders of Class A common stock will have the remaining 20.9%.</w:t>
      </w:r>
    </w:p>
    <w:p>
      <w:pPr>
        <w:spacing w:after="0" w:line="147" w:lineRule="exact"/>
        <w:rPr>
          <w:sz w:val="20"/>
          <w:szCs w:val="20"/>
          <w:color w:val="auto"/>
        </w:rPr>
      </w:pPr>
    </w:p>
    <w:p>
      <w:pPr>
        <w:ind w:right="620" w:firstLine="457"/>
        <w:spacing w:after="0" w:line="32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will be subject to reduced public company reporting requirements. See “Prospectus Summary—Our Company—Implications of Being an Emerging Growth Company” on page 6.</w:t>
      </w:r>
    </w:p>
    <w:p>
      <w:pPr>
        <w:spacing w:after="0" w:line="112" w:lineRule="exact"/>
        <w:rPr>
          <w:sz w:val="20"/>
          <w:szCs w:val="20"/>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Class A common stock involves a high degree of risk. See “</w:t>
      </w:r>
      <w:hyperlink w:anchor="page15">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12.</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56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2"/>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Initial public offering price</w:t>
            </w:r>
          </w:p>
        </w:tc>
        <w:tc>
          <w:tcPr>
            <w:tcW w:w="17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7"/>
                <w:szCs w:val="17"/>
                <w:b w:val="1"/>
                <w:bCs w:val="1"/>
                <w:color w:val="auto"/>
              </w:rPr>
              <w:t>Underwriting discounts and commissions(1)</w:t>
            </w:r>
          </w:p>
        </w:tc>
        <w:tc>
          <w:tcPr>
            <w:tcW w:w="2380" w:type="dxa"/>
            <w:vAlign w:val="bottom"/>
            <w:gridSpan w:val="2"/>
          </w:tcPr>
          <w:p>
            <w:pPr>
              <w:jc w:val="right"/>
              <w:ind w:right="487"/>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507"/>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Proceeds to us, before expenses</w:t>
            </w:r>
          </w:p>
        </w:tc>
        <w:tc>
          <w:tcPr>
            <w:tcW w:w="2380" w:type="dxa"/>
            <w:vAlign w:val="bottom"/>
            <w:gridSpan w:val="2"/>
            <w:shd w:val="clear" w:color="auto" w:fill="CCEEFF"/>
          </w:tcPr>
          <w:p>
            <w:pPr>
              <w:jc w:val="right"/>
              <w:ind w:right="487"/>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507"/>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8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1" w:lineRule="exact"/>
        <w:rPr>
          <w:sz w:val="20"/>
          <w:szCs w:val="20"/>
          <w:color w:val="auto"/>
        </w:rPr>
      </w:pPr>
    </w:p>
    <w:p>
      <w:pPr>
        <w:jc w:val="both"/>
        <w:ind w:left="340" w:right="140" w:hanging="336"/>
        <w:spacing w:after="0" w:line="22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Does not include warrants that are issuable by us to the underwriters for the purchase of 80,000 shares of Class A common stock (92,000 shares if the underwriters’ over-allotment option described below is exercised in full) at a price per share equal to 110% of the initial public offering price or certain out-of-pocket expenses of the underwriters that are reimbursable by us. See “Underwriting” beginning on page 141 for additional disclosure regarding underwriter discounts, commissions and estimated offering expenses.</w:t>
      </w:r>
    </w:p>
    <w:p>
      <w:pPr>
        <w:spacing w:after="0" w:line="17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have entered into agreements pursuant to which we expect to issue and sell, in a concurrent private placement, 833,334 shares of Class A common stock to Xinxin (Hongkong) Capital Co., Limited, a subsidiary of Sino IC Capital Co., Ltd., and 500,000 shares of Class A common stock to Victorious Way Limited, a subsidiary of China Everbright Limited. These shares are to be sold, subject to limitations described under “Concurrent Private Placement” on page 41, at the initial public offering price for the offering made hereby, and we will pay a 3.5% placement fee to the firms who are also serving as underwriters of this offering. We expect the closing of the concurrent private placement to occur immediately after the closing of the offering made hereby, but the closing of this offering is not contingent on the closing of the concurrent private placement.</w:t>
      </w:r>
    </w:p>
    <w:p>
      <w:pPr>
        <w:spacing w:after="0" w:line="167" w:lineRule="exact"/>
        <w:rPr>
          <w:sz w:val="20"/>
          <w:szCs w:val="20"/>
          <w:color w:val="auto"/>
        </w:rPr>
      </w:pPr>
    </w:p>
    <w:p>
      <w:pPr>
        <w:jc w:val="both"/>
        <w:ind w:right="340" w:firstLine="457"/>
        <w:spacing w:after="0" w:line="271" w:lineRule="auto"/>
        <w:rPr>
          <w:sz w:val="20"/>
          <w:szCs w:val="20"/>
          <w:color w:val="auto"/>
        </w:rPr>
      </w:pPr>
      <w:r>
        <w:rPr>
          <w:rFonts w:ascii="Arial" w:cs="Arial" w:eastAsia="Arial" w:hAnsi="Arial"/>
          <w:sz w:val="17"/>
          <w:szCs w:val="17"/>
          <w:color w:val="auto"/>
        </w:rPr>
        <w:t>The offering is being underwritten on a firm commitment basis. We have granted the underwriters an option to buy up to an additional 300,000 shares of Class A common stock from us to cover over-allotments. The underwriters may exercise this option at any time and from time to time during the 30-day period from the date of this prospectus.</w:t>
      </w:r>
    </w:p>
    <w:p>
      <w:pPr>
        <w:spacing w:after="0" w:line="140" w:lineRule="exact"/>
        <w:rPr>
          <w:sz w:val="20"/>
          <w:szCs w:val="20"/>
          <w:color w:val="auto"/>
        </w:rPr>
      </w:pPr>
    </w:p>
    <w:p>
      <w:pPr>
        <w:ind w:right="20" w:firstLine="457"/>
        <w:spacing w:after="0" w:line="294"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0" w:lineRule="exact"/>
        <w:rPr>
          <w:sz w:val="20"/>
          <w:szCs w:val="20"/>
          <w:color w:val="auto"/>
        </w:rPr>
      </w:pPr>
    </w:p>
    <w:p>
      <w:pPr>
        <w:ind w:left="460"/>
        <w:spacing w:after="0"/>
        <w:tabs>
          <w:tab w:leader="none" w:pos="8800" w:val="left"/>
        </w:tabs>
        <w:rPr>
          <w:sz w:val="20"/>
          <w:szCs w:val="20"/>
          <w:color w:val="auto"/>
        </w:rPr>
      </w:pPr>
      <w:r>
        <w:rPr>
          <w:rFonts w:ascii="Arial" w:cs="Arial" w:eastAsia="Arial" w:hAnsi="Arial"/>
          <w:sz w:val="17"/>
          <w:szCs w:val="17"/>
          <w:color w:val="auto"/>
        </w:rPr>
        <w:t>The underwriters expect to deliver the shares of Class A common stock to purchasers in the offering on or about</w:t>
      </w:r>
      <w:r>
        <w:rPr>
          <w:sz w:val="20"/>
          <w:szCs w:val="20"/>
          <w:color w:val="auto"/>
        </w:rPr>
        <w:tab/>
      </w:r>
      <w:r>
        <w:rPr>
          <w:rFonts w:ascii="Arial" w:cs="Arial" w:eastAsia="Arial" w:hAnsi="Arial"/>
          <w:sz w:val="15"/>
          <w:szCs w:val="15"/>
          <w:color w:val="auto"/>
        </w:rPr>
        <w:t>,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Sole Book-Running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auto"/>
        </w:rPr>
        <w:t>Roth Capital Partners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pacing w:after="0" w:line="215" w:lineRule="exact"/>
        <w:rPr>
          <w:sz w:val="20"/>
          <w:szCs w:val="20"/>
          <w:color w:val="auto"/>
        </w:rPr>
      </w:pPr>
    </w:p>
    <w:p>
      <w:pPr>
        <w:spacing w:after="0"/>
        <w:tabs>
          <w:tab w:leader="none" w:pos="8260" w:val="left"/>
        </w:tabs>
        <w:rPr>
          <w:sz w:val="20"/>
          <w:szCs w:val="20"/>
          <w:color w:val="auto"/>
        </w:rPr>
      </w:pPr>
      <w:r>
        <w:rPr>
          <w:rFonts w:ascii="Arial" w:cs="Arial" w:eastAsia="Arial" w:hAnsi="Arial"/>
          <w:sz w:val="28"/>
          <w:szCs w:val="28"/>
          <w:b w:val="1"/>
          <w:bCs w:val="1"/>
          <w:color w:val="auto"/>
        </w:rPr>
        <w:t>Craig-Hallum Capital Group</w:t>
      </w:r>
      <w:r>
        <w:rPr>
          <w:sz w:val="20"/>
          <w:szCs w:val="20"/>
          <w:color w:val="auto"/>
        </w:rPr>
        <w:tab/>
      </w:r>
      <w:r>
        <w:rPr>
          <w:rFonts w:ascii="Arial" w:cs="Arial" w:eastAsia="Arial" w:hAnsi="Arial"/>
          <w:sz w:val="25"/>
          <w:szCs w:val="25"/>
          <w:b w:val="1"/>
          <w:bCs w:val="1"/>
          <w:color w:val="auto"/>
        </w:rPr>
        <w:t>The Benchmark Company</w:t>
      </w:r>
    </w:p>
    <w:p>
      <w:pPr>
        <w:sectPr>
          <w:pgSz w:w="11900" w:h="16838" w:orient="portrait"/>
          <w:cols w:equalWidth="0" w:num="1">
            <w:col w:w="11420"/>
          </w:cols>
          <w:pgMar w:left="240" w:top="448" w:right="239" w:bottom="1440" w:gutter="0" w:footer="0" w:header="0"/>
        </w:sectPr>
      </w:pPr>
    </w:p>
    <w:p>
      <w:pPr>
        <w:spacing w:after="0" w:line="213" w:lineRule="exact"/>
        <w:rPr>
          <w:sz w:val="20"/>
          <w:szCs w:val="20"/>
          <w:color w:val="auto"/>
        </w:rPr>
      </w:pPr>
    </w:p>
    <w:p>
      <w:pPr>
        <w:ind w:left="3960"/>
        <w:spacing w:after="0"/>
        <w:tabs>
          <w:tab w:leader="none" w:pos="7020" w:val="left"/>
        </w:tabs>
        <w:rPr>
          <w:sz w:val="20"/>
          <w:szCs w:val="20"/>
          <w:color w:val="auto"/>
        </w:rPr>
      </w:pPr>
      <w:r>
        <w:rPr>
          <w:rFonts w:ascii="Arial" w:cs="Arial" w:eastAsia="Arial" w:hAnsi="Arial"/>
          <w:sz w:val="17"/>
          <w:szCs w:val="17"/>
          <w:b w:val="1"/>
          <w:bCs w:val="1"/>
          <w:color w:val="auto"/>
        </w:rPr>
        <w:t>The date of this prospectus is</w:t>
      </w:r>
      <w:r>
        <w:rPr>
          <w:sz w:val="20"/>
          <w:szCs w:val="20"/>
          <w:color w:val="auto"/>
        </w:rPr>
        <w:tab/>
      </w:r>
      <w:r>
        <w:rPr>
          <w:rFonts w:ascii="Arial" w:cs="Arial" w:eastAsia="Arial" w:hAnsi="Arial"/>
          <w:sz w:val="15"/>
          <w:szCs w:val="15"/>
          <w:b w:val="1"/>
          <w:bCs w:val="1"/>
          <w:color w:val="auto"/>
        </w:rPr>
        <w:t>, 2017</w:t>
      </w:r>
    </w:p>
    <w:p>
      <w:pPr>
        <w:sectPr>
          <w:pgSz w:w="11900" w:h="16838" w:orient="portrait"/>
          <w:cols w:equalWidth="0" w:num="1">
            <w:col w:w="11420"/>
          </w:cols>
          <w:pgMar w:left="240" w:top="448"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7"/>
            <w:vMerge w:val="restart"/>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Prospectus Summary</w:t>
              </w:r>
            </w:hyperlink>
          </w:p>
        </w:tc>
        <w:tc>
          <w:tcPr>
            <w:tcW w:w="3680" w:type="dxa"/>
            <w:vAlign w:val="bottom"/>
            <w:gridSpan w:val="7"/>
            <w:vMerge w:val="restart"/>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w w:val="73"/>
              </w:rPr>
              <w:t>Page</w:t>
            </w:r>
          </w:p>
        </w:tc>
        <w:tc>
          <w:tcPr>
            <w:tcW w:w="920" w:type="dxa"/>
            <w:vAlign w:val="bottom"/>
            <w:gridSpan w:val="2"/>
            <w:vMerge w:val="restart"/>
          </w:tcPr>
          <w:p>
            <w:pPr>
              <w:spacing w:after="0"/>
              <w:rPr>
                <w:rFonts w:ascii="Arial" w:cs="Arial" w:eastAsia="Arial" w:hAnsi="Arial"/>
                <w:sz w:val="17"/>
                <w:szCs w:val="17"/>
                <w:color w:val="0000EE"/>
                <w:w w:val="88"/>
              </w:rPr>
            </w:pPr>
            <w:hyperlink w:anchor="page109">
              <w:r>
                <w:rPr>
                  <w:rFonts w:ascii="Arial" w:cs="Arial" w:eastAsia="Arial" w:hAnsi="Arial"/>
                  <w:sz w:val="17"/>
                  <w:szCs w:val="17"/>
                  <w:color w:val="0000EE"/>
                  <w:w w:val="88"/>
                </w:rPr>
                <w:t>Management</w:t>
              </w:r>
            </w:hyperlink>
          </w:p>
        </w:tc>
        <w:tc>
          <w:tcPr>
            <w:tcW w:w="4300" w:type="dxa"/>
            <w:vAlign w:val="bottom"/>
            <w:gridSpan w:val="10"/>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4"/>
        </w:trPr>
        <w:tc>
          <w:tcPr>
            <w:tcW w:w="1480" w:type="dxa"/>
            <w:vAlign w:val="bottom"/>
            <w:tcBorders>
              <w:bottom w:val="single" w:sz="8" w:color="0000EE"/>
            </w:tcBorders>
            <w:gridSpan w:val="7"/>
            <w:vMerge w:val="continue"/>
          </w:tcPr>
          <w:p>
            <w:pPr>
              <w:spacing w:after="0"/>
              <w:rPr>
                <w:sz w:val="12"/>
                <w:szCs w:val="12"/>
                <w:color w:val="auto"/>
              </w:rPr>
            </w:pPr>
          </w:p>
        </w:tc>
        <w:tc>
          <w:tcPr>
            <w:tcW w:w="3680" w:type="dxa"/>
            <w:vAlign w:val="bottom"/>
            <w:gridSpan w:val="7"/>
            <w:vMerge w:val="continue"/>
          </w:tcPr>
          <w:p>
            <w:pPr>
              <w:spacing w:after="0"/>
              <w:rPr>
                <w:sz w:val="12"/>
                <w:szCs w:val="12"/>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20" w:type="dxa"/>
            <w:vAlign w:val="bottom"/>
          </w:tcPr>
          <w:p>
            <w:pPr>
              <w:spacing w:after="0"/>
              <w:rPr>
                <w:sz w:val="12"/>
                <w:szCs w:val="12"/>
                <w:color w:val="auto"/>
              </w:rPr>
            </w:pPr>
          </w:p>
        </w:tc>
        <w:tc>
          <w:tcPr>
            <w:tcW w:w="920" w:type="dxa"/>
            <w:vAlign w:val="bottom"/>
            <w:tcBorders>
              <w:bottom w:val="single" w:sz="8" w:color="0000EE"/>
            </w:tcBorders>
            <w:gridSpan w:val="2"/>
            <w:vMerge w:val="continue"/>
          </w:tcPr>
          <w:p>
            <w:pPr>
              <w:spacing w:after="0"/>
              <w:rPr>
                <w:sz w:val="12"/>
                <w:szCs w:val="12"/>
                <w:color w:val="auto"/>
              </w:rPr>
            </w:pPr>
          </w:p>
        </w:tc>
        <w:tc>
          <w:tcPr>
            <w:tcW w:w="4300" w:type="dxa"/>
            <w:vAlign w:val="bottom"/>
            <w:gridSpan w:val="10"/>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67"/>
        </w:trPr>
        <w:tc>
          <w:tcPr>
            <w:tcW w:w="5160" w:type="dxa"/>
            <w:vAlign w:val="bottom"/>
            <w:gridSpan w:val="14"/>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12</w:t>
            </w:r>
          </w:p>
        </w:tc>
        <w:tc>
          <w:tcPr>
            <w:tcW w:w="5220" w:type="dxa"/>
            <w:vAlign w:val="bottom"/>
            <w:gridSpan w:val="12"/>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Forward-Looking Statements and Statistical Data</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39</w:t>
            </w:r>
          </w:p>
        </w:tc>
        <w:tc>
          <w:tcPr>
            <w:tcW w:w="5220" w:type="dxa"/>
            <w:vAlign w:val="bottom"/>
            <w:gridSpan w:val="12"/>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100" w:type="dxa"/>
            <w:vAlign w:val="bottom"/>
            <w:gridSpan w:val="10"/>
          </w:tcPr>
          <w:p>
            <w:pPr>
              <w:spacing w:after="0"/>
              <w:rPr>
                <w:rFonts w:ascii="Arial" w:cs="Arial" w:eastAsia="Arial" w:hAnsi="Arial"/>
                <w:sz w:val="17"/>
                <w:szCs w:val="17"/>
                <w:color w:val="0000EE"/>
                <w:w w:val="91"/>
              </w:rPr>
            </w:pPr>
            <w:hyperlink w:anchor="page44">
              <w:r>
                <w:rPr>
                  <w:rFonts w:ascii="Arial" w:cs="Arial" w:eastAsia="Arial" w:hAnsi="Arial"/>
                  <w:sz w:val="17"/>
                  <w:szCs w:val="17"/>
                  <w:color w:val="0000EE"/>
                  <w:w w:val="91"/>
                </w:rPr>
                <w:t>Concurrent Private Placement</w:t>
              </w:r>
            </w:hyperlink>
          </w:p>
        </w:tc>
        <w:tc>
          <w:tcPr>
            <w:tcW w:w="1340" w:type="dxa"/>
            <w:vAlign w:val="bottom"/>
            <w:gridSpan w:val="2"/>
          </w:tcPr>
          <w:p>
            <w:pPr>
              <w:spacing w:after="0"/>
              <w:rPr>
                <w:sz w:val="22"/>
                <w:szCs w:val="22"/>
                <w:color w:val="auto"/>
              </w:rPr>
            </w:pPr>
          </w:p>
        </w:tc>
        <w:tc>
          <w:tcPr>
            <w:tcW w:w="1720" w:type="dxa"/>
            <w:vAlign w:val="bottom"/>
            <w:gridSpan w:val="2"/>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41</w:t>
            </w:r>
          </w:p>
        </w:tc>
        <w:tc>
          <w:tcPr>
            <w:tcW w:w="5220" w:type="dxa"/>
            <w:vAlign w:val="bottom"/>
            <w:gridSpan w:val="12"/>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Related-Party Transactions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254"/>
        </w:trPr>
        <w:tc>
          <w:tcPr>
            <w:tcW w:w="1140" w:type="dxa"/>
            <w:vAlign w:val="bottom"/>
            <w:tcBorders>
              <w:top w:val="single" w:sz="8" w:color="0000EE"/>
            </w:tcBorders>
            <w:gridSpan w:val="6"/>
          </w:tcPr>
          <w:p>
            <w:pPr>
              <w:spacing w:after="0"/>
              <w:rPr>
                <w:rFonts w:ascii="Arial" w:cs="Arial" w:eastAsia="Arial" w:hAnsi="Arial"/>
                <w:sz w:val="17"/>
                <w:szCs w:val="17"/>
                <w:color w:val="0000EE"/>
                <w:w w:val="89"/>
              </w:rPr>
            </w:pPr>
            <w:hyperlink w:anchor="page45">
              <w:r>
                <w:rPr>
                  <w:rFonts w:ascii="Arial" w:cs="Arial" w:eastAsia="Arial" w:hAnsi="Arial"/>
                  <w:sz w:val="17"/>
                  <w:szCs w:val="17"/>
                  <w:color w:val="0000EE"/>
                  <w:w w:val="89"/>
                </w:rPr>
                <w:t>Use of Proceeds</w:t>
              </w:r>
            </w:hyperlink>
          </w:p>
        </w:tc>
        <w:tc>
          <w:tcPr>
            <w:tcW w:w="960" w:type="dxa"/>
            <w:vAlign w:val="bottom"/>
            <w:tcBorders>
              <w:top w:val="single" w:sz="8" w:color="0000EE"/>
            </w:tcBorders>
            <w:gridSpan w:val="4"/>
          </w:tcPr>
          <w:p>
            <w:pPr>
              <w:spacing w:after="0"/>
              <w:rPr>
                <w:sz w:val="22"/>
                <w:szCs w:val="22"/>
                <w:color w:val="auto"/>
              </w:rPr>
            </w:pPr>
          </w:p>
        </w:tc>
        <w:tc>
          <w:tcPr>
            <w:tcW w:w="3060" w:type="dxa"/>
            <w:vAlign w:val="bottom"/>
            <w:gridSpan w:val="4"/>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42</w:t>
            </w:r>
          </w:p>
        </w:tc>
        <w:tc>
          <w:tcPr>
            <w:tcW w:w="1860" w:type="dxa"/>
            <w:vAlign w:val="bottom"/>
            <w:tcBorders>
              <w:top w:val="single" w:sz="8" w:color="0000EE"/>
            </w:tcBorders>
            <w:gridSpan w:val="6"/>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Principal Stockholders</w:t>
              </w:r>
            </w:hyperlink>
          </w:p>
        </w:tc>
        <w:tc>
          <w:tcPr>
            <w:tcW w:w="336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Dividend Policy</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43</w:t>
            </w:r>
          </w:p>
        </w:tc>
        <w:tc>
          <w:tcPr>
            <w:tcW w:w="5220" w:type="dxa"/>
            <w:vAlign w:val="bottom"/>
            <w:gridSpan w:val="12"/>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gridSpan w:val="6"/>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Capitalization</w:t>
              </w:r>
            </w:hyperlink>
          </w:p>
        </w:tc>
        <w:tc>
          <w:tcPr>
            <w:tcW w:w="4020" w:type="dxa"/>
            <w:vAlign w:val="bottom"/>
            <w:gridSpan w:val="8"/>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44</w:t>
            </w:r>
          </w:p>
        </w:tc>
        <w:tc>
          <w:tcPr>
            <w:tcW w:w="5220" w:type="dxa"/>
            <w:vAlign w:val="bottom"/>
            <w:gridSpan w:val="12"/>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Dilution</w:t>
              </w:r>
            </w:hyperlink>
          </w:p>
        </w:tc>
        <w:tc>
          <w:tcPr>
            <w:tcW w:w="4180" w:type="dxa"/>
            <w:vAlign w:val="bottom"/>
            <w:gridSpan w:val="9"/>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220" w:type="dxa"/>
            <w:vAlign w:val="bottom"/>
            <w:gridSpan w:val="12"/>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Material U.S. Federal Income Tax Considerations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Exchange Rate Information</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49</w:t>
            </w:r>
          </w:p>
        </w:tc>
        <w:tc>
          <w:tcPr>
            <w:tcW w:w="5220" w:type="dxa"/>
            <w:vAlign w:val="bottom"/>
            <w:gridSpan w:val="12"/>
          </w:tcPr>
          <w:p>
            <w:pPr>
              <w:spacing w:after="0"/>
              <w:rPr>
                <w:rFonts w:ascii="Arial" w:cs="Arial" w:eastAsia="Arial" w:hAnsi="Arial"/>
                <w:sz w:val="17"/>
                <w:szCs w:val="17"/>
                <w:color w:val="0000EE"/>
              </w:rPr>
            </w:pPr>
            <w:hyperlink w:anchor="page144">
              <w:r>
                <w:rPr>
                  <w:rFonts w:ascii="Arial" w:cs="Arial" w:eastAsia="Arial" w:hAnsi="Arial"/>
                  <w:sz w:val="17"/>
                  <w:szCs w:val="17"/>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52">
              <w:r>
                <w:rPr>
                  <w:rFonts w:ascii="Arial" w:cs="Arial" w:eastAsia="Arial" w:hAnsi="Arial"/>
                  <w:sz w:val="17"/>
                  <w:szCs w:val="17"/>
                  <w:color w:val="0000EE"/>
                  <w:w w:val="93"/>
                </w:rPr>
                <w:t>Selected Consolidated Financial Information</w:t>
              </w:r>
            </w:hyperlink>
          </w:p>
        </w:tc>
        <w:tc>
          <w:tcPr>
            <w:tcW w:w="2040" w:type="dxa"/>
            <w:vAlign w:val="bottom"/>
            <w:gridSpan w:val="3"/>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49</w:t>
            </w:r>
          </w:p>
        </w:tc>
        <w:tc>
          <w:tcPr>
            <w:tcW w:w="96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150">
              <w:r>
                <w:rPr>
                  <w:rFonts w:ascii="Arial" w:cs="Arial" w:eastAsia="Arial" w:hAnsi="Arial"/>
                  <w:sz w:val="17"/>
                  <w:szCs w:val="17"/>
                  <w:color w:val="0000EE"/>
                  <w:w w:val="91"/>
                </w:rPr>
                <w:t>Legal Matters</w:t>
              </w:r>
            </w:hyperlink>
          </w:p>
        </w:tc>
        <w:tc>
          <w:tcPr>
            <w:tcW w:w="4260" w:type="dxa"/>
            <w:vAlign w:val="bottom"/>
            <w:gridSpan w:val="9"/>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254"/>
        </w:trPr>
        <w:tc>
          <w:tcPr>
            <w:tcW w:w="4740" w:type="dxa"/>
            <w:vAlign w:val="bottom"/>
            <w:tcBorders>
              <w:bottom w:val="single" w:sz="8" w:color="0000EE"/>
            </w:tcBorders>
            <w:gridSpan w:val="13"/>
          </w:tcPr>
          <w:p>
            <w:pPr>
              <w:spacing w:after="0"/>
              <w:rPr>
                <w:rFonts w:ascii="Arial" w:cs="Arial" w:eastAsia="Arial" w:hAnsi="Arial"/>
                <w:sz w:val="17"/>
                <w:szCs w:val="17"/>
                <w:color w:val="0000EE"/>
                <w:w w:val="94"/>
              </w:rPr>
            </w:pPr>
            <w:hyperlink w:anchor="page56">
              <w:r>
                <w:rPr>
                  <w:rFonts w:ascii="Arial" w:cs="Arial" w:eastAsia="Arial" w:hAnsi="Arial"/>
                  <w:sz w:val="17"/>
                  <w:szCs w:val="17"/>
                  <w:color w:val="0000EE"/>
                  <w:w w:val="94"/>
                </w:rPr>
                <w:t>Management’s Discussion and Analysis of Financial Condition and</w:t>
              </w:r>
            </w:hyperlink>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Borders>
              <w:bottom w:val="single" w:sz="8" w:color="0000EE"/>
            </w:tcBorders>
          </w:tcPr>
          <w:p>
            <w:pPr>
              <w:spacing w:after="0"/>
              <w:rPr>
                <w:rFonts w:ascii="Arial" w:cs="Arial" w:eastAsia="Arial" w:hAnsi="Arial"/>
                <w:sz w:val="17"/>
                <w:szCs w:val="17"/>
                <w:color w:val="0000EE"/>
                <w:w w:val="86"/>
              </w:rPr>
            </w:pPr>
            <w:hyperlink w:anchor="page150">
              <w:r>
                <w:rPr>
                  <w:rFonts w:ascii="Arial" w:cs="Arial" w:eastAsia="Arial" w:hAnsi="Arial"/>
                  <w:sz w:val="17"/>
                  <w:szCs w:val="17"/>
                  <w:color w:val="0000EE"/>
                  <w:w w:val="86"/>
                </w:rPr>
                <w:t>Experts</w:t>
              </w:r>
            </w:hyperlink>
          </w:p>
        </w:tc>
        <w:tc>
          <w:tcPr>
            <w:tcW w:w="4700" w:type="dxa"/>
            <w:vAlign w:val="bottom"/>
            <w:gridSpan w:val="1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980" w:type="dxa"/>
            <w:vAlign w:val="bottom"/>
            <w:gridSpan w:val="13"/>
          </w:tcPr>
          <w:p>
            <w:pPr>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Results of Operations</w:t>
              </w:r>
            </w:hyperlink>
          </w:p>
        </w:tc>
        <w:tc>
          <w:tcPr>
            <w:tcW w:w="6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53</w:t>
            </w:r>
          </w:p>
        </w:tc>
        <w:tc>
          <w:tcPr>
            <w:tcW w:w="5220" w:type="dxa"/>
            <w:vAlign w:val="bottom"/>
            <w:gridSpan w:val="12"/>
            <w:vMerge w:val="restart"/>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Where You Can Find Additional Information</w:t>
              </w:r>
            </w:hyperlink>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20" w:type="dxa"/>
            <w:vAlign w:val="bottom"/>
            <w:gridSpan w:val="1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160" w:type="dxa"/>
            <w:vAlign w:val="bottom"/>
            <w:gridSpan w:val="14"/>
            <w:vMerge w:val="restart"/>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Business</w:t>
              </w:r>
            </w:hyperlink>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rPr>
              <w:t>87</w:t>
            </w:r>
          </w:p>
        </w:tc>
        <w:tc>
          <w:tcPr>
            <w:tcW w:w="5220" w:type="dxa"/>
            <w:vAlign w:val="bottom"/>
            <w:gridSpan w:val="1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160" w:type="dxa"/>
            <w:vAlign w:val="bottom"/>
            <w:gridSpan w:val="14"/>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3020" w:type="dxa"/>
            <w:vAlign w:val="bottom"/>
            <w:tcBorders>
              <w:top w:val="single" w:sz="8" w:color="0000EE"/>
            </w:tcBorders>
            <w:gridSpan w:val="9"/>
            <w:vMerge w:val="restart"/>
          </w:tcPr>
          <w:p>
            <w:pPr>
              <w:spacing w:after="0"/>
              <w:rPr>
                <w:rFonts w:ascii="Arial" w:cs="Arial" w:eastAsia="Arial" w:hAnsi="Arial"/>
                <w:sz w:val="17"/>
                <w:szCs w:val="17"/>
                <w:color w:val="0000EE"/>
                <w:w w:val="91"/>
              </w:rPr>
            </w:pPr>
            <w:hyperlink w:anchor="page151">
              <w:r>
                <w:rPr>
                  <w:rFonts w:ascii="Arial" w:cs="Arial" w:eastAsia="Arial" w:hAnsi="Arial"/>
                  <w:sz w:val="17"/>
                  <w:szCs w:val="17"/>
                  <w:color w:val="0000EE"/>
                  <w:w w:val="91"/>
                </w:rPr>
                <w:t>Index to Consolidated Financial Statements</w:t>
              </w:r>
            </w:hyperlink>
          </w:p>
        </w:tc>
        <w:tc>
          <w:tcPr>
            <w:tcW w:w="100" w:type="dxa"/>
            <w:vAlign w:val="bottom"/>
            <w:tcBorders>
              <w:top w:val="single" w:sz="8" w:color="0000EE"/>
            </w:tcBorders>
            <w:vMerge w:val="restart"/>
          </w:tcPr>
          <w:p>
            <w:pPr>
              <w:spacing w:after="0"/>
              <w:rPr>
                <w:sz w:val="16"/>
                <w:szCs w:val="16"/>
                <w:color w:val="auto"/>
              </w:rPr>
            </w:pPr>
          </w:p>
        </w:tc>
        <w:tc>
          <w:tcPr>
            <w:tcW w:w="2100" w:type="dxa"/>
            <w:vAlign w:val="bottom"/>
            <w:gridSpan w:val="2"/>
            <w:vMerge w:val="restart"/>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50"/>
        </w:trPr>
        <w:tc>
          <w:tcPr>
            <w:tcW w:w="18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20" w:type="dxa"/>
            <w:vAlign w:val="bottom"/>
            <w:tcBorders>
              <w:top w:val="single" w:sz="8" w:color="0000EE"/>
              <w:bottom w:val="single" w:sz="8" w:color="0000EE"/>
            </w:tcBorders>
            <w:gridSpan w:val="9"/>
            <w:vMerge w:val="continue"/>
          </w:tcPr>
          <w:p>
            <w:pPr>
              <w:spacing w:after="0"/>
              <w:rPr>
                <w:sz w:val="3"/>
                <w:szCs w:val="3"/>
                <w:color w:val="auto"/>
              </w:rPr>
            </w:pPr>
          </w:p>
        </w:tc>
        <w:tc>
          <w:tcPr>
            <w:tcW w:w="100" w:type="dxa"/>
            <w:vAlign w:val="bottom"/>
            <w:tcBorders>
              <w:top w:val="single" w:sz="8" w:color="0000EE"/>
            </w:tcBorders>
            <w:vMerge w:val="continue"/>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322580</wp:posOffset>
            </wp:positionV>
            <wp:extent cx="1523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64"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i w:val="1"/>
          <w:iCs w:val="1"/>
          <w:color w:val="auto"/>
        </w:rPr>
        <w:t xml:space="preserve">For investors outside of the United States: </w:t>
      </w:r>
      <w:r>
        <w:rPr>
          <w:rFonts w:ascii="Arial" w:cs="Arial" w:eastAsia="Arial" w:hAnsi="Arial"/>
          <w:sz w:val="17"/>
          <w:szCs w:val="17"/>
          <w:color w:val="auto"/>
        </w:rPr>
        <w:t>Neither we nor the underwriters have done anything that would permit this offering or possession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210820</wp:posOffset>
            </wp:positionV>
            <wp:extent cx="1523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Unless the context requires otherwise, references in this prospectus to “our company,” “our,” “us,” “we” and similar terms refer to ACM Research, Inc. (including its predecessor prior to its redomestication from California to Delaware in November 2016) and its subsidiaries. References to “ACM Research” refer to ACM Research, Inc., and references to “ACM Shanghai” are to ACM Research (Shanghai), Inc., a subsidiary of ACM Research.</w:t>
      </w:r>
    </w:p>
    <w:p>
      <w:pPr>
        <w:spacing w:after="0" w:line="172"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color w:val="auto"/>
        </w:rPr>
        <w:t>SAPS, TEBO, ULTRA C and our logo design are our trademarks. This prospectus also contains other companies’ trademarks, registered marks and trade names, which are the property of those companies.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80"/>
          </w:cols>
          <w:pgMar w:left="240" w:top="448" w:right="2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542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5542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00" w:right="200" w:firstLine="442"/>
        <w:spacing w:after="0" w:line="266"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200" w:right="40" w:firstLine="442"/>
        <w:spacing w:after="0" w:line="261" w:lineRule="auto"/>
        <w:rPr>
          <w:sz w:val="20"/>
          <w:szCs w:val="20"/>
          <w:color w:val="auto"/>
        </w:rPr>
      </w:pPr>
      <w:r>
        <w:rPr>
          <w:rFonts w:ascii="Arial" w:cs="Arial" w:eastAsia="Arial" w:hAnsi="Arial"/>
          <w:sz w:val="17"/>
          <w:szCs w:val="17"/>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7"/>
          <w:szCs w:val="17"/>
          <w:i w:val="1"/>
          <w:iCs w:val="1"/>
          <w:color w:val="auto"/>
        </w:rPr>
        <w:t>Space</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Alternated Phase Shift</w:t>
      </w:r>
      <w:r>
        <w:rPr>
          <w:rFonts w:ascii="Arial" w:cs="Arial" w:eastAsia="Arial" w:hAnsi="Arial"/>
          <w:sz w:val="17"/>
          <w:szCs w:val="17"/>
          <w:color w:val="auto"/>
        </w:rPr>
        <w:t>, or SAPS, and</w:t>
      </w:r>
      <w:r>
        <w:rPr>
          <w:rFonts w:ascii="Arial" w:cs="Arial" w:eastAsia="Arial" w:hAnsi="Arial"/>
          <w:sz w:val="17"/>
          <w:szCs w:val="17"/>
          <w:i w:val="1"/>
          <w:iCs w:val="1"/>
          <w:color w:val="auto"/>
        </w:rPr>
        <w:t xml:space="preserve"> Timely Energized Bubble Oscillation</w:t>
      </w:r>
      <w:r>
        <w:rPr>
          <w:rFonts w:ascii="Arial" w:cs="Arial" w:eastAsia="Arial" w:hAnsi="Arial"/>
          <w:sz w:val="17"/>
          <w:szCs w:val="17"/>
          <w:color w:val="auto"/>
        </w:rPr>
        <w:t>, or TEBO, technologies. We developed our proprietary technologies to enable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200" w:firstLine="442"/>
        <w:spacing w:after="0" w:line="299" w:lineRule="auto"/>
        <w:rPr>
          <w:sz w:val="20"/>
          <w:szCs w:val="20"/>
          <w:color w:val="auto"/>
        </w:rPr>
      </w:pPr>
      <w:r>
        <w:rPr>
          <w:rFonts w:ascii="Arial" w:cs="Arial" w:eastAsia="Arial" w:hAnsi="Arial"/>
          <w:sz w:val="15"/>
          <w:szCs w:val="15"/>
          <w:b w:val="1"/>
          <w:bCs w:val="1"/>
          <w:i w:val="1"/>
          <w:iCs w:val="1"/>
          <w:color w:val="auto"/>
        </w:rPr>
        <w:t xml:space="preserve">Differentiated technologies for advanced chips. </w:t>
      </w:r>
      <w:r>
        <w:rPr>
          <w:rFonts w:ascii="Arial" w:cs="Arial" w:eastAsia="Arial" w:hAnsi="Arial"/>
          <w:sz w:val="15"/>
          <w:szCs w:val="15"/>
          <w:color w:val="auto"/>
        </w:rPr>
        <w:t>Our SAPS and TEBO single-wafer wet cleaning technologies control the power, intensity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megasonic cleaning in order to remove random defects from a wafer surface effectively, without damaging the wafer or its features, even at process nodes of 22nm or less. As process nodes continue to shrink to 22nm and less, finer feature sizes and denser, more complex architectures make the cleaning process even more complicated and challenging. Our SAPS and TEBO technologies specifically address the inadequacies of conventional equipment available for the critical cleaning steps in chip manufacturing processes. One of our customers has implemented SAPS-based equipment for the 22nm process node, and we have demonstrated TEBO technology to be effective for the 16nm node. Furthermore, we believe both SAPS and TEBO technologies can be applied for even smaller process nodes. According to Transparency Market Research Pvt. Ltd, the global market for cleaning equipment for single-wafer processing systems totaled $2.6 billion in 2015 and will increase to an estimated $3.7 billion in 2020, a compound annual growth rate of 6.8%.</w:t>
      </w:r>
    </w:p>
    <w:p>
      <w:pPr>
        <w:spacing w:after="0" w:line="158" w:lineRule="exact"/>
        <w:rPr>
          <w:sz w:val="20"/>
          <w:szCs w:val="20"/>
          <w:color w:val="auto"/>
        </w:rPr>
      </w:pPr>
    </w:p>
    <w:p>
      <w:pPr>
        <w:ind w:left="200" w:right="20" w:firstLine="442"/>
        <w:spacing w:after="0" w:line="301" w:lineRule="auto"/>
        <w:rPr>
          <w:sz w:val="20"/>
          <w:szCs w:val="20"/>
          <w:color w:val="auto"/>
        </w:rPr>
      </w:pPr>
      <w:r>
        <w:rPr>
          <w:rFonts w:ascii="Arial" w:cs="Arial" w:eastAsia="Arial" w:hAnsi="Arial"/>
          <w:sz w:val="15"/>
          <w:szCs w:val="15"/>
          <w:b w:val="1"/>
          <w:bCs w:val="1"/>
          <w:i w:val="1"/>
          <w:iCs w:val="1"/>
          <w:color w:val="auto"/>
        </w:rPr>
        <w:t xml:space="preserve">China-based operations positioned for growth in new chip fabrication plants. </w:t>
      </w:r>
      <w:r>
        <w:rPr>
          <w:rFonts w:ascii="Arial" w:cs="Arial" w:eastAsia="Arial" w:hAnsi="Arial"/>
          <w:sz w:val="15"/>
          <w:szCs w:val="15"/>
          <w:color w:val="auto"/>
        </w:rPr>
        <w:t>In 2006 we established our operational center in Shanghai,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currently conduct substantially all of our development and manufacturing activities in the People’s Republic of China, or the PRC. The PRC’s share of worldwide semiconductor manufacturing capacity expanded from 7.3% in 2006 to 12.7% in 2015, and its semiconductor manufacturing revenue increased at a compound annual growth rate of 17.6% over the ten-year period ending in 2015 (PricewaterhouseCoopers, January 2017). Our Shanghai operations position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54" w:lineRule="exact"/>
        <w:rPr>
          <w:sz w:val="20"/>
          <w:szCs w:val="20"/>
          <w:color w:val="auto"/>
        </w:rPr>
      </w:pPr>
    </w:p>
    <w:p>
      <w:pPr>
        <w:ind w:left="200" w:right="40" w:firstLine="442"/>
        <w:spacing w:after="0" w:line="307" w:lineRule="auto"/>
        <w:rPr>
          <w:sz w:val="20"/>
          <w:szCs w:val="20"/>
          <w:color w:val="auto"/>
        </w:rPr>
      </w:pPr>
      <w:r>
        <w:rPr>
          <w:rFonts w:ascii="Arial" w:cs="Arial" w:eastAsia="Arial" w:hAnsi="Arial"/>
          <w:sz w:val="15"/>
          <w:szCs w:val="15"/>
          <w:b w:val="1"/>
          <w:bCs w:val="1"/>
          <w:i w:val="1"/>
          <w:iCs w:val="1"/>
          <w:color w:val="auto"/>
        </w:rPr>
        <w:t xml:space="preserve">Referenceable customer base. </w:t>
      </w:r>
      <w:r>
        <w:rPr>
          <w:rFonts w:ascii="Arial" w:cs="Arial" w:eastAsia="Arial" w:hAnsi="Arial"/>
          <w:sz w:val="15"/>
          <w:szCs w:val="15"/>
          <w:color w:val="auto"/>
        </w:rPr>
        <w:t>In commercializing our equipment, we place evaluation equipment with a selected group of leading chip manufacturers,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whose use of our products can influence decisions by other manufacturers. We believe this process is helping us penetrate the mature chip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In 2016, using a similar “demo-to-sales” process, we placed TEBO evaluation equipment with a leading PRC foundry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240" w:top="448" w:right="4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74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56749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180"/>
        <w:spacing w:after="0" w:line="271" w:lineRule="auto"/>
        <w:rPr>
          <w:sz w:val="20"/>
          <w:szCs w:val="20"/>
          <w:color w:val="auto"/>
        </w:rPr>
      </w:pPr>
      <w:r>
        <w:rPr>
          <w:rFonts w:ascii="Arial" w:cs="Arial" w:eastAsia="Arial" w:hAnsi="Arial"/>
          <w:sz w:val="17"/>
          <w:szCs w:val="17"/>
          <w:color w:val="auto"/>
        </w:rPr>
        <w:t>and a leading Taiwanese foundry and recognized revenue from our initial sale of TEBO equipment. Our revenue from the selected customers’ purchases of single-wafer wet cleaning equipment totaled $10.6 million, or 73.6% of our revenue, in the first six months of 2017, $21.5 million, or 78.4% of our revenue, in 2016 and $26.8 million, or 86.0% of our revenue, in 2015.</w:t>
      </w:r>
    </w:p>
    <w:p>
      <w:pPr>
        <w:spacing w:after="0" w:line="172" w:lineRule="exact"/>
        <w:rPr>
          <w:sz w:val="20"/>
          <w:szCs w:val="20"/>
          <w:color w:val="auto"/>
        </w:rPr>
      </w:pPr>
    </w:p>
    <w:p>
      <w:pPr>
        <w:ind w:left="200" w:right="20" w:firstLine="442"/>
        <w:spacing w:after="0" w:line="271" w:lineRule="auto"/>
        <w:rPr>
          <w:sz w:val="20"/>
          <w:szCs w:val="20"/>
          <w:color w:val="auto"/>
        </w:rPr>
      </w:pPr>
      <w:r>
        <w:rPr>
          <w:rFonts w:ascii="Arial" w:cs="Arial" w:eastAsia="Arial" w:hAnsi="Arial"/>
          <w:sz w:val="17"/>
          <w:szCs w:val="17"/>
          <w:b w:val="1"/>
          <w:bCs w:val="1"/>
          <w:i w:val="1"/>
          <w:iCs w:val="1"/>
          <w:color w:val="auto"/>
        </w:rPr>
        <w:t xml:space="preserve">Extensive intellectual property protection. </w:t>
      </w:r>
      <w:r>
        <w:rPr>
          <w:rFonts w:ascii="Arial" w:cs="Arial" w:eastAsia="Arial" w:hAnsi="Arial"/>
          <w:sz w:val="17"/>
          <w:szCs w:val="17"/>
          <w:color w:val="auto"/>
        </w:rPr>
        <w:t>Since our formation in 1998, we have focused on building a strategic portfolio of intellectual property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and protect our key innovations, including most recently our SAPS and TEBO technologies. As of September 30, 2017, we had been issued more than 140 patents in the United States, the PRC, Japan, Korea, Singapore and Taiwan.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Industry Background and Trends</w:t>
      </w:r>
    </w:p>
    <w:p>
      <w:pPr>
        <w:spacing w:after="0" w:line="117" w:lineRule="exact"/>
        <w:rPr>
          <w:sz w:val="20"/>
          <w:szCs w:val="20"/>
          <w:color w:val="auto"/>
        </w:rPr>
      </w:pPr>
    </w:p>
    <w:p>
      <w:pPr>
        <w:ind w:left="200" w:right="240" w:firstLine="442"/>
        <w:spacing w:after="0" w:line="266" w:lineRule="auto"/>
        <w:rPr>
          <w:sz w:val="20"/>
          <w:szCs w:val="20"/>
          <w:color w:val="auto"/>
        </w:rPr>
      </w:pPr>
      <w:r>
        <w:rPr>
          <w:rFonts w:ascii="Arial" w:cs="Arial" w:eastAsia="Arial" w:hAnsi="Arial"/>
          <w:sz w:val="17"/>
          <w:szCs w:val="17"/>
          <w:color w:val="auto"/>
        </w:rPr>
        <w:t>Semiconductors are the foundation of the exponential growth of digital technologies and applications. After 30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76" w:lineRule="exact"/>
        <w:rPr>
          <w:sz w:val="20"/>
          <w:szCs w:val="20"/>
          <w:color w:val="auto"/>
        </w:rPr>
      </w:pPr>
    </w:p>
    <w:p>
      <w:pPr>
        <w:ind w:left="200" w:firstLine="442"/>
        <w:spacing w:after="0" w:line="261"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81" w:lineRule="exact"/>
        <w:rPr>
          <w:sz w:val="20"/>
          <w:szCs w:val="20"/>
          <w:color w:val="auto"/>
        </w:rPr>
      </w:pPr>
    </w:p>
    <w:p>
      <w:pPr>
        <w:ind w:left="200" w:firstLine="442"/>
        <w:spacing w:after="0" w:line="284"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63" w:lineRule="exact"/>
        <w:rPr>
          <w:sz w:val="20"/>
          <w:szCs w:val="20"/>
          <w:color w:val="auto"/>
        </w:rPr>
      </w:pPr>
    </w:p>
    <w:p>
      <w:pPr>
        <w:ind w:left="200" w:right="140" w:firstLine="442"/>
        <w:spacing w:after="0" w:line="284"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63" w:lineRule="exact"/>
        <w:rPr>
          <w:sz w:val="20"/>
          <w:szCs w:val="20"/>
          <w:color w:val="auto"/>
        </w:rPr>
      </w:pPr>
    </w:p>
    <w:p>
      <w:pPr>
        <w:ind w:left="200" w:right="100" w:firstLine="442"/>
        <w:spacing w:after="0" w:line="263" w:lineRule="auto"/>
        <w:rPr>
          <w:sz w:val="20"/>
          <w:szCs w:val="20"/>
          <w:color w:val="auto"/>
        </w:rPr>
      </w:pPr>
      <w:r>
        <w:rPr>
          <w:rFonts w:ascii="Arial" w:cs="Arial" w:eastAsia="Arial" w:hAnsi="Arial"/>
          <w:sz w:val="17"/>
          <w:szCs w:val="17"/>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architectures make the cleaning process even more complicated and challenging. Effective, damage-free cleaning poses a significant challenge for manufacturers seeking to fabricate chips in the advanced process nodes available today or introduced in the future. In order to extend Moore’s law, chip manufacturers must be able to remove ever smaller random defects from not only flat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8"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39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59397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340"/>
        <w:spacing w:after="0" w:line="287" w:lineRule="auto"/>
        <w:rPr>
          <w:sz w:val="20"/>
          <w:szCs w:val="20"/>
          <w:color w:val="auto"/>
        </w:rPr>
      </w:pPr>
      <w:r>
        <w:rPr>
          <w:rFonts w:ascii="Arial" w:cs="Arial" w:eastAsia="Arial" w:hAnsi="Arial"/>
          <w:sz w:val="17"/>
          <w:szCs w:val="17"/>
          <w:color w:val="auto"/>
        </w:rPr>
        <w:t>wafer surfaces but also progressively more intricate, finer-featured 3D chip structures, in each case without incurring damage or material loss that curtails yield and profits.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Product Offerings</w:t>
      </w:r>
    </w:p>
    <w:p>
      <w:pPr>
        <w:spacing w:after="0" w:line="117" w:lineRule="exact"/>
        <w:rPr>
          <w:sz w:val="20"/>
          <w:szCs w:val="20"/>
          <w:color w:val="auto"/>
        </w:rPr>
      </w:pPr>
    </w:p>
    <w:p>
      <w:pPr>
        <w:ind w:left="200" w:right="80" w:firstLine="442"/>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effectively than traditional jet spray and transient megasonic technologies.</w:t>
      </w:r>
    </w:p>
    <w:p>
      <w:pPr>
        <w:spacing w:after="0" w:line="170" w:lineRule="exact"/>
        <w:rPr>
          <w:sz w:val="20"/>
          <w:szCs w:val="20"/>
          <w:color w:val="auto"/>
        </w:rPr>
      </w:pPr>
    </w:p>
    <w:p>
      <w:pPr>
        <w:ind w:left="200" w:right="300" w:firstLine="442"/>
        <w:spacing w:after="0" w:line="263" w:lineRule="auto"/>
        <w:rPr>
          <w:sz w:val="20"/>
          <w:szCs w:val="20"/>
          <w:color w:val="auto"/>
        </w:rPr>
      </w:pPr>
      <w:r>
        <w:rPr>
          <w:rFonts w:ascii="Arial" w:cs="Arial" w:eastAsia="Arial" w:hAnsi="Arial"/>
          <w:sz w:val="17"/>
          <w:szCs w:val="17"/>
          <w:b w:val="1"/>
          <w:bCs w:val="1"/>
          <w:i w:val="1"/>
          <w:iCs w:val="1"/>
          <w:color w:val="auto"/>
        </w:rPr>
        <w:t>Flat and patterned wafer surfaces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SAPS technology, which we introduced in 2009, employs alternating phases of megasonic waves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81" w:lineRule="exact"/>
        <w:rPr>
          <w:sz w:val="20"/>
          <w:szCs w:val="20"/>
          <w:color w:val="auto"/>
        </w:rPr>
      </w:pPr>
    </w:p>
    <w:p>
      <w:pPr>
        <w:ind w:left="200" w:firstLine="442"/>
        <w:spacing w:after="0" w:line="278" w:lineRule="auto"/>
        <w:rPr>
          <w:sz w:val="20"/>
          <w:szCs w:val="20"/>
          <w:color w:val="auto"/>
        </w:rPr>
      </w:pPr>
      <w:r>
        <w:rPr>
          <w:rFonts w:ascii="Arial" w:cs="Arial" w:eastAsia="Arial" w:hAnsi="Arial"/>
          <w:sz w:val="16"/>
          <w:szCs w:val="16"/>
          <w:b w:val="1"/>
          <w:bCs w:val="1"/>
          <w:i w:val="1"/>
          <w:iCs w:val="1"/>
          <w:color w:val="auto"/>
        </w:rPr>
        <w:t xml:space="preserve">High-aspect ratio conventional 2D and advanced 3D patterned wafer surfaces. </w:t>
      </w:r>
      <w:r>
        <w:rPr>
          <w:rFonts w:ascii="Arial" w:cs="Arial" w:eastAsia="Arial" w:hAnsi="Arial"/>
          <w:sz w:val="16"/>
          <w:szCs w:val="16"/>
          <w:color w:val="auto"/>
        </w:rPr>
        <w:t>Our TEBO technology, which we introduced in March 2016,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having aspect ratios as high as 60-to-1. We believe TEBO technology can be applied for even smaller process nodes. TEBO tools are currently being evaluated by a selected group of leading memory and logic chip manufacturers.</w:t>
      </w:r>
    </w:p>
    <w:p>
      <w:pPr>
        <w:spacing w:after="0" w:line="172"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b w:val="1"/>
          <w:bCs w:val="1"/>
          <w:i w:val="1"/>
          <w:iCs w:val="1"/>
          <w:color w:val="auto"/>
        </w:rPr>
        <w:t xml:space="preserve">Custom-made wafer assembly and packaging solutions. </w:t>
      </w:r>
      <w:r>
        <w:rPr>
          <w:rFonts w:ascii="Arial" w:cs="Arial" w:eastAsia="Arial" w:hAnsi="Arial"/>
          <w:sz w:val="17"/>
          <w:szCs w:val="17"/>
          <w:color w:val="auto"/>
        </w:rPr>
        <w:t>In addition to our product offerings for single-wafer cleaning, we leverage our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expertise to provide a wide range of advanced packaging equipment, such as coaters, developers, photoresist strippers, scrubbers, wet etchers and copper-plating tools, to wafer assembly and packaging factories, particularly in the PRC. For these offerings, we focus on providing customized equipment with competitive performance, service and pricing.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Strategy</w:t>
      </w:r>
    </w:p>
    <w:p>
      <w:pPr>
        <w:spacing w:after="0" w:line="117" w:lineRule="exact"/>
        <w:rPr>
          <w:sz w:val="20"/>
          <w:szCs w:val="20"/>
          <w:color w:val="auto"/>
        </w:rPr>
      </w:pPr>
    </w:p>
    <w:p>
      <w:pPr>
        <w:ind w:left="200" w:right="400" w:firstLine="442"/>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left="200" w:firstLine="442"/>
        <w:spacing w:after="0" w:line="357" w:lineRule="auto"/>
        <w:rPr>
          <w:sz w:val="20"/>
          <w:szCs w:val="20"/>
          <w:color w:val="auto"/>
        </w:rPr>
      </w:pPr>
      <w:r>
        <w:rPr>
          <w:rFonts w:ascii="Arial" w:cs="Arial" w:eastAsia="Arial" w:hAnsi="Arial"/>
          <w:sz w:val="15"/>
          <w:szCs w:val="15"/>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differentiated SAPS and TEBO technologies and equipment to address cleaning challenges presented by the manufacture of increasingly advanced chip nodes.</w:t>
      </w:r>
    </w:p>
    <w:p>
      <w:pPr>
        <w:spacing w:after="0" w:line="113" w:lineRule="exact"/>
        <w:rPr>
          <w:sz w:val="20"/>
          <w:szCs w:val="20"/>
          <w:color w:val="auto"/>
        </w:rPr>
      </w:pPr>
    </w:p>
    <w:p>
      <w:pPr>
        <w:ind w:left="200" w:right="100" w:firstLine="442"/>
        <w:spacing w:after="0" w:line="271" w:lineRule="auto"/>
        <w:rPr>
          <w:sz w:val="20"/>
          <w:szCs w:val="20"/>
          <w:color w:val="auto"/>
        </w:rPr>
      </w:pPr>
      <w:r>
        <w:rPr>
          <w:rFonts w:ascii="Arial" w:cs="Arial" w:eastAsia="Arial" w:hAnsi="Arial"/>
          <w:sz w:val="17"/>
          <w:szCs w:val="17"/>
          <w:i w:val="1"/>
          <w:iCs w:val="1"/>
          <w:color w:val="auto"/>
        </w:rPr>
        <w:t>Establish referenceable customer base</w:t>
      </w:r>
      <w:r>
        <w:rPr>
          <w:rFonts w:ascii="Arial" w:cs="Arial" w:eastAsia="Arial" w:hAnsi="Arial"/>
          <w:sz w:val="17"/>
          <w:szCs w:val="17"/>
          <w:color w:val="auto"/>
        </w:rPr>
        <w:t>. In commercializing our SAPS equipment, we placed evaluation equipment with selected customers,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purchased additional SAPS equipment to enable them to add more cleaning steps during their manufacturing processes. Using a similar “demo-to-sales” process, we have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48" w:right="4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91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56915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120"/>
        <w:spacing w:after="0" w:line="266" w:lineRule="auto"/>
        <w:rPr>
          <w:sz w:val="20"/>
          <w:szCs w:val="20"/>
          <w:color w:val="auto"/>
        </w:rPr>
      </w:pPr>
      <w:r>
        <w:rPr>
          <w:rFonts w:ascii="Arial" w:cs="Arial" w:eastAsia="Arial" w:hAnsi="Arial"/>
          <w:sz w:val="17"/>
          <w:szCs w:val="17"/>
          <w:color w:val="auto"/>
        </w:rPr>
        <w:t>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176" w:lineRule="exact"/>
        <w:rPr>
          <w:sz w:val="20"/>
          <w:szCs w:val="20"/>
          <w:color w:val="auto"/>
        </w:rPr>
      </w:pPr>
    </w:p>
    <w:p>
      <w:pPr>
        <w:ind w:left="200" w:right="120" w:firstLine="442"/>
        <w:spacing w:after="0" w:line="263" w:lineRule="auto"/>
        <w:rPr>
          <w:sz w:val="20"/>
          <w:szCs w:val="20"/>
          <w:color w:val="auto"/>
        </w:rPr>
      </w:pPr>
      <w:r>
        <w:rPr>
          <w:rFonts w:ascii="Arial" w:cs="Arial" w:eastAsia="Arial" w:hAnsi="Arial"/>
          <w:sz w:val="17"/>
          <w:szCs w:val="17"/>
          <w:i w:val="1"/>
          <w:iCs w:val="1"/>
          <w:color w:val="auto"/>
        </w:rPr>
        <w:t>Leverage local presence to address growing Chinese market</w:t>
      </w:r>
      <w:r>
        <w:rPr>
          <w:rFonts w:ascii="Arial" w:cs="Arial" w:eastAsia="Arial" w:hAnsi="Arial"/>
          <w:sz w:val="17"/>
          <w:szCs w:val="17"/>
          <w:color w:val="auto"/>
        </w:rPr>
        <w:t>. The market for semiconductor manufacturing equipment in the PRC is expected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markedly in the 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80" w:lineRule="exact"/>
        <w:rPr>
          <w:sz w:val="20"/>
          <w:szCs w:val="20"/>
          <w:color w:val="auto"/>
        </w:rPr>
      </w:pPr>
    </w:p>
    <w:p>
      <w:pPr>
        <w:ind w:left="200" w:right="120" w:firstLine="442"/>
        <w:spacing w:after="0" w:line="266" w:lineRule="auto"/>
        <w:rPr>
          <w:sz w:val="20"/>
          <w:szCs w:val="20"/>
          <w:color w:val="auto"/>
        </w:rPr>
      </w:pPr>
      <w:r>
        <w:rPr>
          <w:rFonts w:ascii="Arial" w:cs="Arial" w:eastAsia="Arial" w:hAnsi="Arial"/>
          <w:sz w:val="17"/>
          <w:szCs w:val="17"/>
          <w:i w:val="1"/>
          <w:iCs w:val="1"/>
          <w:color w:val="auto"/>
        </w:rPr>
        <w:t xml:space="preserve">Continue to improve performance through operational excellence. </w:t>
      </w:r>
      <w:r>
        <w:rPr>
          <w:rFonts w:ascii="Arial" w:cs="Arial" w:eastAsia="Arial" w:hAnsi="Arial"/>
          <w:sz w:val="17"/>
          <w:szCs w:val="17"/>
          <w:color w:val="auto"/>
        </w:rPr>
        <w:t>We actively manage our business through principles of operational excellence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76" w:lineRule="exact"/>
        <w:rPr>
          <w:sz w:val="20"/>
          <w:szCs w:val="20"/>
          <w:color w:val="auto"/>
        </w:rPr>
      </w:pPr>
    </w:p>
    <w:p>
      <w:pPr>
        <w:ind w:left="200" w:right="120" w:firstLine="442"/>
        <w:spacing w:after="0" w:line="271" w:lineRule="auto"/>
        <w:rPr>
          <w:sz w:val="20"/>
          <w:szCs w:val="20"/>
          <w:color w:val="auto"/>
        </w:rPr>
      </w:pPr>
      <w:r>
        <w:rPr>
          <w:rFonts w:ascii="Arial" w:cs="Arial" w:eastAsia="Arial" w:hAnsi="Arial"/>
          <w:sz w:val="17"/>
          <w:szCs w:val="17"/>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products or business relationships that will expand the functionality of our products, provide access to new markets or customers, or otherwise complement our existing operations.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left="200" w:right="160" w:firstLine="442"/>
        <w:spacing w:after="0" w:line="357" w:lineRule="auto"/>
        <w:rPr>
          <w:sz w:val="20"/>
          <w:szCs w:val="20"/>
          <w:color w:val="auto"/>
        </w:rPr>
      </w:pPr>
      <w:r>
        <w:rPr>
          <w:rFonts w:ascii="Arial" w:cs="Arial" w:eastAsia="Arial" w:hAnsi="Arial"/>
          <w:sz w:val="15"/>
          <w:szCs w:val="15"/>
          <w:color w:val="auto"/>
        </w:rPr>
        <w:t>In 2006 we established our operational center in Shanghai in the PRC, where we operate through our subsidiary ACM Shanghai. Until recently ACM Research owned 62.87% of the outstanding equity interests in ACM Shanghai and three PRC-based third-party investors held the remaining 37.13%.</w:t>
      </w:r>
    </w:p>
    <w:p>
      <w:pPr>
        <w:spacing w:after="0" w:line="21" w:lineRule="exact"/>
        <w:rPr>
          <w:sz w:val="20"/>
          <w:szCs w:val="20"/>
          <w:color w:val="auto"/>
        </w:rPr>
      </w:pPr>
    </w:p>
    <w:p>
      <w:pPr>
        <w:ind w:left="1060" w:right="100" w:hanging="320"/>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 as of August 31, 2017, ACM Research acquired, for a purchase price of $5.8 million, an additional 18.77% of ACM Shanghai’s equity interests from one of the minority investors and issued, for a purchase price of $5.8 million, capital stock that, upon the closing of this offering, will convert into 1,666,170 shares of Class A common stock.</w:t>
      </w:r>
    </w:p>
    <w:p>
      <w:pPr>
        <w:spacing w:after="0" w:line="80" w:lineRule="exact"/>
        <w:rPr>
          <w:rFonts w:ascii="Arial" w:cs="Arial" w:eastAsia="Arial" w:hAnsi="Arial"/>
          <w:sz w:val="17"/>
          <w:szCs w:val="17"/>
          <w:color w:val="auto"/>
        </w:rPr>
      </w:pPr>
    </w:p>
    <w:p>
      <w:pPr>
        <w:ind w:left="1060" w:hanging="320"/>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agreements entered into as of August 31, 2017, ACM Research issued to the other two minority investors a total of 1,906,674 shares of Class A common stock on September 8, 2017 for a purchase price of $14.3 million and will acquire the remaining 18.36% of ACM Shanghai’s minority equity interests in the fourth quarter of 2017 for a purchase price of $14.3 million.</w:t>
      </w:r>
    </w:p>
    <w:p>
      <w:pPr>
        <w:spacing w:after="0" w:line="172" w:lineRule="exact"/>
        <w:rPr>
          <w:sz w:val="20"/>
          <w:szCs w:val="20"/>
          <w:color w:val="auto"/>
        </w:rPr>
      </w:pPr>
    </w:p>
    <w:p>
      <w:pPr>
        <w:ind w:left="200" w:right="320"/>
        <w:spacing w:after="0" w:line="287" w:lineRule="auto"/>
        <w:rPr>
          <w:sz w:val="20"/>
          <w:szCs w:val="20"/>
          <w:color w:val="auto"/>
        </w:rPr>
      </w:pPr>
      <w:r>
        <w:rPr>
          <w:rFonts w:ascii="Arial" w:cs="Arial" w:eastAsia="Arial" w:hAnsi="Arial"/>
          <w:sz w:val="17"/>
          <w:szCs w:val="17"/>
          <w:color w:val="auto"/>
        </w:rPr>
        <w:t>As a result of these arrangements, ACM Research owned 81.64% of ACM Shanghai’s equity interests as of August 31, 2017 and will own 100% of those equity interests by no later than December 31, 2017.</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17" w:lineRule="exact"/>
        <w:rPr>
          <w:sz w:val="20"/>
          <w:szCs w:val="20"/>
          <w:color w:val="auto"/>
        </w:rPr>
      </w:pPr>
    </w:p>
    <w:p>
      <w:pPr>
        <w:jc w:val="both"/>
        <w:ind w:left="200" w:right="280" w:firstLine="442"/>
        <w:spacing w:after="0" w:line="271" w:lineRule="auto"/>
        <w:rPr>
          <w:sz w:val="20"/>
          <w:szCs w:val="20"/>
          <w:color w:val="auto"/>
        </w:rPr>
      </w:pPr>
      <w:r>
        <w:rPr>
          <w:rFonts w:ascii="Arial" w:cs="Arial" w:eastAsia="Arial" w:hAnsi="Arial"/>
          <w:sz w:val="17"/>
          <w:szCs w:val="17"/>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12. Before making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448" w:right="4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459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54597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decision to invest in Class A common stock, you should carefully consider all of those risks, including the following:</w:t>
      </w:r>
    </w:p>
    <w:p>
      <w:pPr>
        <w:spacing w:after="0" w:line="130" w:lineRule="exact"/>
        <w:rPr>
          <w:sz w:val="20"/>
          <w:szCs w:val="20"/>
          <w:color w:val="auto"/>
        </w:rPr>
      </w:pPr>
    </w:p>
    <w:p>
      <w:pPr>
        <w:ind w:left="1060" w:right="76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generated limited revenue to date, and we may not be able to maintain profitability.</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for our tools is subject to substantial variation due to the cyclic nature of the chip industry.</w:t>
      </w:r>
    </w:p>
    <w:p>
      <w:pPr>
        <w:spacing w:after="0" w:line="130" w:lineRule="exact"/>
        <w:rPr>
          <w:rFonts w:ascii="Arial" w:cs="Arial" w:eastAsia="Arial" w:hAnsi="Arial"/>
          <w:sz w:val="17"/>
          <w:szCs w:val="17"/>
          <w:color w:val="auto"/>
        </w:rPr>
      </w:pPr>
    </w:p>
    <w:p>
      <w:pPr>
        <w:ind w:left="1060" w:right="220" w:hanging="438"/>
        <w:spacing w:after="0" w:line="27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 success of our tools requires that we demonstrate the differentiated, innovative nature of our technology to gain acceptance by leading chip manufacturers and then leverage our reputation to gain market acceptance by additional manufacturers, which may have existing relationships with our competitors.</w:t>
      </w:r>
    </w:p>
    <w:p>
      <w:pPr>
        <w:spacing w:after="0" w:line="80" w:lineRule="exact"/>
        <w:rPr>
          <w:rFonts w:ascii="Arial" w:cs="Arial" w:eastAsia="Arial" w:hAnsi="Arial"/>
          <w:sz w:val="17"/>
          <w:szCs w:val="17"/>
          <w:color w:val="auto"/>
        </w:rPr>
      </w:pPr>
    </w:p>
    <w:p>
      <w:pPr>
        <w:ind w:left="1060" w:right="120" w:hanging="438"/>
        <w:spacing w:after="0" w:line="320"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43" w:lineRule="exact"/>
        <w:rPr>
          <w:rFonts w:ascii="Arial" w:cs="Arial" w:eastAsia="Arial" w:hAnsi="Arial"/>
          <w:sz w:val="16"/>
          <w:szCs w:val="16"/>
          <w:color w:val="auto"/>
        </w:rPr>
      </w:pPr>
    </w:p>
    <w:p>
      <w:pPr>
        <w:ind w:left="1060" w:right="36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a small number of customers for a significant percentage of our revenue and the number of potential customers for our tools is limited, so the loss of a major customer could harm our financial condition.</w:t>
      </w:r>
    </w:p>
    <w:p>
      <w:pPr>
        <w:spacing w:after="0" w:line="66" w:lineRule="exact"/>
        <w:rPr>
          <w:rFonts w:ascii="Arial" w:cs="Arial" w:eastAsia="Arial" w:hAnsi="Arial"/>
          <w:sz w:val="17"/>
          <w:szCs w:val="17"/>
          <w:color w:val="auto"/>
        </w:rPr>
      </w:pPr>
    </w:p>
    <w:p>
      <w:pPr>
        <w:ind w:left="1060" w:right="34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protect the intellectual property of our SAPS and TEBO technologies and to combat infringement from competitors who may try to replicate our technologies.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Preliminary Operating Results for the Nine Months Ended September 30, 2017</w:t>
      </w:r>
    </w:p>
    <w:p>
      <w:pPr>
        <w:spacing w:after="0" w:line="117"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color w:val="auto"/>
        </w:rPr>
        <w:t>Our consolidated financial statements for the nine months ended September 30, 2017 are not yet available. The following expectations regarding our results for this period are solely management estimates based on currently available information. Our independent registered public accounting firm has not audited, reviewed or performed any procedures with respect to this preliminary financial data and, accordingly, does not express an opinion or any other form of assurance with respect to this data.</w:t>
      </w:r>
    </w:p>
    <w:p>
      <w:pPr>
        <w:spacing w:after="0" w:line="176" w:lineRule="exact"/>
        <w:rPr>
          <w:sz w:val="20"/>
          <w:szCs w:val="20"/>
          <w:color w:val="auto"/>
        </w:rPr>
      </w:pPr>
    </w:p>
    <w:p>
      <w:pPr>
        <w:jc w:val="both"/>
        <w:ind w:left="200" w:firstLine="442"/>
        <w:spacing w:after="0" w:line="271" w:lineRule="auto"/>
        <w:rPr>
          <w:sz w:val="20"/>
          <w:szCs w:val="20"/>
          <w:color w:val="auto"/>
        </w:rPr>
      </w:pPr>
      <w:r>
        <w:rPr>
          <w:rFonts w:ascii="Arial" w:cs="Arial" w:eastAsia="Arial" w:hAnsi="Arial"/>
          <w:sz w:val="17"/>
          <w:szCs w:val="17"/>
          <w:color w:val="auto"/>
        </w:rPr>
        <w:t>We expect our revenue for the nine months ended September 30, 2017 to be between $19.0 million and $19.5 million, compared to $12.9 million for the nine months ended September 30, 2016, representing an increase of 47% to 51%. The expected increase in revenue of $6.1 million to $6.6 million in the nine months ended September 30, 2017 principally reflects increased sales of single-wafer cleaning equipment.</w:t>
      </w:r>
    </w:p>
    <w:p>
      <w:pPr>
        <w:spacing w:after="0" w:line="172" w:lineRule="exact"/>
        <w:rPr>
          <w:sz w:val="20"/>
          <w:szCs w:val="20"/>
          <w:color w:val="auto"/>
        </w:rPr>
      </w:pPr>
    </w:p>
    <w:p>
      <w:pPr>
        <w:jc w:val="both"/>
        <w:ind w:left="200" w:right="240" w:firstLine="442"/>
        <w:spacing w:after="0" w:line="323" w:lineRule="auto"/>
        <w:rPr>
          <w:sz w:val="20"/>
          <w:szCs w:val="20"/>
          <w:color w:val="auto"/>
        </w:rPr>
      </w:pPr>
      <w:r>
        <w:rPr>
          <w:rFonts w:ascii="Arial" w:cs="Arial" w:eastAsia="Arial" w:hAnsi="Arial"/>
          <w:sz w:val="15"/>
          <w:szCs w:val="15"/>
          <w:color w:val="auto"/>
        </w:rPr>
        <w:t>We expect our gross margin for the nine months ended September 30, 2017 to be 40% to 41%, compared to 40.6% for the six months ended June 30, 2017 and 43.7% for the nine months ended September 30, 2016. The decrease in gross margin from the nine months ended September 30, 2016 to the nine months ended September 30, 2017 resulted from sales of relatively higher-margin single-wafer cleaning equipment in the third quarter of 2016.</w:t>
      </w:r>
    </w:p>
    <w:p>
      <w:pPr>
        <w:spacing w:after="0" w:line="138" w:lineRule="exact"/>
        <w:rPr>
          <w:sz w:val="20"/>
          <w:szCs w:val="20"/>
          <w:color w:val="auto"/>
        </w:rPr>
      </w:pPr>
    </w:p>
    <w:p>
      <w:pPr>
        <w:ind w:left="200" w:right="20" w:firstLine="442"/>
        <w:spacing w:after="0" w:line="296" w:lineRule="auto"/>
        <w:rPr>
          <w:sz w:val="20"/>
          <w:szCs w:val="20"/>
          <w:color w:val="auto"/>
        </w:rPr>
      </w:pPr>
      <w:r>
        <w:rPr>
          <w:rFonts w:ascii="Arial" w:cs="Arial" w:eastAsia="Arial" w:hAnsi="Arial"/>
          <w:sz w:val="16"/>
          <w:szCs w:val="16"/>
          <w:color w:val="auto"/>
        </w:rPr>
        <w:t>We expect our total operating expenses for the nine months ended September 30, 2017 to be between $11.0 million and $12.0 million, compared to $6.4 million for the nine months ended September 30, 2016. The expected increase in total operating expenses reflects increases in employee salaries, sales services, research and development parts, stock-based compensation expense, and preparations to become a public company.</w:t>
      </w:r>
    </w:p>
    <w:p>
      <w:pPr>
        <w:spacing w:after="0" w:line="154" w:lineRule="exact"/>
        <w:rPr>
          <w:sz w:val="20"/>
          <w:szCs w:val="20"/>
          <w:color w:val="auto"/>
        </w:rPr>
      </w:pPr>
    </w:p>
    <w:p>
      <w:pPr>
        <w:ind w:left="200" w:right="460" w:firstLine="442"/>
        <w:spacing w:after="0" w:line="287" w:lineRule="auto"/>
        <w:rPr>
          <w:sz w:val="20"/>
          <w:szCs w:val="20"/>
          <w:color w:val="auto"/>
        </w:rPr>
      </w:pPr>
      <w:r>
        <w:rPr>
          <w:rFonts w:ascii="Arial" w:cs="Arial" w:eastAsia="Arial" w:hAnsi="Arial"/>
          <w:sz w:val="17"/>
          <w:szCs w:val="17"/>
          <w:color w:val="auto"/>
        </w:rPr>
        <w:t>We estimate that we incurred a loss before income taxes of between $4.0 million and $5.0 million for the nine months ended September 30, 2017, compared to a loss before income taxes of $0.4 million for the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48"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4052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40525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17" w:lineRule="exact"/>
        <w:rPr>
          <w:sz w:val="20"/>
          <w:szCs w:val="20"/>
          <w:color w:val="auto"/>
        </w:rPr>
      </w:pPr>
    </w:p>
    <w:p>
      <w:pPr>
        <w:ind w:left="200" w:right="420" w:firstLine="442"/>
        <w:spacing w:after="0" w:line="266" w:lineRule="auto"/>
        <w:rPr>
          <w:sz w:val="20"/>
          <w:szCs w:val="20"/>
          <w:color w:val="auto"/>
        </w:rPr>
      </w:pPr>
      <w:r>
        <w:rPr>
          <w:rFonts w:ascii="Arial" w:cs="Arial" w:eastAsia="Arial" w:hAnsi="Arial"/>
          <w:sz w:val="17"/>
          <w:szCs w:val="17"/>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7"/>
          <w:szCs w:val="17"/>
          <w:i w:val="1"/>
          <w:iCs w:val="1"/>
          <w:color w:val="auto"/>
        </w:rPr>
        <w:t>www.acmrcsh.com</w:t>
      </w:r>
      <w:r>
        <w:rPr>
          <w:rFonts w:ascii="Arial" w:cs="Arial" w:eastAsia="Arial" w:hAnsi="Arial"/>
          <w:sz w:val="17"/>
          <w:szCs w:val="17"/>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Implications of Being an Emerging Growth Company</w:t>
      </w:r>
    </w:p>
    <w:p>
      <w:pPr>
        <w:spacing w:after="0" w:line="117" w:lineRule="exact"/>
        <w:rPr>
          <w:sz w:val="20"/>
          <w:szCs w:val="20"/>
          <w:color w:val="auto"/>
        </w:rPr>
      </w:pPr>
    </w:p>
    <w:p>
      <w:pPr>
        <w:ind w:left="200" w:right="280" w:firstLine="442"/>
        <w:spacing w:after="0" w:line="271"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1" w:lineRule="exact"/>
        <w:rPr>
          <w:sz w:val="20"/>
          <w:szCs w:val="20"/>
          <w:color w:val="auto"/>
        </w:rPr>
      </w:pPr>
    </w:p>
    <w:p>
      <w:pPr>
        <w:ind w:left="1060" w:right="66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present only two years of audited financial statements and related disclosure under “Management’s Discussion and Analysis of Financial Condition and Results of Operations”;</w:t>
      </w:r>
    </w:p>
    <w:p>
      <w:pPr>
        <w:spacing w:after="0" w:line="66" w:lineRule="exact"/>
        <w:rPr>
          <w:rFonts w:ascii="Arial" w:cs="Arial" w:eastAsia="Arial" w:hAnsi="Arial"/>
          <w:sz w:val="17"/>
          <w:szCs w:val="17"/>
          <w:color w:val="auto"/>
        </w:rPr>
      </w:pPr>
    </w:p>
    <w:p>
      <w:pPr>
        <w:ind w:left="1060" w:right="6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obtain from its auditors an attestation and report on the assessment of internal control over financial reporting pursuant to the Sarbanes-Oxley Act;</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provide less extensive disclosure about its executive compensation arrangements;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present to its stockholders non-binding advisory votes on executive compensation and golden parachute arrangements.</w:t>
      </w:r>
    </w:p>
    <w:p>
      <w:pPr>
        <w:spacing w:after="0" w:line="222" w:lineRule="exact"/>
        <w:rPr>
          <w:sz w:val="20"/>
          <w:szCs w:val="20"/>
          <w:color w:val="auto"/>
        </w:rPr>
      </w:pPr>
    </w:p>
    <w:p>
      <w:pPr>
        <w:ind w:left="200" w:firstLine="442"/>
        <w:spacing w:after="0" w:line="280" w:lineRule="auto"/>
        <w:rPr>
          <w:sz w:val="20"/>
          <w:szCs w:val="20"/>
          <w:color w:val="auto"/>
        </w:rPr>
      </w:pPr>
      <w:r>
        <w:rPr>
          <w:rFonts w:ascii="Arial" w:cs="Arial" w:eastAsia="Arial" w:hAnsi="Arial"/>
          <w:sz w:val="16"/>
          <w:szCs w:val="16"/>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240" w:top="448" w:right="4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55510" cy="5674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5674995"/>
                    </a:xfrm>
                    <a:prstGeom prst="rect">
                      <a:avLst/>
                    </a:prstGeom>
                    <a:noFill/>
                  </pic:spPr>
                </pic:pic>
              </a:graphicData>
            </a:graphic>
          </wp:anchor>
        </w:drawing>
      </w:r>
    </w:p>
    <w:p>
      <w:pPr>
        <w:sectPr>
          <w:pgSz w:w="11900" w:h="16838" w:orient="portrait"/>
          <w:cols w:equalWidth="0" w:num="1">
            <w:col w:w="11220"/>
          </w:cols>
          <w:pgMar w:left="240" w:top="448"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Offering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offered by us</w:t>
      </w:r>
    </w:p>
    <w:p>
      <w:pPr>
        <w:spacing w:after="0" w:line="261" w:lineRule="exact"/>
        <w:rPr>
          <w:sz w:val="20"/>
          <w:szCs w:val="20"/>
          <w:color w:val="auto"/>
        </w:rPr>
      </w:pPr>
    </w:p>
    <w:p>
      <w:pPr>
        <w:ind w:left="300" w:right="120" w:hanging="103"/>
        <w:spacing w:after="0" w:line="287" w:lineRule="auto"/>
        <w:rPr>
          <w:sz w:val="20"/>
          <w:szCs w:val="20"/>
          <w:color w:val="auto"/>
        </w:rPr>
      </w:pPr>
      <w:r>
        <w:rPr>
          <w:rFonts w:ascii="Arial" w:cs="Arial" w:eastAsia="Arial" w:hAnsi="Arial"/>
          <w:sz w:val="17"/>
          <w:szCs w:val="17"/>
          <w:color w:val="auto"/>
        </w:rPr>
        <w:t>Class A common stock to be outstanding after this offering and the concurrent private placement</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B common stock outstanding</w:t>
      </w:r>
    </w:p>
    <w:p>
      <w:pPr>
        <w:spacing w:after="0" w:line="261" w:lineRule="exact"/>
        <w:rPr>
          <w:sz w:val="20"/>
          <w:szCs w:val="20"/>
          <w:color w:val="auto"/>
        </w:rPr>
      </w:pPr>
    </w:p>
    <w:p>
      <w:pPr>
        <w:ind w:left="300" w:hanging="103"/>
        <w:spacing w:after="0" w:line="287" w:lineRule="auto"/>
        <w:rPr>
          <w:sz w:val="20"/>
          <w:szCs w:val="20"/>
          <w:color w:val="auto"/>
        </w:rPr>
      </w:pPr>
      <w:r>
        <w:rPr>
          <w:rFonts w:ascii="Arial" w:cs="Arial" w:eastAsia="Arial" w:hAnsi="Arial"/>
          <w:sz w:val="17"/>
          <w:szCs w:val="17"/>
          <w:color w:val="auto"/>
        </w:rPr>
        <w:t>Total Class A and Class B common stock to be outstanding after this offering and the concurrent private placement</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Over-allotment option of Class A common stock</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2,000,000 shares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12,702,546 shares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2,409,738 shares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15,112,184 shares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300,000 shares</w:t>
      </w:r>
    </w:p>
    <w:p>
      <w:pPr>
        <w:spacing w:after="0" w:line="26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have entered into agreements pursuant to which we expect to issue and sell, in a concurrent private placement, 833,334 shares of Class A common stock to Xinxin (Hongkong) Capital Co., Limited, a subsidiary of China IC Industry Investment Fund, and 500,000 shares of Class A common stock to Victorious Way Limited, a subsidiary of China Everbright Limited. These shares would be sold at the initial public offering price for the offering made hereby, except that:</w:t>
      </w:r>
    </w:p>
    <w:p>
      <w:pPr>
        <w:spacing w:after="0" w:line="7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neither investor will be required to pay more than $10.50 per share; and</w:t>
      </w:r>
    </w:p>
    <w:p>
      <w:pPr>
        <w:spacing w:after="0" w:line="130" w:lineRule="exact"/>
        <w:rPr>
          <w:rFonts w:ascii="Arial" w:cs="Arial" w:eastAsia="Arial" w:hAnsi="Arial"/>
          <w:sz w:val="17"/>
          <w:szCs w:val="17"/>
          <w:color w:val="auto"/>
        </w:rPr>
      </w:pPr>
    </w:p>
    <w:p>
      <w:pPr>
        <w:ind w:left="320" w:right="380" w:hanging="315"/>
        <w:spacing w:after="0" w:line="323" w:lineRule="auto"/>
        <w:tabs>
          <w:tab w:leader="none" w:pos="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the initial public offering price is less than $8.40, Xinxin (Hongkong) Capital Co., Limited may elect not to purchase any shares, in which case Victorious Way Limited also could elect not to purchase any shares.</w:t>
      </w:r>
    </w:p>
    <w:p>
      <w:pPr>
        <w:spacing w:after="0" w:line="37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private placement investors have agreed with us not to, directly or indirectly, sell, transfer or dispose of any shares of Class A common stock acquired in the private placement for a period of 180 days after the closing of the private placement.</w:t>
      </w:r>
    </w:p>
    <w:p>
      <w:pPr>
        <w:spacing w:after="0" w:line="20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Xinxin (Hongkong) Capital Co., Limited will have the right to designate one individual for nomination to our board of directors, and holders who will have 51.2% of the voting power of common stock immediately after this offering have agreed to vote their shares for the election of the nominee.</w:t>
      </w:r>
    </w:p>
    <w:p>
      <w:pPr>
        <w:spacing w:after="0" w:line="202"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We estimate we will receive net proceeds from this offering and the concurrent private placement of $24.4 million, assuming an initial public offering price of</w:t>
      </w:r>
    </w:p>
    <w:p>
      <w:pPr>
        <w:spacing w:after="0" w:line="200" w:lineRule="exact"/>
        <w:rPr>
          <w:sz w:val="20"/>
          <w:szCs w:val="20"/>
          <w:color w:val="auto"/>
        </w:rPr>
      </w:pPr>
    </w:p>
    <w:p>
      <w:pPr>
        <w:sectPr>
          <w:pgSz w:w="11900" w:h="16838" w:orient="portrait"/>
          <w:cols w:equalWidth="0" w:num="2">
            <w:col w:w="4960" w:space="520"/>
            <w:col w:w="5740"/>
          </w:cols>
          <w:pgMar w:left="240" w:top="448" w:right="4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240" w:top="448" w:right="4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6262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62623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480"/>
        <w:spacing w:after="0" w:line="263" w:lineRule="auto"/>
        <w:rPr>
          <w:sz w:val="20"/>
          <w:szCs w:val="20"/>
          <w:color w:val="auto"/>
        </w:rPr>
      </w:pPr>
      <w:r>
        <w:rPr>
          <w:rFonts w:ascii="Arial" w:cs="Arial" w:eastAsia="Arial" w:hAnsi="Arial"/>
          <w:sz w:val="17"/>
          <w:szCs w:val="17"/>
          <w:color w:val="auto"/>
        </w:rPr>
        <w:t>$8.50 per share, the midpoint of the initial offering price range set forth on the cover page of this prospectus, and after deducting estimated underwriting discounts and commissions, private placement fees, and offering expenses. If the underwriters’ option to purchase additional shares is exercised in full, we estimate our net proceeds will be $26.8 million.</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We intend to use our net proceeds from this offering and the concurrent private</w:t>
      </w:r>
    </w:p>
    <w:p>
      <w:pPr>
        <w:spacing w:after="0" w:line="3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placement for working capital and other general corporate purposes, which may</w:t>
      </w:r>
    </w:p>
    <w:p>
      <w:pPr>
        <w:spacing w:after="0" w:line="2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include financing our growth, developing new products, and acquiring</w:t>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complementary businesses, technologies and products. See “Use of Proceeds.”</w:t>
      </w:r>
    </w:p>
    <w:p>
      <w:pPr>
        <w:sectPr>
          <w:pgSz w:w="11900" w:h="16838" w:orient="portrait"/>
          <w:cols w:equalWidth="0" w:num="1">
            <w:col w:w="11200"/>
          </w:cols>
          <w:pgMar w:left="240" w:top="448" w:right="459" w:bottom="1440" w:gutter="0" w:footer="0" w:header="0"/>
        </w:sect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Proposed NASDAQ symbol</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ACMR</w:t>
      </w:r>
    </w:p>
    <w:p>
      <w:pPr>
        <w:spacing w:after="0" w:line="200" w:lineRule="exact"/>
        <w:rPr>
          <w:sz w:val="20"/>
          <w:szCs w:val="20"/>
          <w:color w:val="auto"/>
        </w:rPr>
      </w:pPr>
    </w:p>
    <w:p>
      <w:pPr>
        <w:sectPr>
          <w:pgSz w:w="11900" w:h="16838" w:orient="portrait"/>
          <w:cols w:equalWidth="0" w:num="2">
            <w:col w:w="4760" w:space="720"/>
            <w:col w:w="5720"/>
          </w:cols>
          <w:pgMar w:left="240" w:top="448" w:right="459" w:bottom="1440" w:gutter="0" w:footer="0" w:header="0"/>
          <w:type w:val="continuous"/>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65.2% of the voting power of our outstanding capital stock and therefore may be able to control the outcome of matters submitted to stockholders, including the election of directors. See “Principal Stockholders” and “Description of Capital Stock.”</w:t>
      </w:r>
    </w:p>
    <w:p>
      <w:pPr>
        <w:spacing w:after="0" w:line="172" w:lineRule="exact"/>
        <w:rPr>
          <w:sz w:val="20"/>
          <w:szCs w:val="20"/>
          <w:color w:val="auto"/>
        </w:rPr>
      </w:pPr>
    </w:p>
    <w:p>
      <w:pPr>
        <w:sectPr>
          <w:pgSz w:w="11900" w:h="16838" w:orient="portrait"/>
          <w:cols w:equalWidth="0" w:num="2">
            <w:col w:w="4760" w:space="720"/>
            <w:col w:w="5720"/>
          </w:cols>
          <w:pgMar w:left="240" w:top="448" w:right="459" w:bottom="1440" w:gutter="0" w:footer="0" w:header="0"/>
          <w:type w:val="continuous"/>
        </w:sectPr>
      </w:pPr>
    </w:p>
    <w:p>
      <w:pPr>
        <w:ind w:left="200" w:right="120" w:firstLine="442"/>
        <w:spacing w:after="0" w:line="271" w:lineRule="auto"/>
        <w:rPr>
          <w:sz w:val="20"/>
          <w:szCs w:val="20"/>
          <w:color w:val="auto"/>
        </w:rPr>
      </w:pPr>
      <w:r>
        <w:rPr>
          <w:rFonts w:ascii="Arial" w:cs="Arial" w:eastAsia="Arial" w:hAnsi="Arial"/>
          <w:sz w:val="17"/>
          <w:szCs w:val="17"/>
          <w:color w:val="auto"/>
        </w:rPr>
        <w:t>The numbers of shares of Class A and Class B common stock to be outstanding following this offering and the concurrent private placement are based on 9,369,212 shares of Class A common stock and 2,409,738 shares of Class B common stock outstanding as of September 30, 2017, and exclude the following as of September 30, 2017:</w:t>
      </w:r>
    </w:p>
    <w:p>
      <w:pPr>
        <w:spacing w:after="0" w:line="81" w:lineRule="exact"/>
        <w:rPr>
          <w:sz w:val="20"/>
          <w:szCs w:val="20"/>
          <w:color w:val="auto"/>
        </w:rPr>
      </w:pPr>
    </w:p>
    <w:p>
      <w:pPr>
        <w:jc w:val="both"/>
        <w:ind w:left="1060" w:right="420" w:hanging="438"/>
        <w:spacing w:after="0" w:line="27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as described under “Management’s Discussion and Analysis of Financial Condition and Results of Operations—Recent Equity Transactions— Issuance of Warrants”;</w:t>
      </w:r>
    </w:p>
    <w:p>
      <w:pPr>
        <w:spacing w:after="0" w:line="80" w:lineRule="exact"/>
        <w:rPr>
          <w:rFonts w:ascii="Arial" w:cs="Arial" w:eastAsia="Arial" w:hAnsi="Arial"/>
          <w:sz w:val="17"/>
          <w:szCs w:val="17"/>
          <w:color w:val="auto"/>
        </w:rPr>
      </w:pPr>
    </w:p>
    <w:p>
      <w:pPr>
        <w:ind w:left="1060" w:hanging="438"/>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3,276,074 shares of Class A common stock issuable upon the exercise of outstanding options, with a weighted-average exercise price of $2.39 per share;</w:t>
      </w:r>
    </w:p>
    <w:p>
      <w:pPr>
        <w:spacing w:after="0" w:line="66" w:lineRule="exact"/>
        <w:rPr>
          <w:rFonts w:ascii="Arial" w:cs="Arial" w:eastAsia="Arial" w:hAnsi="Arial"/>
          <w:sz w:val="17"/>
          <w:szCs w:val="17"/>
          <w:color w:val="auto"/>
        </w:rPr>
      </w:pPr>
    </w:p>
    <w:p>
      <w:pPr>
        <w:ind w:left="1060" w:right="220" w:hanging="438"/>
        <w:spacing w:after="0" w:line="320"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120,002 shares of Class A common stock that will be issuable upon the exercise of options approved for grant to employees, effective as of the date of this prospectus, with an exercise price per share equal to the initial public offering price of the offering made hereby; and</w:t>
      </w:r>
    </w:p>
    <w:p>
      <w:pPr>
        <w:spacing w:after="0" w:line="43" w:lineRule="exact"/>
        <w:rPr>
          <w:rFonts w:ascii="Arial" w:cs="Arial" w:eastAsia="Arial" w:hAnsi="Arial"/>
          <w:sz w:val="16"/>
          <w:szCs w:val="16"/>
          <w:color w:val="auto"/>
        </w:rPr>
      </w:pPr>
    </w:p>
    <w:p>
      <w:pPr>
        <w:ind w:left="1060" w:hanging="43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585,381 shares of Class A common stock reserved for future issuance under our equity incentive plan.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30" w:lineRule="exact"/>
        <w:rPr>
          <w:sz w:val="20"/>
          <w:szCs w:val="20"/>
          <w:color w:val="auto"/>
        </w:rPr>
      </w:pPr>
    </w:p>
    <w:p>
      <w:pPr>
        <w:ind w:left="1060" w:right="60" w:hanging="438"/>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issuance of 1,333,334 shares of Class A common stock in the concurrent private placement, which is to be completed immediately following, and subject to, the closing of the offering made hereby;</w:t>
      </w:r>
    </w:p>
    <w:p>
      <w:pPr>
        <w:spacing w:after="0" w:line="66" w:lineRule="exact"/>
        <w:rPr>
          <w:rFonts w:ascii="Arial" w:cs="Arial" w:eastAsia="Arial" w:hAnsi="Arial"/>
          <w:sz w:val="17"/>
          <w:szCs w:val="17"/>
          <w:color w:val="auto"/>
        </w:rPr>
      </w:pPr>
    </w:p>
    <w:p>
      <w:pPr>
        <w:ind w:left="1060" w:right="20" w:hanging="438"/>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effective immediately prior to the completion of this offering, the automatic conversion of all of our outstanding preferred stock into an aggregate of 4,627,577 shares of Class A common stock and the restatement of our charter and bylaws;</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1-for-3 reverse split of Class A and Class B common stock effective as of September 13, 2017;</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00"/>
          </w:cols>
          <w:pgMar w:left="240" w:top="448" w:right="45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649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6494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60" w:hanging="438"/>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exercises of outstanding stock options;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of the underwriters’ over-allotment option.</w:t>
      </w:r>
    </w:p>
    <w:p>
      <w:pPr>
        <w:spacing w:after="0" w:line="222" w:lineRule="exact"/>
        <w:rPr>
          <w:sz w:val="20"/>
          <w:szCs w:val="20"/>
          <w:color w:val="auto"/>
        </w:rPr>
      </w:pPr>
    </w:p>
    <w:p>
      <w:pPr>
        <w:jc w:val="both"/>
        <w:ind w:left="200" w:firstLine="442"/>
        <w:spacing w:after="0" w:line="271" w:lineRule="auto"/>
        <w:rPr>
          <w:sz w:val="20"/>
          <w:szCs w:val="20"/>
          <w:color w:val="auto"/>
        </w:rPr>
      </w:pPr>
      <w:r>
        <w:rPr>
          <w:rFonts w:ascii="Arial" w:cs="Arial" w:eastAsia="Arial" w:hAnsi="Arial"/>
          <w:sz w:val="17"/>
          <w:szCs w:val="17"/>
          <w:color w:val="auto"/>
        </w:rPr>
        <w:t>The information in this prospectus does not reflect our issuance to the underwriters of warrants exercisable for 80,000 shares of Class A common stock (92,000 shares if the underwriters’ over-allotment option is exercised in full) at a price per share equal to 110% of the initial public offering price, as described in “Underwriting—Discounts, Commissions and Expenses” beginning on page 141.</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Consolidated Financial Information</w:t>
      </w:r>
    </w:p>
    <w:p>
      <w:pPr>
        <w:spacing w:after="0" w:line="123" w:lineRule="exact"/>
        <w:rPr>
          <w:sz w:val="20"/>
          <w:szCs w:val="20"/>
          <w:color w:val="auto"/>
        </w:rPr>
      </w:pPr>
    </w:p>
    <w:p>
      <w:pPr>
        <w:ind w:left="200" w:firstLine="442"/>
        <w:spacing w:after="0" w:line="271" w:lineRule="auto"/>
        <w:rPr>
          <w:sz w:val="20"/>
          <w:szCs w:val="20"/>
          <w:color w:val="auto"/>
        </w:rPr>
      </w:pPr>
      <w:r>
        <w:rPr>
          <w:rFonts w:ascii="Arial" w:cs="Arial" w:eastAsia="Arial" w:hAnsi="Arial"/>
          <w:sz w:val="17"/>
          <w:szCs w:val="17"/>
          <w:color w:val="auto"/>
        </w:rPr>
        <w:t>The following tables summarize our consolidated financial data. You should read the following data in conjunction with “Selected Consolidated Financial Information,” “Management’s Discussion and Analysis of Financial Condition and Results of Operations,” and our consolidated financial statements and related notes included at the end of this prospectus.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Pr>
          <w:p>
            <w:pPr>
              <w:spacing w:after="0"/>
              <w:rPr>
                <w:sz w:val="14"/>
                <w:szCs w:val="14"/>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8"/>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8"/>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10"/>
          </w:tcPr>
          <w:p>
            <w:pPr>
              <w:jc w:val="right"/>
              <w:ind w:right="398"/>
              <w:spacing w:after="0" w:line="137"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5,292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14,042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8"/>
        </w:trPr>
        <w:tc>
          <w:tcPr>
            <w:tcW w:w="7340" w:type="dxa"/>
            <w:vAlign w:val="bottom"/>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2,830</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1,818</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1,089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2,673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7,608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9,258</w:t>
            </w:r>
          </w:p>
        </w:tc>
        <w:tc>
          <w:tcPr>
            <w:tcW w:w="0" w:type="dxa"/>
            <w:vAlign w:val="bottom"/>
          </w:tcPr>
          <w:p>
            <w:pPr>
              <w:spacing w:after="0"/>
              <w:rPr>
                <w:sz w:val="1"/>
                <w:szCs w:val="1"/>
                <w:color w:val="auto"/>
              </w:rPr>
            </w:pPr>
          </w:p>
        </w:tc>
      </w:tr>
      <w:tr>
        <w:trPr>
          <w:trHeight w:val="202"/>
        </w:trPr>
        <w:tc>
          <w:tcPr>
            <w:tcW w:w="7340" w:type="dxa"/>
            <w:vAlign w:val="bottom"/>
          </w:tcPr>
          <w:p>
            <w:pPr>
              <w:ind w:left="680"/>
              <w:spacing w:after="0"/>
              <w:rPr>
                <w:sz w:val="20"/>
                <w:szCs w:val="20"/>
                <w:color w:val="auto"/>
              </w:rPr>
            </w:pPr>
            <w:r>
              <w:rPr>
                <w:rFonts w:ascii="Arial" w:cs="Arial" w:eastAsia="Arial" w:hAnsi="Arial"/>
                <w:sz w:val="17"/>
                <w:szCs w:val="17"/>
                <w:color w:val="auto"/>
              </w:rPr>
              <w:t>Income (loss) from operations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3,490</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7,915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interests(1)</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2,535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(0.56)</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(0.27)</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0.18</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4,927,973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2,061,339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2,176,315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2,047,383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4,927,973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8" w:lineRule="exact"/>
              <w:rPr>
                <w:sz w:val="20"/>
                <w:szCs w:val="20"/>
                <w:color w:val="auto"/>
              </w:rPr>
            </w:pPr>
            <w:r>
              <w:rPr>
                <w:rFonts w:ascii="Arial" w:cs="Arial" w:eastAsia="Arial" w:hAnsi="Arial"/>
                <w:sz w:val="17"/>
                <w:szCs w:val="17"/>
                <w:color w:val="auto"/>
                <w:w w:val="84"/>
              </w:rPr>
              <w:t>2,061,339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3,792,137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8" w:lineRule="exact"/>
              <w:rPr>
                <w:sz w:val="20"/>
                <w:szCs w:val="20"/>
                <w:color w:val="auto"/>
              </w:rPr>
            </w:pPr>
            <w:r>
              <w:rPr>
                <w:rFonts w:ascii="Arial" w:cs="Arial" w:eastAsia="Arial" w:hAnsi="Arial"/>
                <w:sz w:val="17"/>
                <w:szCs w:val="17"/>
                <w:color w:val="auto"/>
                <w:w w:val="87"/>
              </w:rPr>
              <w:t>3,144,120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Pro forma 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w w:val="97"/>
              </w:rPr>
              <w:t>Pro forma 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7,889,818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5,137,211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7,889,818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6,753,033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48" w:right="4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6221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622109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hanging="328"/>
        <w:spacing w:after="0" w:line="273" w:lineRule="auto"/>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its operating subsidiary ACM Shanghai and the remaining 37.13% was held by third-party investors. As described above under “—Our Company—Acquisition of Outstanding Minority Interests in Our Operating Company,” we have entered into agreements pursuant to which ACM Research acquired an additional 18.77% of the outstanding ACM Shanghai equity interests as of August 31, 2017 and will acquire, by no later than December 31, 2017, all of the remaining outstanding equity interests held by minority investors.</w:t>
      </w:r>
    </w:p>
    <w:p>
      <w:pPr>
        <w:spacing w:after="0" w:line="1" w:lineRule="exact"/>
        <w:rPr>
          <w:rFonts w:ascii="Arial" w:cs="Arial" w:eastAsia="Arial" w:hAnsi="Arial"/>
          <w:sz w:val="15"/>
          <w:szCs w:val="15"/>
          <w:color w:val="auto"/>
        </w:rPr>
      </w:pPr>
    </w:p>
    <w:p>
      <w:pPr>
        <w:ind w:left="520" w:right="80" w:hanging="328"/>
        <w:spacing w:after="0" w:line="270"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following table:</w:t>
      </w:r>
    </w:p>
    <w:p>
      <w:pPr>
        <w:spacing w:after="0" w:line="130" w:lineRule="exact"/>
        <w:rPr>
          <w:sz w:val="20"/>
          <w:szCs w:val="20"/>
          <w:color w:val="auto"/>
        </w:rPr>
      </w:pPr>
    </w:p>
    <w:p>
      <w:pPr>
        <w:ind w:left="1060" w:hanging="438"/>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Adjusted” data gives effect to the following:</w:t>
      </w:r>
    </w:p>
    <w:p>
      <w:pPr>
        <w:spacing w:after="0" w:line="130" w:lineRule="exact"/>
        <w:rPr>
          <w:rFonts w:ascii="Arial" w:cs="Arial" w:eastAsia="Arial" w:hAnsi="Arial"/>
          <w:sz w:val="17"/>
          <w:szCs w:val="17"/>
          <w:color w:val="auto"/>
        </w:rPr>
      </w:pPr>
    </w:p>
    <w:p>
      <w:pPr>
        <w:ind w:left="1620" w:right="140" w:hanging="554"/>
        <w:spacing w:after="0" w:line="296" w:lineRule="auto"/>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62" w:lineRule="exact"/>
        <w:rPr>
          <w:rFonts w:ascii="Arial" w:cs="Arial" w:eastAsia="Arial" w:hAnsi="Arial"/>
          <w:sz w:val="16"/>
          <w:szCs w:val="16"/>
          <w:color w:val="auto"/>
        </w:rPr>
      </w:pPr>
    </w:p>
    <w:p>
      <w:pPr>
        <w:ind w:left="1620" w:right="60" w:hanging="554"/>
        <w:spacing w:after="0" w:line="262" w:lineRule="auto"/>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completion of the transactions described under “—Our Company—Acquisition of Outstanding Minority Interests in Our Operating Company” on page 4, pursuant to which, in the third quarter of 2017, (i) we issued 3,572,844 shares of Class A common stock (on an as-converted basis) to minority investors in ACM Shanghai for an aggregate purchase price of $20.1 million and (ii) ACM Research acquired 18.77% of the outstanding ACM Shanghai equity interests, for a purchase price of $5.8 million and will acquire by no later than December 31, 2017, all of the remaining outstanding minority ACM Shanghai equity interests for an aggregate purchase price of $14.3 million; and</w:t>
      </w:r>
    </w:p>
    <w:p>
      <w:pPr>
        <w:spacing w:after="0" w:line="88" w:lineRule="exact"/>
        <w:rPr>
          <w:rFonts w:ascii="Arial" w:cs="Arial" w:eastAsia="Arial" w:hAnsi="Arial"/>
          <w:sz w:val="17"/>
          <w:szCs w:val="17"/>
          <w:color w:val="auto"/>
        </w:rPr>
      </w:pPr>
    </w:p>
    <w:p>
      <w:pPr>
        <w:ind w:left="1620" w:hanging="554"/>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w:t>
      </w:r>
    </w:p>
    <w:p>
      <w:pPr>
        <w:spacing w:after="0" w:line="130" w:lineRule="exact"/>
        <w:rPr>
          <w:rFonts w:ascii="Arial" w:cs="Arial" w:eastAsia="Arial" w:hAnsi="Arial"/>
          <w:sz w:val="17"/>
          <w:szCs w:val="17"/>
          <w:color w:val="auto"/>
        </w:rPr>
      </w:pPr>
    </w:p>
    <w:p>
      <w:pPr>
        <w:ind w:left="1060" w:right="420" w:hanging="438"/>
        <w:spacing w:after="0" w:line="287"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data gives further effect to the automatic conversion of all of our outstanding convertible preferred stock into Class A common stock, which will occur automatically upon completion of this offering; and</w:t>
      </w:r>
    </w:p>
    <w:p>
      <w:pPr>
        <w:spacing w:after="0" w:line="66" w:lineRule="exact"/>
        <w:rPr>
          <w:rFonts w:ascii="Arial" w:cs="Arial" w:eastAsia="Arial" w:hAnsi="Arial"/>
          <w:sz w:val="17"/>
          <w:szCs w:val="17"/>
          <w:color w:val="auto"/>
        </w:rPr>
      </w:pPr>
    </w:p>
    <w:p>
      <w:pPr>
        <w:ind w:left="1060" w:right="40" w:hanging="438"/>
        <w:spacing w:after="0" w:line="266"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As Adjusted” data further adjusts “Pro Forma” data to reflect our sale of 2,000,000 shares of Class A common stock in this offering and our sale of 1,333,334 shares of Class A common stock in the concurrent private placement at an assumed initial public offering price of $8.50 per share, the midpoint of the initial public offering price range set forth on the cover page of this prospectus, after deducting estimated underwriting discounts and commissions, private placement fees, and offering expenses.</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6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4"/>
                <w:szCs w:val="14"/>
                <w:b w:val="1"/>
                <w:bCs w:val="1"/>
                <w:color w:val="auto"/>
              </w:rPr>
              <w:t>As of June 30, 2017</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820" w:type="dxa"/>
            <w:vAlign w:val="bottom"/>
          </w:tcPr>
          <w:p>
            <w:pPr>
              <w:spacing w:after="0"/>
              <w:rPr>
                <w:sz w:val="9"/>
                <w:szCs w:val="9"/>
                <w:color w:val="auto"/>
              </w:rPr>
            </w:pPr>
          </w:p>
        </w:tc>
        <w:tc>
          <w:tcPr>
            <w:tcW w:w="8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Actual</w:t>
            </w:r>
          </w:p>
        </w:tc>
        <w:tc>
          <w:tcPr>
            <w:tcW w:w="12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As Adjusted</w:t>
            </w:r>
          </w:p>
        </w:tc>
        <w:tc>
          <w:tcPr>
            <w:tcW w:w="11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8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36"/>
        </w:trPr>
        <w:tc>
          <w:tcPr>
            <w:tcW w:w="68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2"/>
          </w:tcPr>
          <w:p>
            <w:pPr>
              <w:jc w:val="right"/>
              <w:ind w:right="635"/>
              <w:spacing w:after="0" w:line="137" w:lineRule="exact"/>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w w:val="91"/>
              </w:rPr>
              <w:t>$13,206</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  13,062</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$ 13,062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  37,458</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capital(1)</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23,433</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23,289</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23,289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47,685</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47,437</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48,493</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48,493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72,889</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indebtedness</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4,595</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4,595</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4,595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4,595</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27,883</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27,883</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27,883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27,883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redeemable convertible preferred stock</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18,034</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23,834</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ACM Research, Inc. stockholders’ (deficit) equity</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(3,289)</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(3,224)</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20,610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45,006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4,809</w:t>
            </w:r>
          </w:p>
        </w:tc>
        <w:tc>
          <w:tcPr>
            <w:tcW w:w="124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8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1,520</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(3,224)</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20,610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45,006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20" w:hanging="428"/>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240" w:top="448" w:right="4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97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59975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firstLine="442"/>
        <w:spacing w:after="0" w:line="288" w:lineRule="auto"/>
        <w:rPr>
          <w:sz w:val="20"/>
          <w:szCs w:val="20"/>
          <w:color w:val="auto"/>
        </w:rPr>
      </w:pPr>
      <w:r>
        <w:rPr>
          <w:rFonts w:ascii="Arial" w:cs="Arial" w:eastAsia="Arial" w:hAnsi="Arial"/>
          <w:sz w:val="16"/>
          <w:szCs w:val="16"/>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We are presenting adjusted EBITDA, free cash flow and adjusted operating income (loss) because they are key metrics used by our management in tracking business performance. See “Management’s Discussion and Analysis of Financial Condition and Results of Operations—Key Components of Results of Operations.”</w:t>
      </w:r>
    </w:p>
    <w:p>
      <w:pPr>
        <w:spacing w:after="0" w:line="68" w:lineRule="exact"/>
        <w:rPr>
          <w:sz w:val="20"/>
          <w:szCs w:val="20"/>
          <w:color w:val="auto"/>
        </w:rPr>
      </w:pPr>
    </w:p>
    <w:p>
      <w:pPr>
        <w:ind w:left="1060" w:hanging="438"/>
        <w:spacing w:after="0" w:line="298" w:lineRule="auto"/>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expense (benefit),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Pr>
          <w:p>
            <w:pPr>
              <w:spacing w:after="0"/>
              <w:rPr>
                <w:sz w:val="14"/>
                <w:szCs w:val="1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Year Ended December 31,</w:t>
            </w:r>
          </w:p>
        </w:tc>
      </w:tr>
      <w:tr>
        <w:trPr>
          <w:trHeight w:val="136"/>
        </w:trPr>
        <w:tc>
          <w:tcPr>
            <w:tcW w:w="46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(2,955)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(1,029)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2,387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7,915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595</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r>
      <w:tr>
        <w:trPr>
          <w:trHeight w:val="26"/>
        </w:trPr>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(581)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6,078</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1060" w:right="140" w:hanging="438"/>
        <w:spacing w:after="0" w:line="271"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1"/>
              </w:rPr>
              <w:t>Six Months Ended June 30,</w:t>
            </w:r>
          </w:p>
        </w:tc>
        <w:tc>
          <w:tcPr>
            <w:tcW w:w="16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46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2,983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4,739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2,702</w:t>
            </w:r>
          </w:p>
        </w:tc>
      </w:tr>
      <w:tr>
        <w:trPr>
          <w:trHeight w:val="19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 of proceeds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46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from disposals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(788)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6"/>
        </w:trPr>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2,921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4,635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(4,512)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w:t>
            </w: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1060" w:right="460" w:hanging="438"/>
        <w:spacing w:after="0" w:line="357" w:lineRule="auto"/>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1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gridSpan w:val="4"/>
          </w:tcPr>
          <w:p>
            <w:pPr>
              <w:ind w:left="340"/>
              <w:spacing w:after="0" w:line="137" w:lineRule="exact"/>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w w:val="92"/>
              </w:rPr>
              <w:t>(1,755)</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w w:val="94"/>
              </w:rPr>
              <w:t>$(1,563)</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w w:val="92"/>
              </w:rPr>
              <w:t>$3,490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$4,863</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1,348</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193</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Adjusted operating income (loss)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rPr>
              <w:t>(407)</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(1,370)</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3,873</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5,286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80"/>
          </w:cols>
          <w:pgMar w:left="240" w:top="448" w:right="4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are uncertain about our future profitability.</w:t>
      </w:r>
    </w:p>
    <w:p>
      <w:pPr>
        <w:spacing w:after="0" w:line="117"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We have incurred significant losses since our inception in 1998, and as of June 30, 2017 we had an accumulated deficit of $12.4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62" w:lineRule="exact"/>
        <w:rPr>
          <w:sz w:val="20"/>
          <w:szCs w:val="20"/>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research and development, including continued investments in our research and development team;</w:t>
      </w:r>
    </w:p>
    <w:p>
      <w:pPr>
        <w:spacing w:after="0" w:line="130" w:lineRule="exact"/>
        <w:rPr>
          <w:rFonts w:ascii="Arial" w:cs="Arial" w:eastAsia="Arial" w:hAnsi="Arial"/>
          <w:sz w:val="17"/>
          <w:szCs w:val="17"/>
          <w:color w:val="auto"/>
        </w:rPr>
      </w:pPr>
    </w:p>
    <w:p>
      <w:pPr>
        <w:ind w:left="900" w:right="620" w:hanging="439"/>
        <w:spacing w:after="0" w:line="287"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 of goods being manufactured and sold for our installed base;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expansion of field service;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and administrative expenses, including legal and accounting expenses related to being a public company.</w:t>
      </w:r>
    </w:p>
    <w:p>
      <w:pPr>
        <w:spacing w:after="0" w:line="2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limited revenue and may not be able to regain or maintain profitability.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only generated limited revenue from sales of our products. Our revenue totaled $31.2 million in 2015, $27.4 million in 2016 and</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$14.4 million in the first half of 2017. Our revenue was not sufficient to cover our operating expenses prior to 2015, and our net income decreased to $2.4 million in 2016 from $7.9 million in 2015. In the first half of 2017, we incurred an operating loss of $1.8 million, which was an increase from our operating loss of</w:t>
      </w:r>
    </w:p>
    <w:p>
      <w:pPr>
        <w:ind w:right="20"/>
        <w:spacing w:after="0" w:line="264" w:lineRule="auto"/>
        <w:rPr>
          <w:sz w:val="20"/>
          <w:szCs w:val="20"/>
          <w:color w:val="auto"/>
        </w:rPr>
      </w:pPr>
      <w:r>
        <w:rPr>
          <w:rFonts w:ascii="Arial" w:cs="Arial" w:eastAsia="Arial" w:hAnsi="Arial"/>
          <w:sz w:val="17"/>
          <w:szCs w:val="17"/>
          <w:color w:val="auto"/>
        </w:rPr>
        <w:t>$1.6 million in the first half of 2016, and a net loss of $3.0 million, which was an increase from a net loss of $1.0 million in the first half of 2016. Our ability to generate significant revenue and operate profitably depends upon our ability to commercialize our Ultra C single-wafer wet cleaning equipment based on our Space Alternated Phase Shift, or SAPS, and Timely Energized Bubble Oscillation, or TEBO,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8"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technologies. Our ability to generate significant product revenue from our current tools or future tool candidates also depends on a number of additional factors, including our ability to:</w:t>
      </w:r>
    </w:p>
    <w:p>
      <w:pPr>
        <w:spacing w:after="0" w:line="67" w:lineRule="exact"/>
        <w:rPr>
          <w:sz w:val="20"/>
          <w:szCs w:val="20"/>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achieve market acceptance of Ultra C equipment based on SAPS technology as well as Ultra C equipment based on TEBO technology;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our customer base, including the establishment of relationships with companies in the United States;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to expand our supplier relationships with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and maintain our reputation for providing efficient on-time delivery of high quality products.</w:t>
      </w:r>
    </w:p>
    <w:p>
      <w:pPr>
        <w:spacing w:after="0" w:line="222"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If we fail to regain and sustain profitability on a continuing basis, we may be unable to continue our operations at planned levels and be forced to reduce our operations or even shut down.</w:t>
      </w:r>
    </w:p>
    <w:p>
      <w:pPr>
        <w:spacing w:after="0" w:line="26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need to raise funds in the future, depending on many factors, including:</w:t>
      </w:r>
    </w:p>
    <w:p>
      <w:pPr>
        <w:spacing w:after="0" w:line="130" w:lineRule="exact"/>
        <w:rPr>
          <w:sz w:val="20"/>
          <w:szCs w:val="20"/>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sales growth;</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applying our existing technologies to new or enhanced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developing new technologies and introducing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w:t>
      </w:r>
    </w:p>
    <w:p>
      <w:pPr>
        <w:spacing w:after="0" w:line="130" w:lineRule="exact"/>
        <w:rPr>
          <w:rFonts w:ascii="Arial" w:cs="Arial" w:eastAsia="Arial" w:hAnsi="Arial"/>
          <w:sz w:val="17"/>
          <w:szCs w:val="17"/>
          <w:color w:val="auto"/>
        </w:rPr>
      </w:pPr>
    </w:p>
    <w:p>
      <w:pPr>
        <w:ind w:left="900" w:right="520" w:hanging="439"/>
        <w:spacing w:after="0" w:line="287"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associated with our expansion, including capital expenditures, increasing our sales and marketing and service and support efforts, and expanding our geographic operations;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continue to obtain governmental subsidies for developmental projects in the future;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future debt repayment obligations;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and timing of any future acquisitions.</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To the extent that our existing sources of cash, together with any cash generated from operations and the net proceeds from this offering and the concurrent private placement,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6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assurance that the concurrent private placement of our Class A common stock will be completed.</w:t>
      </w:r>
    </w:p>
    <w:p>
      <w:pPr>
        <w:spacing w:after="0" w:line="117"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There is no assurance that the concurrent private placement of our Class A common stock will be completed or, if completed, on what terms it will be completed. The closing of the concurrent private placement is subject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60"/>
          </w:cols>
          <w:pgMar w:left="240" w:top="448" w:right="2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standard closing conditions, which may not be completed. In addition, Xinxin (Hongkong) Capital Co., Limited has the option not to purchase its 833,334 shares of Class A common stock if the initial public offering price is less than $8.40 and Victorious Way Limited has the option not to purchase its 500,000 shares of Class A common stock if Xinxin (Hongkong) Capital Co., Limited elects not to purchase its shares for any reason pursuant to the terms of its purchase agreement. If the concurrent private placement is not completed, our stock price and our ability to raise equity in the future may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4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1" w:lineRule="exact"/>
        <w:rPr>
          <w:sz w:val="20"/>
          <w:szCs w:val="20"/>
          <w:color w:val="auto"/>
        </w:rPr>
      </w:pPr>
    </w:p>
    <w:p>
      <w:pPr>
        <w:ind w:left="900" w:right="28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cyclicality of the semiconductor industry and the related impact on the purchase of equipment used in the manufacture of integrated circuits, or chips;</w:t>
      </w:r>
    </w:p>
    <w:p>
      <w:pPr>
        <w:spacing w:after="0" w:line="66" w:lineRule="exact"/>
        <w:rPr>
          <w:rFonts w:ascii="Arial" w:cs="Arial" w:eastAsia="Arial" w:hAnsi="Arial"/>
          <w:sz w:val="17"/>
          <w:szCs w:val="17"/>
          <w:color w:val="auto"/>
        </w:rPr>
      </w:pPr>
    </w:p>
    <w:p>
      <w:pPr>
        <w:ind w:left="900" w:right="38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purchases of our tools by chip fabricators, which order types of tools based on multi-year capital plans under which the number and dollar amount of tool purchases can vary significantly from year to year;</w:t>
      </w:r>
    </w:p>
    <w:p>
      <w:pPr>
        <w:spacing w:after="0" w:line="66"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significant expenditures required to customize our products often exceed the deposits received from our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lead time required to manufacture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recognizing revenue due to the timing of shipment and acceptance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sell additional tools to existing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changes in customer specifications or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length of our product sales cycle;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our product mix, including the mix of systems, upgrades, spare parts and service;</w:t>
      </w:r>
    </w:p>
    <w:p>
      <w:pPr>
        <w:spacing w:after="0" w:line="130" w:lineRule="exact"/>
        <w:rPr>
          <w:rFonts w:ascii="Arial" w:cs="Arial" w:eastAsia="Arial" w:hAnsi="Arial"/>
          <w:sz w:val="17"/>
          <w:szCs w:val="17"/>
          <w:color w:val="auto"/>
        </w:rPr>
      </w:pPr>
    </w:p>
    <w:p>
      <w:pPr>
        <w:ind w:left="900" w:right="48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our product releases or upgrades or announcements of product releases or upgrades by us or our competitors, including changes in customer orders in anticipation of new products or product enhancements;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enhance our tools with new and better functionality that meet customer requirements and changing industry trends;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constraints on our suppliers’ capacity;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investments in research and development related to releasing new applications of our technologies and new products;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the development and manufacture of our new products and upgraded versions of our products and the market acceptance of these products when introduced;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control costs, including operating expenses and the costs of the components and subassemblies used in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related to the acquisition and integration of product lines, technologies or businesses;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448" w:right="2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3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80"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28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5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8"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industry chip manufacturers adopting our SAPS and TEBO technologies.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SAPS and TEBO technologies do not achieve widespread market acceptance, we will not be able to compete effectively.</w:t>
      </w:r>
    </w:p>
    <w:p>
      <w:pPr>
        <w:spacing w:after="0" w:line="117"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The commercial success of our tools will depend, in part, on gaining substantial market acceptance by chip manufacturers. Our ability to gain acceptance for our products will depend upon a number of factors, including:</w:t>
      </w:r>
    </w:p>
    <w:p>
      <w:pPr>
        <w:spacing w:after="0" w:line="67" w:lineRule="exact"/>
        <w:rPr>
          <w:sz w:val="20"/>
          <w:szCs w:val="20"/>
          <w:color w:val="auto"/>
        </w:rPr>
      </w:pPr>
    </w:p>
    <w:p>
      <w:pPr>
        <w:ind w:left="900" w:right="100" w:hanging="439"/>
        <w:spacing w:after="0" w:line="28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demonstrate the differentiated, innovative nature of our SAPS and TEBO technologies and the advantages of our tools over those of our competitors;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compatibility of our tools with existing or potential customers’ manufacturing processes and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level of customer service available to support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experiences our customers have with our products.</w:t>
      </w:r>
    </w:p>
    <w:p>
      <w:pPr>
        <w:spacing w:after="0" w:line="222"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40"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8"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85" w:lineRule="exact"/>
        <w:rPr>
          <w:sz w:val="20"/>
          <w:szCs w:val="20"/>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accurate anticipation of market requirements, changes in technology and evolving standards;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41" w:lineRule="exact"/>
        <w:rPr>
          <w:rFonts w:ascii="Arial" w:cs="Arial" w:eastAsia="Arial" w:hAnsi="Arial"/>
          <w:sz w:val="16"/>
          <w:szCs w:val="16"/>
          <w:color w:val="auto"/>
        </w:rPr>
      </w:pPr>
    </w:p>
    <w:p>
      <w:pPr>
        <w:ind w:left="900" w:right="340" w:hanging="439"/>
        <w:spacing w:after="0" w:line="287"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and availability of suppliers and third-party manufacturers to manufacture and deliver the critical components and subassemblies of our tools in a timely manner;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acceptance of our customers’ products, and the lifecycle of those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deliver products in a timely manner within our customers’ product planning and deployment cycle.</w:t>
      </w:r>
    </w:p>
    <w:p>
      <w:pPr>
        <w:spacing w:after="0" w:line="222"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identify and enter new product markets.</w:t>
      </w:r>
    </w:p>
    <w:p>
      <w:pPr>
        <w:spacing w:after="0" w:line="11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7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5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48"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54"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chip equipment industry is highly competitive, and we face substantial competition throughout the world in each of the markets we serve. Many of our current and potential competitors have, among other things:</w:t>
      </w:r>
    </w:p>
    <w:p>
      <w:pPr>
        <w:spacing w:after="0" w:line="67" w:lineRule="exact"/>
        <w:rPr>
          <w:sz w:val="20"/>
          <w:szCs w:val="20"/>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financial, technical, sales and marketing, manufacturing, distribution and other resources;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established credibility and market reputations;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longer operating histories;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broader product offerings;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local sales forces;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more extensive geographic coverage.</w:t>
      </w:r>
    </w:p>
    <w:p>
      <w:pPr>
        <w:spacing w:after="0" w:line="222"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284"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chip manufacturing industry is highly concentrated, and we derive a significant portion of our revenue from the sale of our products to a small number of customers. In the first half of 2017, 62.8% of our revenue was derived from three customers: SK Hynix Inc., 22.8%; Shanghai Huali Microelectronics Corporation, 20.6%; and Yangtze Memory Technologies Co., Ltd. and a subsidiary, 19.4%. In 2016 99.3%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8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8"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2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8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285"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54" w:lineRule="exact"/>
        <w:rPr>
          <w:sz w:val="20"/>
          <w:szCs w:val="20"/>
          <w:color w:val="auto"/>
        </w:rPr>
      </w:pPr>
    </w:p>
    <w:p>
      <w:pPr>
        <w:ind w:right="200" w:firstLine="457"/>
        <w:spacing w:after="0" w:line="280"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0"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54" w:lineRule="exact"/>
        <w:rPr>
          <w:sz w:val="20"/>
          <w:szCs w:val="20"/>
          <w:color w:val="auto"/>
        </w:rPr>
      </w:pPr>
    </w:p>
    <w:p>
      <w:pPr>
        <w:jc w:val="both"/>
        <w:ind w:right="120" w:firstLine="457"/>
        <w:spacing w:after="0" w:line="266" w:lineRule="auto"/>
        <w:rPr>
          <w:sz w:val="20"/>
          <w:szCs w:val="20"/>
          <w:color w:val="auto"/>
        </w:rPr>
      </w:pPr>
      <w:r>
        <w:rPr>
          <w:rFonts w:ascii="Arial" w:cs="Arial" w:eastAsia="Arial" w:hAnsi="Arial"/>
          <w:sz w:val="17"/>
          <w:szCs w:val="17"/>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duration or ultimate success of our sales cycle depends on factors such as:</w:t>
      </w:r>
    </w:p>
    <w:p>
      <w:pPr>
        <w:spacing w:after="0" w:line="130" w:lineRule="exact"/>
        <w:rPr>
          <w:sz w:val="20"/>
          <w:szCs w:val="20"/>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efforts by our sales force;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complexity of our customers’ manufacturing processes and the compatibility of our tools with those processes;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customers’ internal technical capabilities and sophistication; and</w:t>
      </w:r>
    </w:p>
    <w:p>
      <w:pPr>
        <w:spacing w:after="0" w:line="130" w:lineRule="exact"/>
        <w:rPr>
          <w:rFonts w:ascii="Arial" w:cs="Arial" w:eastAsia="Arial" w:hAnsi="Arial"/>
          <w:sz w:val="17"/>
          <w:szCs w:val="17"/>
          <w:color w:val="auto"/>
        </w:rPr>
      </w:pPr>
    </w:p>
    <w:p>
      <w:pPr>
        <w:ind w:left="900" w:right="440" w:hanging="439"/>
        <w:spacing w:after="0" w:line="287"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customers’ capital spending plans and processes, including budgetary constraints, internal approvals, extended negotiations or administrative delays.</w:t>
      </w:r>
    </w:p>
    <w:p>
      <w:pPr>
        <w:spacing w:after="0" w:line="158"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129"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8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8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8"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tools contain defects or do not meet customer specifications, we could lose customers and revenue.</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85" w:lineRule="exact"/>
        <w:rPr>
          <w:sz w:val="20"/>
          <w:szCs w:val="20"/>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customers may delay or reject acceptance of our tools that contain defects or fail to meet their specifications;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suffer customer dissatisfaction, negative publicity and reputational damage, resulting in reduced orders or otherwise damaging our ability to retain existing customers and attract new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incur substantial costs as a result of warranty claims or service obligations or in order to enhance the reliability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attention of our technical and management resources may be diverted;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replace defective systems or invest significant capital to resolve these problems;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write off inventory and other assets related to our tools.</w:t>
      </w:r>
    </w:p>
    <w:p>
      <w:pPr>
        <w:spacing w:after="0" w:line="222" w:lineRule="exact"/>
        <w:rPr>
          <w:sz w:val="20"/>
          <w:szCs w:val="20"/>
          <w:color w:val="auto"/>
        </w:rPr>
      </w:pPr>
    </w:p>
    <w:p>
      <w:pPr>
        <w:ind w:right="200" w:firstLine="457"/>
        <w:spacing w:after="0" w:line="284"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in excess of our estimates could adversely affect our business.</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64"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76"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We do not have long-term supply contracts with some of our suppliers, and those suppliers are not obligated to perform services or supply products to us for any specific period, in any specific quantities or at any specific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8"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67" w:lineRule="exact"/>
        <w:rPr>
          <w:sz w:val="20"/>
          <w:szCs w:val="20"/>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price increases;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capacity shortages or other inability to meet any increase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reduced control over manufacturing process for components and subassemblies and delivery schedules;</w:t>
      </w:r>
    </w:p>
    <w:p>
      <w:pPr>
        <w:spacing w:after="0" w:line="130"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exposure to potential misappropriation of our intellectual property;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limited warranties on subassemblies and components supplied to us.</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40"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267"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54"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80"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0"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Moreover, some of our suppliers may experience financial difficulties that could prevent them from supplying us with components or subassemblies used in the design and manufacture of our products. In addition,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448"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81" w:lineRule="exact"/>
        <w:rPr>
          <w:sz w:val="20"/>
          <w:szCs w:val="20"/>
          <w:color w:val="auto"/>
        </w:rPr>
      </w:pPr>
    </w:p>
    <w:p>
      <w:pPr>
        <w:jc w:val="both"/>
        <w:ind w:right="280"/>
        <w:spacing w:after="0" w:line="357"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SARS and TEBO. To the extent that we receive a lower level of, or no, governmental subsidies in the future, we may need to raise additional funds through public or private financings, strategic relationships, or other arrangements.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will depend on our ability to manage any future growth.</w:t>
      </w:r>
    </w:p>
    <w:p>
      <w:pPr>
        <w:spacing w:after="0" w:line="117" w:lineRule="exact"/>
        <w:rPr>
          <w:sz w:val="20"/>
          <w:szCs w:val="20"/>
          <w:color w:val="auto"/>
        </w:rPr>
      </w:pPr>
    </w:p>
    <w:p>
      <w:pPr>
        <w:ind w:right="80" w:firstLine="457"/>
        <w:spacing w:after="0" w:line="301" w:lineRule="auto"/>
        <w:rPr>
          <w:sz w:val="20"/>
          <w:szCs w:val="20"/>
          <w:color w:val="auto"/>
        </w:rPr>
      </w:pPr>
      <w:r>
        <w:rPr>
          <w:rFonts w:ascii="Arial" w:cs="Arial" w:eastAsia="Arial" w:hAnsi="Arial"/>
          <w:sz w:val="15"/>
          <w:szCs w:val="15"/>
          <w:color w:val="auto"/>
        </w:rPr>
        <w:t>We have experienced rapid growth in our business recently due, in part, to an expansion of our product offerings and an increase in the number of customers that we serve. For example, our headcount grew by 18.7% during 2016 and by an additional 28.1% from January 1, 2017 to September 30,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63" w:lineRule="exact"/>
        <w:rPr>
          <w:sz w:val="20"/>
          <w:szCs w:val="20"/>
          <w:color w:val="auto"/>
        </w:rPr>
      </w:pPr>
    </w:p>
    <w:p>
      <w:pPr>
        <w:ind w:left="900" w:right="320" w:hanging="439"/>
        <w:spacing w:after="0" w:line="287"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hire, train, integrate and manage additional qualified engineers for research and development activities, sales and marketing personnel, service and support personnel and financial and information technology personnel;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 multiple relationships with our customers, suppliers and other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 to enhance our information technology infrastructure, systems and controls.</w:t>
      </w:r>
    </w:p>
    <w:p>
      <w:pPr>
        <w:spacing w:after="0" w:line="22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our Chief Executive Officer and President and other senior management and key employees.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w:t>
      </w:r>
    </w:p>
    <w:p>
      <w:pPr>
        <w:spacing w:after="0" w:line="3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Dr. David H. Wang, our Chair of the Board, Chief Executive Officer, President and founder. If one or more of our senior management were unable or unwilling to continue their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8"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2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certain U.S. and state net operating loss carryforwards may be limited under applicable tax laws.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2017, we had net operating loss carryforward amounts, or NOLs, of $18.9 million for U.S. federal income tax purposes and $322,000 for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state income tax purposes. The federal and state NOLs will expire at various dates beginning in 2036.</w:t>
      </w:r>
    </w:p>
    <w:p>
      <w:pPr>
        <w:spacing w:after="0" w:line="20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this offering, the concurrent private placement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17"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0"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To the extent that we consummate acquisitions or investments, we may face financial risks as a result, including increased costs associated with merged or acquired operations, increased indebtedness, economic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8"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dilution to gross and operating profit and earnings per share, or unanticipated costs and liabilities. Acquisitions may involve additional risks, including:</w:t>
      </w:r>
    </w:p>
    <w:p>
      <w:pPr>
        <w:spacing w:after="0" w:line="130" w:lineRule="exact"/>
        <w:rPr>
          <w:sz w:val="20"/>
          <w:szCs w:val="20"/>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acquired product lines, technologies or businesses may not improve our financial and strategic position as planned;</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determine we have overpaid for the product lines, technologies or businesses, or that the economic conditions underlying our acquisition have changed;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company;</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difficulty retaining the employees with the technical skills needed to enhance and provide services with respect to the acquired product lines or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acquisition may be viewed negatively by customers, employees, suppliers, financial markets or investors;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difficulty incorporating the acquired product lines or technologies with our existing technologies;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encounter a competitive response, including price competition or intellectual property litigation;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incur one-time write-offs, such as acquired in-process research and development costs, and 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30" w:lineRule="exact"/>
        <w:rPr>
          <w:rFonts w:ascii="Arial" w:cs="Arial" w:eastAsia="Arial" w:hAnsi="Arial"/>
          <w:sz w:val="17"/>
          <w:szCs w:val="17"/>
          <w:color w:val="auto"/>
        </w:rPr>
      </w:pPr>
    </w:p>
    <w:p>
      <w:pPr>
        <w:ind w:left="900" w:right="34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or culturally diverse enterprises;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existing issues with the target business.</w:t>
      </w:r>
    </w:p>
    <w:p>
      <w:pPr>
        <w:spacing w:after="0" w:line="222"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276"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5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89" w:lineRule="exact"/>
        <w:rPr>
          <w:sz w:val="20"/>
          <w:szCs w:val="20"/>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decline in demand for our products;</w:t>
      </w:r>
    </w:p>
    <w:p>
      <w:pPr>
        <w:spacing w:after="0" w:line="130" w:lineRule="exact"/>
        <w:rPr>
          <w:rFonts w:ascii="Arial" w:cs="Arial" w:eastAsia="Arial" w:hAnsi="Arial"/>
          <w:sz w:val="17"/>
          <w:szCs w:val="17"/>
          <w:color w:val="auto"/>
        </w:rPr>
      </w:pPr>
    </w:p>
    <w:p>
      <w:pPr>
        <w:ind w:left="5620" w:right="4400" w:hanging="5159"/>
        <w:spacing w:after="0" w:line="463" w:lineRule="auto"/>
        <w:tabs>
          <w:tab w:leader="none" w:pos="8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increase in reserves on accounts receivable due to our customers’ inability to pay us; 25</w:t>
      </w:r>
    </w:p>
    <w:p>
      <w:pPr>
        <w:sectPr>
          <w:pgSz w:w="11900" w:h="16838" w:orient="portrait"/>
          <w:cols w:equalWidth="0" w:num="1">
            <w:col w:w="11400"/>
          </w:cols>
          <w:pgMar w:left="240" w:top="448"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in reserves on inventory balances due to excess or obsolete inventory as a result of our inability to sell such inventory;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valuation allowances on deferred tax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asset impairments including the potential impairment of goodwill and other intangible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decline in the value of our investments;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decline in the value of certain facilities we lease to less than our residual value guarantee with the lessor;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maintaining reliable and uninterrupted sources of supply.</w:t>
      </w:r>
    </w:p>
    <w:p>
      <w:pPr>
        <w:spacing w:after="0" w:line="222"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29" w:lineRule="exact"/>
        <w:rPr>
          <w:sz w:val="20"/>
          <w:szCs w:val="20"/>
          <w:color w:val="auto"/>
        </w:rPr>
      </w:pPr>
    </w:p>
    <w:p>
      <w:pPr>
        <w:jc w:val="both"/>
        <w:ind w:right="320" w:firstLine="457"/>
        <w:spacing w:after="0" w:line="296" w:lineRule="auto"/>
        <w:rPr>
          <w:sz w:val="20"/>
          <w:szCs w:val="20"/>
          <w:color w:val="auto"/>
        </w:rPr>
      </w:pPr>
      <w:r>
        <w:rPr>
          <w:rFonts w:ascii="Arial" w:cs="Arial" w:eastAsia="Arial" w:hAnsi="Arial"/>
          <w:sz w:val="16"/>
          <w:szCs w:val="16"/>
          <w:color w:val="auto"/>
        </w:rPr>
        <w:t>All of our sales in 2015, 2016 and the first half of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62" w:lineRule="exact"/>
        <w:rPr>
          <w:sz w:val="20"/>
          <w:szCs w:val="20"/>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imposition of, or adverse changes in, foreign laws or regulatory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need to comply with the import laws and regulations of various foreign jurisdictions, including a range of U.S. import laws;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potentially adverse tax consequences, including withholding tax rules that may limit the repatriation of our earnings, and higher effective income tax rates in foreign countries where we conduct business;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competition from local suppliers with which potential customers may prefer to do business;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seasonal reduction in business activity, such as during Chinese, or Lunar, New Year in parts of Asia and in other periods in various individual countries;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increased exposure to foreign currency exchange rates;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protection for intellectual property;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longer sales cycles and reliance on indirect sales in certain regions;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increased length of time for shipping and acceptance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greater difficulty in responding to customer requests for maintenance and spare parts on a timely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and the increased travel, infrastructure and legal and compliance costs associated with multiple international locations;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448" w:right="2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56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66"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In particular, the Asian market is extremely competitive, and chip manufacturers may be aggressive in seeking price concessions from suppliers, including chip equipment manufacturers.</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 in foreign currency exchange rates may adversely affect our results of operations and financial position.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270"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54"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58"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66" w:lineRule="exact"/>
        <w:rPr>
          <w:sz w:val="20"/>
          <w:szCs w:val="20"/>
          <w:color w:val="auto"/>
        </w:rPr>
      </w:pPr>
    </w:p>
    <w:p>
      <w:pPr>
        <w:ind w:right="300" w:firstLine="457"/>
        <w:spacing w:after="0" w:line="296" w:lineRule="auto"/>
        <w:rPr>
          <w:sz w:val="20"/>
          <w:szCs w:val="20"/>
          <w:color w:val="auto"/>
        </w:rPr>
      </w:pPr>
      <w:r>
        <w:rPr>
          <w:rFonts w:ascii="Arial" w:cs="Arial" w:eastAsia="Arial" w:hAnsi="Arial"/>
          <w:sz w:val="16"/>
          <w:szCs w:val="16"/>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8"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76"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85"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54"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7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87"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68" w:lineRule="exact"/>
        <w:rPr>
          <w:sz w:val="20"/>
          <w:szCs w:val="20"/>
          <w:color w:val="auto"/>
        </w:rPr>
      </w:pPr>
    </w:p>
    <w:p>
      <w:pPr>
        <w:ind w:right="300" w:firstLine="457"/>
        <w:spacing w:after="0" w:line="266" w:lineRule="auto"/>
        <w:rPr>
          <w:sz w:val="20"/>
          <w:szCs w:val="20"/>
          <w:color w:val="auto"/>
        </w:rPr>
      </w:pPr>
      <w:r>
        <w:rPr>
          <w:rFonts w:ascii="Arial" w:cs="Arial" w:eastAsia="Arial" w:hAnsi="Arial"/>
          <w:sz w:val="17"/>
          <w:szCs w:val="17"/>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8"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1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2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6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63"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including by hiring additional accounting and finance personnel and by engaging outside consulting firms.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8"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67"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54"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81"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81"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Intellectual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including our SAPS and TEBO technologies.</w:t>
      </w:r>
    </w:p>
    <w:p>
      <w:pPr>
        <w:spacing w:after="0" w:line="117" w:lineRule="exact"/>
        <w:rPr>
          <w:sz w:val="20"/>
          <w:szCs w:val="20"/>
          <w:color w:val="auto"/>
        </w:rPr>
      </w:pPr>
    </w:p>
    <w:p>
      <w:pPr>
        <w:jc w:val="both"/>
        <w:ind w:right="220" w:firstLine="457"/>
        <w:spacing w:after="0" w:line="281"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48"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2" w:lineRule="exact"/>
        <w:rPr>
          <w:sz w:val="20"/>
          <w:szCs w:val="20"/>
          <w:color w:val="auto"/>
        </w:rPr>
      </w:pPr>
    </w:p>
    <w:p>
      <w:pPr>
        <w:ind w:right="580" w:firstLine="457"/>
        <w:spacing w:after="0" w:line="357" w:lineRule="auto"/>
        <w:rPr>
          <w:sz w:val="20"/>
          <w:szCs w:val="20"/>
          <w:color w:val="auto"/>
        </w:rPr>
      </w:pPr>
      <w:r>
        <w:rPr>
          <w:rFonts w:ascii="Arial" w:cs="Arial" w:eastAsia="Arial" w:hAnsi="Arial"/>
          <w:sz w:val="15"/>
          <w:szCs w:val="15"/>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21" w:lineRule="exact"/>
        <w:rPr>
          <w:sz w:val="20"/>
          <w:szCs w:val="20"/>
          <w:color w:val="auto"/>
        </w:rPr>
      </w:pPr>
    </w:p>
    <w:p>
      <w:pPr>
        <w:ind w:left="900" w:right="140" w:hanging="439"/>
        <w:spacing w:after="0" w:line="26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Arial" w:cs="Arial" w:eastAsia="Arial" w:hAnsi="Arial"/>
          <w:sz w:val="17"/>
          <w:szCs w:val="17"/>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30"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Patents that may be issued may be challenged, invalidated, modified, revoked, circumvented, found to be unenforceable or otherwise may not provide any competitive advantage.</w:t>
      </w:r>
    </w:p>
    <w:p>
      <w:pPr>
        <w:spacing w:after="0" w:line="66"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58" w:lineRule="exact"/>
        <w:rPr>
          <w:sz w:val="20"/>
          <w:szCs w:val="20"/>
          <w:color w:val="auto"/>
        </w:rPr>
      </w:pPr>
    </w:p>
    <w:p>
      <w:pPr>
        <w:ind w:right="240" w:firstLine="457"/>
        <w:spacing w:after="0" w:line="28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materially, negatively affect our business.</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Filing, prosecuting and defending patents on our products or proprietary technologies in all countries throughout the world would be prohibitively expensive, and our intellectual property rights in some countries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8"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8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54"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62" w:lineRule="exact"/>
        <w:rPr>
          <w:sz w:val="20"/>
          <w:szCs w:val="20"/>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 time consuming and expensive to defend, whether or not meritorious;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force us to stop selling products or using technology that allegedly infringes the third party’s intellectual property rights;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 shipments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pay damages or settlement fees to the party claiming infringement;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141" w:lineRule="exact"/>
        <w:rPr>
          <w:rFonts w:ascii="Arial" w:cs="Arial" w:eastAsia="Arial" w:hAnsi="Arial"/>
          <w:sz w:val="16"/>
          <w:szCs w:val="16"/>
          <w:color w:val="auto"/>
        </w:rPr>
      </w:pPr>
    </w:p>
    <w:p>
      <w:pPr>
        <w:ind w:left="900" w:right="280" w:hanging="439"/>
        <w:spacing w:after="0" w:line="287"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indemnify our customers, suppliers or other third parties for any loss caused by their use of our technology that allegedly infringes the third party’s intellectual property rights;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divert the attention of our technical and managerial resources.</w:t>
      </w:r>
    </w:p>
    <w:p>
      <w:pPr>
        <w:spacing w:after="0" w:line="222" w:lineRule="exact"/>
        <w:rPr>
          <w:sz w:val="20"/>
          <w:szCs w:val="20"/>
          <w:color w:val="auto"/>
        </w:rPr>
      </w:pPr>
    </w:p>
    <w:p>
      <w:pPr>
        <w:ind w:right="80" w:firstLine="457"/>
        <w:spacing w:after="0" w:line="32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8"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Initial Public Offering and Ownership of Class A Common Stock</w:t>
      </w:r>
    </w:p>
    <w:p>
      <w:pPr>
        <w:spacing w:after="0" w:line="123"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initial public offering price for Class A common stock was determined through negotiations between the underwriters and us and may vary from the market price of 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89" w:lineRule="exact"/>
        <w:rPr>
          <w:sz w:val="20"/>
          <w:szCs w:val="20"/>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and other operating results;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operating results;</w:t>
      </w:r>
    </w:p>
    <w:p>
      <w:pPr>
        <w:spacing w:after="0" w:line="130" w:lineRule="exact"/>
        <w:rPr>
          <w:rFonts w:ascii="Arial" w:cs="Arial" w:eastAsia="Arial" w:hAnsi="Arial"/>
          <w:sz w:val="17"/>
          <w:szCs w:val="17"/>
          <w:color w:val="auto"/>
        </w:rPr>
      </w:pPr>
    </w:p>
    <w:p>
      <w:pPr>
        <w:ind w:left="900" w:right="26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41" w:lineRule="exact"/>
        <w:rPr>
          <w:rFonts w:ascii="Arial" w:cs="Arial" w:eastAsia="Arial" w:hAnsi="Arial"/>
          <w:sz w:val="16"/>
          <w:szCs w:val="16"/>
          <w:color w:val="auto"/>
        </w:rPr>
      </w:pPr>
    </w:p>
    <w:p>
      <w:pPr>
        <w:ind w:left="900" w:right="42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trends, including changes in the demand for electronics or information technology or geopolitical events such as war or acts of terrorism, or any responses to such events.</w:t>
      </w:r>
    </w:p>
    <w:p>
      <w:pPr>
        <w:spacing w:after="0" w:line="158"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5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68"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8"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129" w:lineRule="exact"/>
        <w:rPr>
          <w:sz w:val="20"/>
          <w:szCs w:val="20"/>
          <w:color w:val="auto"/>
        </w:rPr>
      </w:pPr>
    </w:p>
    <w:p>
      <w:pPr>
        <w:jc w:val="both"/>
        <w:ind w:right="280" w:firstLine="457"/>
        <w:spacing w:after="0" w:line="266" w:lineRule="auto"/>
        <w:rPr>
          <w:sz w:val="20"/>
          <w:szCs w:val="20"/>
          <w:color w:val="auto"/>
        </w:rPr>
      </w:pPr>
      <w:r>
        <w:rPr>
          <w:rFonts w:ascii="Arial" w:cs="Arial" w:eastAsia="Arial" w:hAnsi="Arial"/>
          <w:sz w:val="17"/>
          <w:szCs w:val="17"/>
          <w:color w:val="auto"/>
        </w:rPr>
        <w:t>Prior to this offering, there has been no public market for Class A common stock. An active trading market may not develop following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the concurrent private placement and may not use them effectively.</w:t>
      </w:r>
    </w:p>
    <w:p>
      <w:pPr>
        <w:spacing w:after="0" w:line="129"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and the concurrent private placement.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in a manner that does not produce income or that loses value.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could decline.</w:t>
      </w:r>
    </w:p>
    <w:p>
      <w:pPr>
        <w:spacing w:after="0" w:line="117"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85"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increase our costs significantly, as well as divert significant company resources and management attention.</w:t>
      </w:r>
    </w:p>
    <w:p>
      <w:pPr>
        <w:spacing w:after="0" w:line="54"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54"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8"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54"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72"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Class A common stock in this offering, you will experience substantial and immediate dilution.</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If you purchase shares of Class A common stock in this offering, you will experience substantial and immediate dilution in the pro forma as adjusted net tangible book value per share of Class A common stock of $2.98 per share as of June 30, 2017. Investors purchasing Class A common stock in this offering will pay a price per share that substantially exceeds the pro forma as adjusted net tangible book value per share. As a result, investors purchasing Class A common stock in this offering will incur immediate dilution of $5.52 per share, based on the initial public offering price of $8.50 per share, the midpoint of the price range on the cover page of this prospectus. This dilution is due in large part to the fact that our earlier investors paid substantially less than the initial public offering price when they purchased their shares of our capital stock. You will experience additional dilution upon exercise of options to purchase Class A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77"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54"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auto"/>
        </w:rPr>
        <w:t>Class B common stock has twenty votes per share and Class A common stock has one vote per share. Stockholders who hold shares of Class B common stock, who consist principally of our executive officers, employees, directors and their respective affiliates, will collectively hold approximately 79.1% of the voting power of our outstanding capital stock following this offering and the concurrent private placement.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8"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2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 below the initial public offering price. Based on shares outstanding as of September 30, 2017, upon completion of this offering and the concurrent private placement, we will have 15,112,284 outstanding shares of common stock. Of these shares, only the shares of Class A common stock sold in this offering and registered shares issued pursuant to our equity plans will be freely tradable in the public market, subject to any applicable lock-up agreements or Rule 144 transfer restrictions applicable to affiliates. Our officers, directors and certain holders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shares outstanding as of September 30, 2017, of the 13,112,284 shares of common stock that were not offered and sold in this offering:</w:t>
      </w:r>
    </w:p>
    <w:p>
      <w:pPr>
        <w:spacing w:after="0" w:line="142" w:lineRule="exact"/>
        <w:rPr>
          <w:sz w:val="20"/>
          <w:szCs w:val="20"/>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453,206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right="20" w:hanging="439"/>
        <w:spacing w:after="0" w:line="320"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 to 12,659,078 shares will be eligible for sale in the public market beginning 180 days from the date of this prospectus, 8,770,975 of which are held by directors, executive officers and other affiliates and will be subject to volume and other limitations under Rule 144 under the Securities Act.</w:t>
      </w:r>
    </w:p>
    <w:p>
      <w:pPr>
        <w:spacing w:after="0" w:line="239"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5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85" w:lineRule="exact"/>
        <w:rPr>
          <w:sz w:val="20"/>
          <w:szCs w:val="20"/>
          <w:color w:val="auto"/>
        </w:rPr>
      </w:pPr>
    </w:p>
    <w:p>
      <w:pPr>
        <w:ind w:left="900" w:right="240" w:hanging="439"/>
        <w:spacing w:after="0" w:line="271"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30" w:lineRule="exact"/>
        <w:rPr>
          <w:rFonts w:ascii="Arial" w:cs="Arial" w:eastAsia="Arial" w:hAnsi="Arial"/>
          <w:sz w:val="17"/>
          <w:szCs w:val="17"/>
          <w:color w:val="auto"/>
        </w:rPr>
      </w:pPr>
    </w:p>
    <w:p>
      <w:pPr>
        <w:ind w:left="1480" w:right="140" w:hanging="563"/>
        <w:spacing w:after="0" w:line="287"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amendments to our restated charter or bylaws will require the approval of two-thirds of the combined vote of our then-outstanding shares of Class A and Class B common stock;</w:t>
      </w:r>
    </w:p>
    <w:p>
      <w:pPr>
        <w:spacing w:after="0" w:line="66"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vacancies on the board of directors will be able to be filled only by the board and not by stockholders;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directors will only be able to be removed from office for cause; and</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our stockholders will only be able to take action at a meeting and not by written consent;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only our chair, our chief executive officer or a majority of our directors will be authorized to call a special meeting of stockholders;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advance notice procedures will apply for stockholders to nominate candidates for election as directors or to bring matters before an annual meeting of stockholders;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40"/>
          </w:cols>
          <w:pgMar w:left="240" w:top="448" w:right="3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restated charter will authorize undesignated preferred stock, the terms of which may be established, and shares of which may be issued, without stockholder approval;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cumulative voting in the election of directors is prohibited.</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4"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restated charter provides that the Court of Chancery of the State of Delaware will, to the fullest extent permitted by law, be the sole and exclusive forum</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118" w:lineRule="exact"/>
        <w:rPr>
          <w:sz w:val="20"/>
          <w:szCs w:val="20"/>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30"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our stockholders, creditors or other constituents by any of our directors, officers, other employees, agents or stockholders;</w:t>
      </w:r>
    </w:p>
    <w:p>
      <w:pPr>
        <w:spacing w:after="0" w:line="66"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w:t>
      </w:r>
    </w:p>
    <w:p>
      <w:pPr>
        <w:spacing w:after="0" w:line="222"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7"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8"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8"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76"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76" w:lineRule="exact"/>
        <w:rPr>
          <w:sz w:val="20"/>
          <w:szCs w:val="20"/>
          <w:color w:val="auto"/>
        </w:rPr>
      </w:pPr>
    </w:p>
    <w:p>
      <w:pPr>
        <w:ind w:right="300" w:firstLine="457"/>
        <w:spacing w:after="0" w:line="28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48"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6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72" w:lineRule="exact"/>
        <w:rPr>
          <w:sz w:val="20"/>
          <w:szCs w:val="20"/>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our expenses and revenue, our ability to maintain and expand gross profit;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products, particularly in the PRC;</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our ability to serve those markets;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progress and costs of developing and commercializing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and the stability of our, supply chain and manufacturing;</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 including export controls, tax law changes and interpretations, economic sanctions and anti-corruption regulations;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use of proceeds from this offering and the concurrent private placement.</w:t>
      </w:r>
    </w:p>
    <w:p>
      <w:pPr>
        <w:spacing w:after="0" w:line="22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60"/>
          </w:cols>
          <w:pgMar w:left="240" w:top="448" w:right="2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80"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following list identifies the sources of certain of the third-party forecasts and other estimates included in this prospectus, together with the section or subsection of this prospectus in which that estimate appears. As of September 30, 2017, each of the following sources was publicly available without charge:</w:t>
      </w:r>
    </w:p>
    <w:p>
      <w:pPr>
        <w:spacing w:after="0" w:line="21" w:lineRule="exact"/>
        <w:rPr>
          <w:sz w:val="20"/>
          <w:szCs w:val="20"/>
          <w:color w:val="auto"/>
        </w:rPr>
      </w:pPr>
    </w:p>
    <w:p>
      <w:pPr>
        <w:ind w:left="900" w:right="2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PricewaterhouseCoopers, </w:t>
      </w:r>
      <w:r>
        <w:rPr>
          <w:rFonts w:ascii="Arial" w:cs="Arial" w:eastAsia="Arial" w:hAnsi="Arial"/>
          <w:sz w:val="17"/>
          <w:szCs w:val="17"/>
          <w:i w:val="1"/>
          <w:iCs w:val="1"/>
          <w:color w:val="auto"/>
        </w:rPr>
        <w:t>China’s impact on the semiconductor industry: 2016 update</w:t>
      </w:r>
      <w:r>
        <w:rPr>
          <w:rFonts w:ascii="Arial" w:cs="Arial" w:eastAsia="Arial" w:hAnsi="Arial"/>
          <w:sz w:val="17"/>
          <w:szCs w:val="17"/>
          <w:color w:val="auto"/>
        </w:rPr>
        <w:t>, January 2017 (“Prospectus Summary—Our Company” and “Business—Industry Background—Growing Influence of the PRC Across the Semiconductor Industry”);</w:t>
      </w:r>
    </w:p>
    <w:p>
      <w:pPr>
        <w:spacing w:after="0" w:line="66" w:lineRule="exact"/>
        <w:rPr>
          <w:rFonts w:ascii="Arial" w:cs="Arial" w:eastAsia="Arial" w:hAnsi="Arial"/>
          <w:sz w:val="17"/>
          <w:szCs w:val="17"/>
          <w:color w:val="auto"/>
        </w:rPr>
      </w:pPr>
    </w:p>
    <w:p>
      <w:pPr>
        <w:ind w:left="900" w:right="7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IC Insights, Inc., </w:t>
      </w:r>
      <w:r>
        <w:rPr>
          <w:rFonts w:ascii="Arial" w:cs="Arial" w:eastAsia="Arial" w:hAnsi="Arial"/>
          <w:sz w:val="17"/>
          <w:szCs w:val="17"/>
          <w:i w:val="1"/>
          <w:iCs w:val="1"/>
          <w:color w:val="auto"/>
        </w:rPr>
        <w:t>Semiconductor Unit Shipments To Exceed One Trillion Devices in 2018</w:t>
      </w:r>
      <w:r>
        <w:rPr>
          <w:rFonts w:ascii="Arial" w:cs="Arial" w:eastAsia="Arial" w:hAnsi="Arial"/>
          <w:sz w:val="17"/>
          <w:szCs w:val="17"/>
          <w:color w:val="auto"/>
        </w:rPr>
        <w:t>, March 7, 2016 (“Prospectus Summary—Industry Background and Trends” and “Business—Industry Background”);</w:t>
      </w:r>
    </w:p>
    <w:p>
      <w:pPr>
        <w:spacing w:after="0" w:line="66" w:lineRule="exact"/>
        <w:rPr>
          <w:rFonts w:ascii="Arial" w:cs="Arial" w:eastAsia="Arial" w:hAnsi="Arial"/>
          <w:sz w:val="17"/>
          <w:szCs w:val="17"/>
          <w:color w:val="auto"/>
        </w:rPr>
      </w:pPr>
    </w:p>
    <w:p>
      <w:pPr>
        <w:ind w:left="900" w:right="480" w:hanging="439"/>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and Nathan Associates, </w:t>
      </w:r>
      <w:r>
        <w:rPr>
          <w:rFonts w:ascii="Arial" w:cs="Arial" w:eastAsia="Arial" w:hAnsi="Arial"/>
          <w:sz w:val="17"/>
          <w:szCs w:val="17"/>
          <w:i w:val="1"/>
          <w:iCs w:val="1"/>
          <w:color w:val="auto"/>
        </w:rPr>
        <w:t>Beyond Borders: The Global Semiconductor Value Chain: How an Interconnected</w:t>
      </w:r>
      <w:r>
        <w:rPr>
          <w:rFonts w:ascii="Arial" w:cs="Arial" w:eastAsia="Arial" w:hAnsi="Arial"/>
          <w:sz w:val="17"/>
          <w:szCs w:val="17"/>
          <w:color w:val="auto"/>
        </w:rPr>
        <w:t xml:space="preserve"> </w:t>
      </w:r>
      <w:r>
        <w:rPr>
          <w:rFonts w:ascii="Arial" w:cs="Arial" w:eastAsia="Arial" w:hAnsi="Arial"/>
          <w:sz w:val="17"/>
          <w:szCs w:val="17"/>
          <w:i w:val="1"/>
          <w:iCs w:val="1"/>
          <w:color w:val="auto"/>
        </w:rPr>
        <w:t>Industry Promotes Innovation and Growth</w:t>
      </w:r>
      <w:r>
        <w:rPr>
          <w:rFonts w:ascii="Arial" w:cs="Arial" w:eastAsia="Arial" w:hAnsi="Arial"/>
          <w:sz w:val="17"/>
          <w:szCs w:val="17"/>
          <w:color w:val="auto"/>
        </w:rPr>
        <w:t>, May 2016 (“Business—Industry Background—Ongoing Need for Improved Chip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w:t>
      </w:r>
    </w:p>
    <w:p>
      <w:pPr>
        <w:spacing w:after="0" w:line="8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Fab Equipment Spending Trending Upward in 2016 and 2017</w:t>
      </w:r>
      <w:r>
        <w:rPr>
          <w:rFonts w:ascii="Arial" w:cs="Arial" w:eastAsia="Arial" w:hAnsi="Arial"/>
          <w:sz w:val="17"/>
          <w:szCs w:val="17"/>
          <w:color w:val="auto"/>
        </w:rPr>
        <w:t>, September 6, 2016 (“Business —Industry Background—Escalating Need for Advanced Chip Manufacturing Equipment”);</w:t>
      </w:r>
    </w:p>
    <w:p>
      <w:pPr>
        <w:spacing w:after="0" w:line="66" w:lineRule="exact"/>
        <w:rPr>
          <w:rFonts w:ascii="Arial" w:cs="Arial" w:eastAsia="Arial" w:hAnsi="Arial"/>
          <w:sz w:val="17"/>
          <w:szCs w:val="17"/>
          <w:color w:val="auto"/>
        </w:rPr>
      </w:pPr>
    </w:p>
    <w:p>
      <w:pPr>
        <w:ind w:left="900" w:right="340" w:hanging="439"/>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International Trade Administration of the United States Department of Commerce, </w:t>
      </w:r>
      <w:r>
        <w:rPr>
          <w:rFonts w:ascii="Arial" w:cs="Arial" w:eastAsia="Arial" w:hAnsi="Arial"/>
          <w:sz w:val="17"/>
          <w:szCs w:val="17"/>
          <w:i w:val="1"/>
          <w:iCs w:val="1"/>
          <w:color w:val="auto"/>
        </w:rPr>
        <w:t>2016 Top Markets Report Semiconductors and Semiconductor</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Equipment Country Case Study</w:t>
      </w:r>
      <w:r>
        <w:rPr>
          <w:rFonts w:ascii="Arial" w:cs="Arial" w:eastAsia="Arial" w:hAnsi="Arial"/>
          <w:sz w:val="17"/>
          <w:szCs w:val="17"/>
          <w:color w:val="auto"/>
        </w:rPr>
        <w:t>, July 1, 2016 (“Business—Industry Background—Growing Influence of the PRC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and</w:t>
      </w:r>
    </w:p>
    <w:p>
      <w:pPr>
        <w:spacing w:after="0" w:line="80"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World Fab Forecast Report</w:t>
      </w:r>
      <w:r>
        <w:rPr>
          <w:rFonts w:ascii="Arial" w:cs="Arial" w:eastAsia="Arial" w:hAnsi="Arial"/>
          <w:sz w:val="17"/>
          <w:szCs w:val="17"/>
          <w:color w:val="auto"/>
        </w:rPr>
        <w:t>, November 2016 (“Business—Our Solutions—China-based operations”).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40" w:top="448" w:right="3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CONCURRENT PRIVATE PLACEMENT</w:t>
      </w:r>
    </w:p>
    <w:p>
      <w:pPr>
        <w:spacing w:after="0" w:line="228"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color w:val="auto"/>
        </w:rPr>
        <w:t>We have entered into agreements pursuant to which we expect to issue and sell, in a concurrent private placement, an aggregate of 1,333,334 shares of Class A common stock, of which 833,334 shares would be issued to Xinxin (Hongkong) Capital Co., Limited, a subsidiary of Sino IC Capital Co., Ltd., and 500,000 shares would be issued to Victorious Way Limited, a subsidiary of China Everbright Limited. The concurrent private placement is conditioned upon the closing of this offering, as well as other standard closing conditions. We expect the closing of the concurrent private placement to occur immediately after the closing of the offering made hereby, but the closing of this offering is not contingent on the closing of the concurrent private placement.</w:t>
      </w:r>
    </w:p>
    <w:p>
      <w:pPr>
        <w:spacing w:after="0" w:line="163"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Subject to specified limitations, the shares in the concurrent private placement would be sold at the initial public offering price for the offering. Neither investor will be required to pay more than $10.50 per share sold in the concurrent private placement. Xinxin (Hongkong) Capital Co., Limited also has the option not to purchase any of the shares if the initial public offering price is less than $8.40 and Victorious Way Limited has the option not to purchase any shares if Xinxin (Hongkong) Capital Co., Limited elects not to purchase its shares for any reason (pursuant to the terms of its purchase agreement).</w:t>
      </w:r>
    </w:p>
    <w:p>
      <w:pPr>
        <w:spacing w:after="0" w:line="160" w:lineRule="exact"/>
        <w:rPr>
          <w:sz w:val="20"/>
          <w:szCs w:val="20"/>
          <w:color w:val="auto"/>
        </w:rPr>
      </w:pPr>
    </w:p>
    <w:p>
      <w:pPr>
        <w:ind w:right="40" w:firstLine="457"/>
        <w:spacing w:after="0" w:line="320" w:lineRule="auto"/>
        <w:rPr>
          <w:sz w:val="20"/>
          <w:szCs w:val="20"/>
          <w:color w:val="auto"/>
        </w:rPr>
      </w:pPr>
      <w:r>
        <w:rPr>
          <w:rFonts w:ascii="Arial" w:cs="Arial" w:eastAsia="Arial" w:hAnsi="Arial"/>
          <w:sz w:val="16"/>
          <w:szCs w:val="16"/>
          <w:color w:val="auto"/>
        </w:rPr>
        <w:t>The private placement investors have agreed with us not to, directly or indirectly, sell, transfer or dispose of any shares of Class A common stock acquired in the private placement for a period of 180 days after the closing of the private placement. See “Shares Eligible for Future Sale—Lock-up Agreements.”</w:t>
      </w:r>
    </w:p>
    <w:p>
      <w:pPr>
        <w:spacing w:after="0" w:line="135"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We have granted the investors certain registration rights, including demand registration rights, with respect to Class A common stock issued in the concurrent private placement, as described under “Description of Capital Stock—Registration Rights.”</w:t>
      </w:r>
    </w:p>
    <w:p>
      <w:pPr>
        <w:spacing w:after="0" w:line="158"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Xinxin (Hongkong) Capital Co., Limited will have the right, as described under “Management—Board of Directors—Director Nomination Rights,” to designate one individual for nomination to our board of directors. David H. Wang, our Chair of the Board, Chief Executive Officer and President, members of Dr. Wang’s family, and Haiping Dun, our Lead Director, who collectively will beneficially own shares having 51.2% of the voting power of common stock immediately after the closing of this offering and the concurrent private placement, have agreed to vote their shares for the election of the nominee. We expect Xinxin (Hongkong) Capital Co., Limited to designate an individual for nomination to our board shortly after the consummation of this offering and the concurrent private placement.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48"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We estimate that we will receive net proceeds from this offering and the concurrent private placement of $24.4 million, assuming an initial public offering price of $8.50 per share, the midpoint of the initial public offering price range reflected on the cover page of this prospectus, and after deducting estimated underwriting discounts and commissions, private placement fees, and offering expenses. If the underwriters’ option to purchase additional shares in this offering is exercised in full, we estimate that our net proceeds will be $26.8 million.</w:t>
      </w:r>
    </w:p>
    <w:p>
      <w:pPr>
        <w:spacing w:after="0" w:line="176"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A $1.00 increase (decrease) in the assumed initial public offering price of $8.50 per share, the midpoint of the initial public offering price range reflected on the cover page of this prospectus, would increase (decrease) the net proceeds to us from this offering and the concurrent private placement by $1.9 million, assuming the number of shares offered by us, as set forth on the cover page of this prospectus, remains the same and after deducting estimated underwriting discounts and commissions, private placement fees, and offering expenses. Similarly, each increase (decrease) of 100,000 in the number of shares offered by us would increase (decrease) our net proceeds by $790,500, assuming the assumed initial public offering price of $8.50 per share remains the same, and after deducting estimated underwriting discounts and commissions, private placement fees, and offering expenses.</w:t>
      </w:r>
    </w:p>
    <w:p>
      <w:pPr>
        <w:spacing w:after="0" w:line="16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expect the closing of the concurrent private placement to occur immediately after the closing of the offering made hereby, but the closing of this offering is not contingent on the closing of the concurrent private placement. The investors in the concurrent private placement may, as described in “Concurrent Private Placement,” have the option not to purchase shares in specified circumstances. We estimate that, if no shares were to be purchased in the concurrent private placement, we would receive net proceeds from this offering of $13.6 million, assuming an initial public offering price of $8.50 per share, the midpoint of the initial public offering price range reflected on the cover page of this prospectus, and after deducting estimated underwriting discounts and commissions and offering expenses. If the underwriters’ option to purchase additional shares in this offering were exercised in full, we estimate that our net proceeds of this offering would be $15.9 million.</w:t>
      </w:r>
    </w:p>
    <w:p>
      <w:pPr>
        <w:spacing w:after="0" w:line="181"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We intend to use the net proceeds from this offering and the concurrent private placement for working capital and other general corporate purposes, which may include financing our growth and developing new products. The other principal purposes for this offering are to:</w:t>
      </w:r>
    </w:p>
    <w:p>
      <w:pPr>
        <w:spacing w:after="0" w:line="67" w:lineRule="exact"/>
        <w:rPr>
          <w:sz w:val="20"/>
          <w:szCs w:val="20"/>
          <w:color w:val="auto"/>
        </w:rPr>
      </w:pPr>
    </w:p>
    <w:p>
      <w:pPr>
        <w:ind w:left="900" w:hanging="43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create a public market for Class A common stock, which will, among other things, provide future liquidity for our existing security 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facilitate our future access to the public capital markets;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improve the effectiveness of our equity compensation plans in attracting and retaining directors and key employees.</w:t>
      </w:r>
    </w:p>
    <w:p>
      <w:pPr>
        <w:spacing w:after="0" w:line="222" w:lineRule="exact"/>
        <w:rPr>
          <w:sz w:val="20"/>
          <w:szCs w:val="20"/>
          <w:color w:val="auto"/>
        </w:rPr>
      </w:pPr>
    </w:p>
    <w:p>
      <w:pPr>
        <w:jc w:val="both"/>
        <w:ind w:right="140" w:firstLine="457"/>
        <w:spacing w:after="0" w:line="323" w:lineRule="auto"/>
        <w:rPr>
          <w:sz w:val="20"/>
          <w:szCs w:val="20"/>
          <w:color w:val="auto"/>
        </w:rPr>
      </w:pPr>
      <w:r>
        <w:rPr>
          <w:rFonts w:ascii="Arial" w:cs="Arial" w:eastAsia="Arial" w:hAnsi="Arial"/>
          <w:sz w:val="15"/>
          <w:szCs w:val="15"/>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38"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Our expected use of the net proceeds of this offering and the concurrent private placement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60"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Pending use of our net proceeds, we intend to invest the net proceeds in short-term, investment-grade, interest-bearing instruments, certificates of deposit, or direct or guaranteed obligation of the U.S. government.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8"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2017,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40"/>
          </w:cols>
          <w:pgMar w:left="240" w:top="448" w:right="3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capitalization as of June 30, 2017:</w:t>
      </w:r>
    </w:p>
    <w:p>
      <w:pPr>
        <w:spacing w:after="0" w:line="130" w:lineRule="exact"/>
        <w:rPr>
          <w:sz w:val="20"/>
          <w:szCs w:val="20"/>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adjusted to reflect the following:</w:t>
      </w:r>
    </w:p>
    <w:p>
      <w:pPr>
        <w:spacing w:after="0" w:line="130" w:lineRule="exact"/>
        <w:rPr>
          <w:rFonts w:ascii="Arial" w:cs="Arial" w:eastAsia="Arial" w:hAnsi="Arial"/>
          <w:sz w:val="17"/>
          <w:szCs w:val="17"/>
          <w:color w:val="auto"/>
        </w:rPr>
      </w:pPr>
    </w:p>
    <w:p>
      <w:pPr>
        <w:ind w:left="1480" w:right="180" w:hanging="563"/>
        <w:spacing w:after="0" w:line="271" w:lineRule="auto"/>
        <w:tabs>
          <w:tab w:leader="none" w:pos="1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80" w:lineRule="exact"/>
        <w:rPr>
          <w:rFonts w:ascii="Arial" w:cs="Arial" w:eastAsia="Arial" w:hAnsi="Arial"/>
          <w:sz w:val="17"/>
          <w:szCs w:val="17"/>
          <w:color w:val="auto"/>
        </w:rPr>
      </w:pPr>
    </w:p>
    <w:p>
      <w:pPr>
        <w:ind w:left="1480" w:hanging="563"/>
        <w:spacing w:after="0" w:line="261" w:lineRule="auto"/>
        <w:tabs>
          <w:tab w:leader="none" w:pos="1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in the third-quarter of 2017, pursuant to which (i) we issued, capital stock consisting of (or convertible, upon the closing of this offering, into) a total of 3,572,844 shares of Class A common stock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under “Management’s Discussion and Analysis of Financial Condition and Results of Operations—Recent Equity Transactions—Acquisition of Outstanding Minority Interests in Our Operating Company”; and</w:t>
      </w:r>
    </w:p>
    <w:p>
      <w:pPr>
        <w:spacing w:after="0" w:line="89" w:lineRule="exact"/>
        <w:rPr>
          <w:rFonts w:ascii="Arial" w:cs="Arial" w:eastAsia="Arial" w:hAnsi="Arial"/>
          <w:sz w:val="17"/>
          <w:szCs w:val="17"/>
          <w:color w:val="auto"/>
        </w:rPr>
      </w:pPr>
    </w:p>
    <w:p>
      <w:pPr>
        <w:ind w:left="1480" w:hanging="563"/>
        <w:spacing w:after="0"/>
        <w:tabs>
          <w:tab w:leader="none" w:pos="1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w:t>
      </w:r>
    </w:p>
    <w:p>
      <w:pPr>
        <w:spacing w:after="0" w:line="130" w:lineRule="exact"/>
        <w:rPr>
          <w:rFonts w:ascii="Arial" w:cs="Arial" w:eastAsia="Arial" w:hAnsi="Arial"/>
          <w:sz w:val="17"/>
          <w:szCs w:val="17"/>
          <w:color w:val="auto"/>
        </w:rPr>
      </w:pPr>
    </w:p>
    <w:p>
      <w:pPr>
        <w:ind w:left="900" w:right="20" w:hanging="439"/>
        <w:spacing w:after="0" w:line="287"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pacing w:after="0" w:line="66" w:lineRule="exact"/>
        <w:rPr>
          <w:rFonts w:ascii="Arial" w:cs="Arial" w:eastAsia="Arial" w:hAnsi="Arial"/>
          <w:sz w:val="17"/>
          <w:szCs w:val="17"/>
          <w:color w:val="auto"/>
        </w:rPr>
      </w:pPr>
    </w:p>
    <w:p>
      <w:pPr>
        <w:ind w:left="900" w:right="20" w:hanging="439"/>
        <w:spacing w:after="0" w:line="26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pro forma basis as further adjusted to reflect our issuance and sale of 2,000,000 shares of Class A common stock in this offering and of 1,333,334 shares of Class A common stock in the concurrent private placement at an assumed initial public offering price of $8.50 per share, the midpoint of the price range on the cover page of this prospectus, after deducting estimated underwriting discounts and commissions, private placement fees, and offering expenses.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40" w:top="448" w:right="2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As of June 30, 2017</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740" w:type="dxa"/>
            <w:vAlign w:val="bottom"/>
            <w:gridSpan w:val="2"/>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36"/>
        </w:trPr>
        <w:tc>
          <w:tcPr>
            <w:tcW w:w="7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gridSpan w:val="9"/>
          </w:tcPr>
          <w:p>
            <w:pPr>
              <w:ind w:left="20"/>
              <w:spacing w:after="0" w:line="137" w:lineRule="exact"/>
              <w:rPr>
                <w:sz w:val="20"/>
                <w:szCs w:val="20"/>
                <w:color w:val="auto"/>
              </w:rPr>
            </w:pPr>
            <w:r>
              <w:rPr>
                <w:rFonts w:ascii="Arial" w:cs="Arial" w:eastAsia="Arial" w:hAnsi="Arial"/>
                <w:sz w:val="14"/>
                <w:szCs w:val="14"/>
                <w:i w:val="1"/>
                <w:iCs w:val="1"/>
                <w:color w:val="auto"/>
                <w:w w:val="90"/>
              </w:rPr>
              <w:t>(in thousands, except share and per share data)</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Short-term debt</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4,595</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4,595</w:t>
            </w:r>
          </w:p>
        </w:tc>
        <w:tc>
          <w:tcPr>
            <w:tcW w:w="32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4,595</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4,595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line="157" w:lineRule="exact"/>
              <w:rPr>
                <w:sz w:val="20"/>
                <w:szCs w:val="20"/>
                <w:color w:val="auto"/>
              </w:rPr>
            </w:pPr>
            <w:r>
              <w:rPr>
                <w:rFonts w:ascii="Arial" w:cs="Arial" w:eastAsia="Arial" w:hAnsi="Arial"/>
                <w:sz w:val="14"/>
                <w:szCs w:val="14"/>
                <w:color w:val="auto"/>
                <w:w w:val="92"/>
              </w:rPr>
              <w:t>Redeemable convertible preferred stock, without par value, actual, $0.0001 par value per share, as adjusted, pro forma and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3"/>
              </w:rPr>
              <w:t>Series A: 385,000 shares authorized, issued and outstanding, actual and as adjusted; no shares authorized, issued or</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B: 1,572,000 shares authorized, issued and outstanding, actual and as adjusted; no shares authorized, issued or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1,572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1,572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1"/>
              </w:rPr>
              <w:t>Series C: 1,360,962 shares authorized, issued and outstanding, actual and as adjusted; no shares authorized, issued or</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D: 2,659,975 shares authorized and 1,326,642 shares issued and outstanding, actual and as adjusted; no 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4,975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4,975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0"/>
              </w:rPr>
              <w:t>Series E: 10,718,530 shares authorized and no shares issued and outstanding, actual; 10,718,530 shares authorized and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0"/>
              </w:rPr>
              <w:t>4,998,530 shares issued and outstanding, as adjusted; no shares authorized, issued or outstanding, pro forma and pro</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F: 6,000,000 shares authorized and 3,663,254 shares, issued and outstanding, actual and as adjusted; no 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1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9,158</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Total redeemable convertible preferred stock</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7"/>
              </w:rPr>
              <w:t>18,034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23,834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Stockholders’ (deficit) equity:</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2"/>
              </w:rPr>
              <w:t>Undesignated preferred stock, $0.0001 par value per share: no shares authorized, issued and outstanding, actual or as</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adjusted; 25,000,000 shares authorized and no shares issued or outstanding, pro forma and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100" w:type="dxa"/>
            <w:vAlign w:val="bottom"/>
          </w:tcPr>
          <w:p>
            <w:pPr>
              <w:ind w:left="280"/>
              <w:spacing w:after="0" w:line="143" w:lineRule="exact"/>
              <w:rPr>
                <w:sz w:val="20"/>
                <w:szCs w:val="20"/>
                <w:color w:val="auto"/>
              </w:rPr>
            </w:pPr>
            <w:r>
              <w:rPr>
                <w:rFonts w:ascii="Arial" w:cs="Arial" w:eastAsia="Arial" w:hAnsi="Arial"/>
                <w:sz w:val="14"/>
                <w:szCs w:val="14"/>
                <w:color w:val="auto"/>
              </w:rPr>
              <w:t>Common stock, $0.0001 par value per share: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560"/>
              <w:spacing w:after="0" w:line="125" w:lineRule="exact"/>
              <w:rPr>
                <w:sz w:val="20"/>
                <w:szCs w:val="20"/>
                <w:color w:val="auto"/>
              </w:rPr>
            </w:pPr>
            <w:r>
              <w:rPr>
                <w:rFonts w:ascii="Arial" w:cs="Arial" w:eastAsia="Arial" w:hAnsi="Arial"/>
                <w:sz w:val="14"/>
                <w:szCs w:val="14"/>
                <w:color w:val="auto"/>
                <w:w w:val="90"/>
              </w:rPr>
              <w:t>Class A: 100,000,000 shares authorized; 2,627,293 shares issued and outstanding, actual; 4,741,635 shares issued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700"/>
              <w:spacing w:after="0" w:line="143" w:lineRule="exact"/>
              <w:rPr>
                <w:sz w:val="20"/>
                <w:szCs w:val="20"/>
                <w:color w:val="auto"/>
              </w:rPr>
            </w:pPr>
            <w:r>
              <w:rPr>
                <w:rFonts w:ascii="Arial" w:cs="Arial" w:eastAsia="Arial" w:hAnsi="Arial"/>
                <w:sz w:val="14"/>
                <w:szCs w:val="14"/>
                <w:color w:val="auto"/>
                <w:w w:val="90"/>
              </w:rPr>
              <w:t>and outstanding, as adjusted; 9,369,212 shares issued and outstanding pro forma; 12,702,546 shares issued and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outstanding,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5"/>
        </w:trPr>
        <w:tc>
          <w:tcPr>
            <w:tcW w:w="7100" w:type="dxa"/>
            <w:vAlign w:val="bottom"/>
          </w:tcPr>
          <w:p>
            <w:pPr>
              <w:ind w:left="560"/>
              <w:spacing w:after="0" w:line="125" w:lineRule="exact"/>
              <w:rPr>
                <w:sz w:val="20"/>
                <w:szCs w:val="20"/>
                <w:color w:val="auto"/>
              </w:rPr>
            </w:pPr>
            <w:r>
              <w:rPr>
                <w:rFonts w:ascii="Arial" w:cs="Arial" w:eastAsia="Arial" w:hAnsi="Arial"/>
                <w:sz w:val="14"/>
                <w:szCs w:val="14"/>
                <w:color w:val="auto"/>
                <w:w w:val="96"/>
              </w:rPr>
              <w:t>Class B: 7,303,533 shares authorized and 2,409,738 shares issued and outstanding, actual, and as adjusted;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700"/>
              <w:spacing w:after="0"/>
              <w:rPr>
                <w:sz w:val="20"/>
                <w:szCs w:val="20"/>
                <w:color w:val="auto"/>
              </w:rPr>
            </w:pPr>
            <w:r>
              <w:rPr>
                <w:rFonts w:ascii="Arial" w:cs="Arial" w:eastAsia="Arial" w:hAnsi="Arial"/>
                <w:sz w:val="14"/>
                <w:szCs w:val="14"/>
                <w:color w:val="auto"/>
              </w:rPr>
              <w:t>2,409,738 shares authorized, issued and 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9,346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9,411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33,245</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57,641</w:t>
            </w:r>
          </w:p>
        </w:tc>
        <w:tc>
          <w:tcPr>
            <w:tcW w:w="0" w:type="dxa"/>
            <w:vAlign w:val="bottom"/>
          </w:tcPr>
          <w:p>
            <w:pPr>
              <w:spacing w:after="0"/>
              <w:rPr>
                <w:sz w:val="1"/>
                <w:szCs w:val="1"/>
                <w:color w:val="auto"/>
              </w:rPr>
            </w:pPr>
          </w:p>
        </w:tc>
      </w:tr>
      <w:tr>
        <w:trPr>
          <w:trHeight w:val="143"/>
        </w:trPr>
        <w:tc>
          <w:tcPr>
            <w:tcW w:w="7100" w:type="dxa"/>
            <w:vAlign w:val="bottom"/>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88"/>
              </w:rPr>
              <w:t>(12,390)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(12,390)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(12,390)</w:t>
            </w:r>
          </w:p>
        </w:tc>
        <w:tc>
          <w:tcPr>
            <w:tcW w:w="24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9"/>
              </w:rPr>
              <w:t>(12,390)</w:t>
            </w: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(247)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7100" w:type="dxa"/>
            <w:vAlign w:val="bottom"/>
          </w:tcPr>
          <w:p>
            <w:pPr>
              <w:ind w:left="560"/>
              <w:spacing w:after="0" w:line="149" w:lineRule="exact"/>
              <w:rPr>
                <w:sz w:val="20"/>
                <w:szCs w:val="20"/>
                <w:color w:val="auto"/>
              </w:rPr>
            </w:pPr>
            <w:r>
              <w:rPr>
                <w:rFonts w:ascii="Arial" w:cs="Arial" w:eastAsia="Arial" w:hAnsi="Arial"/>
                <w:sz w:val="14"/>
                <w:szCs w:val="14"/>
                <w:color w:val="auto"/>
              </w:rPr>
              <w:t>Total ACM Research, Inc. stockholders’ (deficit) equity</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(3,289)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20,610</w:t>
            </w: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45,006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4,809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100" w:type="dxa"/>
            <w:vAlign w:val="bottom"/>
          </w:tcPr>
          <w:p>
            <w:pPr>
              <w:ind w:left="560"/>
              <w:spacing w:after="0" w:line="149" w:lineRule="exact"/>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20,610</w:t>
            </w:r>
          </w:p>
        </w:tc>
        <w:tc>
          <w:tcPr>
            <w:tcW w:w="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capitalization</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(19,554)</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(20,610)</w:t>
            </w:r>
          </w:p>
        </w:tc>
        <w:tc>
          <w:tcPr>
            <w:tcW w:w="32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20,610</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45,006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 $1.00 increase (decrease) in the assumed initial public offering price of $8.50 per share, the midpoint of the initial public offering price range set forth on the cover page of this prospectus, would increase (decrease) the amount of additional paid-in capital, total stockholders’ (deficit) equity and total capitalization by $1.9 million, assuming the number of shares offered by us, as set forth on the cover page of this prospectus, remains the same and after deducting estimated underwriting discounts and commissions, private placement fees, and offering expenses. Similarly, each increase (decrease) of 100,000 shares in the number of shares offered by us would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00"/>
          </w:cols>
          <w:pgMar w:left="240" w:top="448" w:right="3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increase (decrease) additional paid-in capital, total stockholders’ (deficit) equity and total capitalization by $790,500, assuming the assumed initial public offering price of $8.50 per share remains the same, and after deducting estimated underwriting discounts and commissions, private placement fees, and offering expenses. The pro forma as adjusted information discussed above is illustrative only and will be adjusted based on the actual public offering price and other terms of this offering determined at pricing. Moreover, the investors in the concurrent private placement may, as described in “Concurrent Private Placement” and “Use of Proceeds,” have the option not to purchase shares of Class A common stock in specified circumstances, in which case we would receive only the net proceeds of this offering.</w:t>
      </w:r>
    </w:p>
    <w:p>
      <w:pPr>
        <w:spacing w:after="0" w:line="180"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our equity incentive plan, which consisted of:</w:t>
      </w:r>
    </w:p>
    <w:p>
      <w:pPr>
        <w:spacing w:after="0" w:line="67" w:lineRule="exact"/>
        <w:rPr>
          <w:sz w:val="20"/>
          <w:szCs w:val="20"/>
          <w:color w:val="auto"/>
        </w:rPr>
      </w:pPr>
    </w:p>
    <w:p>
      <w:pPr>
        <w:ind w:left="900" w:right="40" w:hanging="439"/>
        <w:spacing w:after="0" w:line="271"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September 30, 2017, as described under “Management’s Discussion and Analysis of Financial Condition and Results of Operations—Recent Equity Transactions—Issuance of Warrant”);</w:t>
      </w:r>
    </w:p>
    <w:p>
      <w:pPr>
        <w:spacing w:after="0" w:line="80"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3,276,074 shares of Class A common stock issuable upon the exercise of outstanding options with a weighted-average exercise price of $2.39 per share at September 30, 2017; and</w:t>
      </w:r>
    </w:p>
    <w:p>
      <w:pPr>
        <w:spacing w:after="0" w:line="80" w:lineRule="exact"/>
        <w:rPr>
          <w:rFonts w:ascii="Arial" w:cs="Arial" w:eastAsia="Arial" w:hAnsi="Arial"/>
          <w:sz w:val="17"/>
          <w:szCs w:val="17"/>
          <w:color w:val="auto"/>
        </w:rPr>
      </w:pPr>
    </w:p>
    <w:p>
      <w:pPr>
        <w:ind w:left="900" w:right="200" w:hanging="439"/>
        <w:spacing w:after="0" w:line="26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585,381 shares of Class A common stock reserved for issuance under our equity incentive plan at September 30, 2017 after giving effect to 120,002 shares of Class A common stock to be issuable upon the exercise of options approved for grant to employees, as of the date of this prospectus, with an exercise price per share equal to the initial public offering price of the offering made hereby.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7"/>
          <w:szCs w:val="17"/>
          <w:color w:val="auto"/>
        </w:rPr>
        <w:t>If you invest in Class A common stock in this offering, your ownership interest will be diluted immediately to the extent of the difference between the initial public offering price per share you will pay in this offering and the pro forma as adjusted net tangible book value per share of Class A common stock immediately after this offering.</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of June 30, 2017, the actual net tangible book value of Class A and Class B common stock was $14.7 million, or $1.84 per share. Actual net tangible book value per share of common stock represents (a) total tangible assets less total liabilities and non-controlling interests, divided by (b) the total number of shares of common stock outstanding on an as-converted basis, assuming the conversion of all outstanding shares of our convertible preferred stock into an aggregate of 2,960,968 shares of Class A common stock, upon completion of this offering.</w:t>
      </w:r>
    </w:p>
    <w:p>
      <w:pPr>
        <w:spacing w:after="0" w:line="176"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As of June 30, 2017, the as adjusted net tangible book value of Class A and Class B common stock was $20.6 million, or $1.75 per share. Our as adjusted net tangible book value per share gives effect to:</w:t>
      </w:r>
    </w:p>
    <w:p>
      <w:pPr>
        <w:spacing w:after="0" w:line="67" w:lineRule="exact"/>
        <w:rPr>
          <w:sz w:val="20"/>
          <w:szCs w:val="20"/>
          <w:color w:val="auto"/>
        </w:rPr>
      </w:pPr>
    </w:p>
    <w:p>
      <w:pPr>
        <w:ind w:left="900" w:right="60" w:hanging="439"/>
        <w:spacing w:after="0" w:line="271"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closing of strategic investment transactions on September 11, 2017, with Ninebell, in which we issued 133,334 shares of Class A common stock to Ninebell for a purchase price of $1.0 million and Ninebell issued ordinary shares, representing 20% of its post-closing equity, to us for a purchase price of $1.2 million;</w:t>
      </w:r>
    </w:p>
    <w:p>
      <w:pPr>
        <w:spacing w:after="0" w:line="80" w:lineRule="exact"/>
        <w:rPr>
          <w:rFonts w:ascii="Arial" w:cs="Arial" w:eastAsia="Arial" w:hAnsi="Arial"/>
          <w:sz w:val="17"/>
          <w:szCs w:val="17"/>
          <w:color w:val="auto"/>
        </w:rPr>
      </w:pPr>
    </w:p>
    <w:p>
      <w:pPr>
        <w:ind w:left="900" w:right="60" w:hanging="439"/>
        <w:spacing w:after="0" w:line="262"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pursuant to which in the third-quarter of 2017 (i) we issued, 3,572,844 shares of Class A common stock (on an as-converted basis)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in “Management’s Discussion and Analysis of Financial Condition and Results of Operations—Recent Equity Transactions—Acquisition of Outstanding Minority Interests in Our Operating Company”;</w:t>
      </w:r>
    </w:p>
    <w:p>
      <w:pPr>
        <w:spacing w:after="0" w:line="88" w:lineRule="exact"/>
        <w:rPr>
          <w:rFonts w:ascii="Arial" w:cs="Arial" w:eastAsia="Arial" w:hAnsi="Arial"/>
          <w:sz w:val="17"/>
          <w:szCs w:val="17"/>
          <w:color w:val="auto"/>
        </w:rPr>
      </w:pPr>
    </w:p>
    <w:p>
      <w:pPr>
        <w:ind w:left="900" w:hanging="439"/>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 and</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conversion, upon completion of this offering, of all outstanding shares of our convertible preferred stock into an aggregate of 4,627,577 shares of Class A common stock.</w:t>
      </w:r>
    </w:p>
    <w:p>
      <w:pPr>
        <w:spacing w:after="0" w:line="158"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Our pro forma as adjusted net tangible book value of Class A common stock as of June 30, 2017 would have been $45.0 million, or $2.98 per share. Pro forma as adjusted net tangible book value further adjusts as adjusted data to reflect our sale of 2,000,000 shares of Class A common stock in this offering and 1,333,334 shares of Class A common stock in the concurrent private placement at an assumed initial public offering price of $8.50, the midpoint of the offering price range set forth on the cover page of this prospectus, after deducting estimated underwriting discounts and commissions, private placement fees, and offering expenses. This represents an immediate increase in pro forma as adjusted net tangible book value of $1.23 per share to our existing stockholders and an immediate dilution of $5.52 per share to purchasers.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3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7"/>
                <w:szCs w:val="17"/>
                <w:color w:val="auto"/>
              </w:rPr>
              <w:t>As adjusted net tangible book value per share as of June 30, 2017</w:t>
            </w:r>
          </w:p>
        </w:tc>
        <w:tc>
          <w:tcPr>
            <w:tcW w:w="1880" w:type="dxa"/>
            <w:vAlign w:val="bottom"/>
            <w:gridSpan w:val="3"/>
          </w:tcPr>
          <w:p>
            <w:pPr>
              <w:jc w:val="right"/>
              <w:ind w:right="380"/>
              <w:spacing w:after="0"/>
              <w:rPr>
                <w:sz w:val="20"/>
                <w:szCs w:val="20"/>
                <w:color w:val="auto"/>
              </w:rPr>
            </w:pPr>
            <w:r>
              <w:rPr>
                <w:rFonts w:ascii="Arial" w:cs="Arial" w:eastAsia="Arial" w:hAnsi="Arial"/>
                <w:sz w:val="17"/>
                <w:szCs w:val="17"/>
                <w:color w:val="auto"/>
              </w:rPr>
              <w:t>$1.75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net tangible book value per share attributable to this offering and the concurrent private placement</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after this offering and the concurrent private placement</w:t>
            </w:r>
          </w:p>
        </w:tc>
        <w:tc>
          <w:tcPr>
            <w:tcW w:w="1880" w:type="dxa"/>
            <w:vAlign w:val="bottom"/>
            <w:gridSpan w:val="3"/>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purchasers of Class A common stock in this offering and the concurrent private placement</w:t>
            </w:r>
          </w:p>
        </w:tc>
        <w:tc>
          <w:tcPr>
            <w:tcW w:w="23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jc w:val="right"/>
              <w:ind w:right="3193"/>
              <w:spacing w:after="0"/>
              <w:rPr>
                <w:sz w:val="20"/>
                <w:szCs w:val="20"/>
                <w:color w:val="auto"/>
              </w:rPr>
            </w:pPr>
            <w:r>
              <w:rPr>
                <w:rFonts w:ascii="Arial" w:cs="Arial" w:eastAsia="Arial" w:hAnsi="Arial"/>
                <w:sz w:val="17"/>
                <w:szCs w:val="17"/>
                <w:color w:val="auto"/>
              </w:rPr>
              <w:t>47</w:t>
            </w: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Each $1.00 increase (decrease) in the assumed initial public offering price of $8.50 per share, the midpoint of the initial public offering price range reflected on the cover page of this prospectus, would increase (decrease) the pro forma as-adjusted net tangible book value by $1.9 million and decrease (increase) the dilution per share to purchasers of Class A common stock in this offering by $0.21 per share, assuming the number of shares offered by us, as set forth on the cover page of this prospectus, remains the same and after deducting estimated underwriting discounts and commissions, private placement fees, and offering expenses. We may also increase (decrease) the number of shares we are offering. An increase (decrease) of 100,000 in the number of shares offered by us would increase (decrease) the as adjusted pro forma net tangible book value by $790,500 and decrease (increase) the dilution per share to purchasers of Class A common stock in this offering by $0.02 per share, assuming the assumed initial public offering price of $8.50 per share remains the same, and after deducting estimated underwriting discounts and commissions, private placement fees, and offering expenses. The pro forma information discussed above is illustrative only and will adjust based on the actual initial public offering price and other terms of this offering determined at pricing. Moreover, the investors in the concurrent private placement may, as described in “Concurrent Private Placement” and “Use of Proceeds,” have the option not to purchase shares of Class A common stock in specified circumstances, in which case we would receive only the net proceeds of this offering.</w:t>
      </w:r>
    </w:p>
    <w:p>
      <w:pPr>
        <w:spacing w:after="0" w:line="175"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 following table summarizes, on a pro forma as adjusted basis as of June 30, 2017, the differences between existing stockholders, the purchasers of Class A common stock in the concurrent private placement and purchasers of Class A common stock in this offering with respect to the number of shares of Class A common stock purchased from us, the total consideration paid to us and the average price per share paid. The calculation below is based on the assumed initial public offering price of $8.50 per share, the midpoint of the initial public offering price range set forth on the cover page of this prospectus, before deducting estimated underwriting discounts and commissions, private placement fees, and offering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tcPr>
          <w:p>
            <w:pPr>
              <w:spacing w:after="0"/>
              <w:rPr>
                <w:sz w:val="14"/>
                <w:szCs w:val="14"/>
                <w:color w:val="auto"/>
              </w:rPr>
            </w:pPr>
          </w:p>
        </w:tc>
        <w:tc>
          <w:tcPr>
            <w:tcW w:w="23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Shares Purchased</w:t>
            </w: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36"/>
        </w:trPr>
        <w:tc>
          <w:tcPr>
            <w:tcW w:w="56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w w:val="88"/>
              </w:rPr>
              <w:t>Per Share</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11,778,950</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$ 54,337,150</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7"/>
                <w:szCs w:val="17"/>
                <w:color w:val="auto"/>
              </w:rPr>
              <w:t>Purchasers of Class A common stock in the concurrent private placement</w:t>
            </w: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1,333,334</w:t>
            </w:r>
          </w:p>
        </w:tc>
        <w:tc>
          <w:tcPr>
            <w:tcW w:w="1080" w:type="dxa"/>
            <w:vAlign w:val="bottom"/>
            <w:gridSpan w:val="2"/>
          </w:tcPr>
          <w:p>
            <w:pPr>
              <w:jc w:val="right"/>
              <w:ind w:right="620"/>
              <w:spacing w:after="0"/>
              <w:rPr>
                <w:sz w:val="20"/>
                <w:szCs w:val="20"/>
                <w:color w:val="auto"/>
              </w:rPr>
            </w:pPr>
            <w:r>
              <w:rPr>
                <w:rFonts w:ascii="Arial" w:cs="Arial" w:eastAsia="Arial" w:hAnsi="Arial"/>
                <w:sz w:val="17"/>
                <w:szCs w:val="17"/>
                <w:color w:val="auto"/>
              </w:rPr>
              <w:t>8.8</w:t>
            </w:r>
          </w:p>
        </w:tc>
        <w:tc>
          <w:tcPr>
            <w:tcW w:w="1420" w:type="dxa"/>
            <w:vAlign w:val="bottom"/>
            <w:gridSpan w:val="2"/>
          </w:tcPr>
          <w:p>
            <w:pPr>
              <w:jc w:val="right"/>
              <w:ind w:right="460"/>
              <w:spacing w:after="0"/>
              <w:rPr>
                <w:sz w:val="20"/>
                <w:szCs w:val="20"/>
                <w:color w:val="auto"/>
              </w:rPr>
            </w:pPr>
            <w:r>
              <w:rPr>
                <w:rFonts w:ascii="Arial" w:cs="Arial" w:eastAsia="Arial" w:hAnsi="Arial"/>
                <w:sz w:val="17"/>
                <w:szCs w:val="17"/>
                <w:color w:val="auto"/>
              </w:rPr>
              <w:t>11,333,339</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Purchasers of Class A common stock in this offering</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17,000,000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7"/>
                <w:szCs w:val="17"/>
                <w:color w:val="auto"/>
              </w:rPr>
              <w:t>Totals</w:t>
            </w: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5.47</w:t>
            </w:r>
          </w:p>
        </w:tc>
        <w:tc>
          <w:tcPr>
            <w:tcW w:w="0" w:type="dxa"/>
            <w:vAlign w:val="bottom"/>
          </w:tcPr>
          <w:p>
            <w:pPr>
              <w:spacing w:after="0" w:line="20" w:lineRule="exact"/>
              <w:rPr>
                <w:sz w:val="1"/>
                <w:szCs w:val="1"/>
                <w:color w:val="auto"/>
              </w:rPr>
            </w:pPr>
          </w:p>
        </w:tc>
      </w:tr>
      <w:tr>
        <w:trPr>
          <w:trHeight w:val="215"/>
        </w:trPr>
        <w:tc>
          <w:tcPr>
            <w:tcW w:w="56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15,112,284</w:t>
            </w:r>
          </w:p>
        </w:tc>
        <w:tc>
          <w:tcPr>
            <w:tcW w:w="4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100.0%</w:t>
            </w:r>
          </w:p>
        </w:tc>
        <w:tc>
          <w:tcPr>
            <w:tcW w:w="960" w:type="dxa"/>
            <w:vAlign w:val="bottom"/>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82,670,489</w:t>
            </w:r>
          </w:p>
        </w:tc>
        <w:tc>
          <w:tcPr>
            <w:tcW w:w="4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40"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out equity incentive plan, which consisted of:</w:t>
      </w:r>
    </w:p>
    <w:p>
      <w:pPr>
        <w:spacing w:after="0" w:line="67" w:lineRule="exact"/>
        <w:rPr>
          <w:sz w:val="20"/>
          <w:szCs w:val="20"/>
          <w:color w:val="auto"/>
        </w:rPr>
      </w:pPr>
    </w:p>
    <w:p>
      <w:pPr>
        <w:ind w:left="900" w:right="40" w:hanging="439"/>
        <w:spacing w:after="0" w:line="27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September 30, 2017, as described under “Management’s Discussion and Analysis of Financial Condition and Results of Operations—Recent Equity Transactions—Issuance of Warrant”);</w:t>
      </w:r>
    </w:p>
    <w:p>
      <w:pPr>
        <w:spacing w:after="0" w:line="80" w:lineRule="exact"/>
        <w:rPr>
          <w:rFonts w:ascii="Arial" w:cs="Arial" w:eastAsia="Arial" w:hAnsi="Arial"/>
          <w:sz w:val="17"/>
          <w:szCs w:val="17"/>
          <w:color w:val="auto"/>
        </w:rPr>
      </w:pPr>
    </w:p>
    <w:p>
      <w:pPr>
        <w:jc w:val="both"/>
        <w:ind w:left="900" w:right="400" w:hanging="439"/>
        <w:spacing w:after="0" w:line="27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3,276,074 shares of Class A common stock issuable upon the exercise of outstanding options with a weighted-average exercise price of $2.39 per share at September 30, 2017; and</w:t>
      </w:r>
    </w:p>
    <w:p>
      <w:pPr>
        <w:spacing w:after="0" w:line="80" w:lineRule="exact"/>
        <w:rPr>
          <w:rFonts w:ascii="Arial" w:cs="Arial" w:eastAsia="Arial" w:hAnsi="Arial"/>
          <w:sz w:val="17"/>
          <w:szCs w:val="17"/>
          <w:color w:val="auto"/>
        </w:rPr>
      </w:pPr>
    </w:p>
    <w:p>
      <w:pPr>
        <w:ind w:left="900" w:right="200" w:hanging="439"/>
        <w:spacing w:after="0" w:line="266"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585,381 shares of Class A common stock reserved for issuance under our equity incentive plan at September 30, 2017 after giving effect to 120,002 shares of Class A common stock to be issuable upon the exercise of options approved for grant to employees, as of the date of this prospectus, with an exercise price per share equal to the initial public offering price of the offering made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RATE INFORMATION</w:t>
      </w:r>
    </w:p>
    <w:p>
      <w:pPr>
        <w:spacing w:after="0" w:line="228"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September 29, 2017, the conversion rate was RMB 6.6369 to U.S. $1.00.</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980" w:type="dxa"/>
            <w:vAlign w:val="bottom"/>
            <w:gridSpan w:val="2"/>
            <w:vMerge w:val="continue"/>
          </w:tcPr>
          <w:p>
            <w:pPr>
              <w:spacing w:after="0"/>
              <w:rPr>
                <w:sz w:val="11"/>
                <w:szCs w:val="11"/>
                <w:color w:val="auto"/>
              </w:rPr>
            </w:pPr>
          </w:p>
        </w:tc>
        <w:tc>
          <w:tcPr>
            <w:tcW w:w="86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1"/>
              </w:rPr>
              <w:t>Period End</w:t>
            </w:r>
          </w:p>
        </w:tc>
        <w:tc>
          <w:tcPr>
            <w:tcW w:w="1000" w:type="dxa"/>
            <w:vAlign w:val="bottom"/>
          </w:tcPr>
          <w:p>
            <w:pPr>
              <w:jc w:val="right"/>
              <w:ind w:right="119"/>
              <w:spacing w:after="0" w:line="137" w:lineRule="exact"/>
              <w:rPr>
                <w:sz w:val="20"/>
                <w:szCs w:val="20"/>
                <w:color w:val="auto"/>
              </w:rPr>
            </w:pPr>
            <w:r>
              <w:rPr>
                <w:rFonts w:ascii="Arial" w:cs="Arial" w:eastAsia="Arial" w:hAnsi="Arial"/>
                <w:sz w:val="14"/>
                <w:szCs w:val="14"/>
                <w:b w:val="1"/>
                <w:bCs w:val="1"/>
                <w:color w:val="auto"/>
              </w:rPr>
              <w:t>Average(1)</w:t>
            </w:r>
          </w:p>
        </w:tc>
        <w:tc>
          <w:tcPr>
            <w:tcW w:w="860" w:type="dxa"/>
            <w:vAlign w:val="bottom"/>
          </w:tcPr>
          <w:p>
            <w:pPr>
              <w:jc w:val="right"/>
              <w:ind w:right="256"/>
              <w:spacing w:after="0" w:line="137"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jc w:val="right"/>
              <w:ind w:right="56"/>
              <w:spacing w:after="0" w:line="137"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Borders>
              <w:top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tcPr>
          <w:p>
            <w:pPr>
              <w:jc w:val="right"/>
              <w:ind w:right="296"/>
              <w:spacing w:after="0" w:line="137" w:lineRule="exact"/>
              <w:rPr>
                <w:sz w:val="20"/>
                <w:szCs w:val="20"/>
                <w:color w:val="auto"/>
              </w:rPr>
            </w:pPr>
            <w:r>
              <w:rPr>
                <w:rFonts w:ascii="Arial" w:cs="Arial" w:eastAsia="Arial" w:hAnsi="Arial"/>
                <w:sz w:val="14"/>
                <w:szCs w:val="14"/>
                <w:b w:val="1"/>
                <w:bCs w:val="1"/>
                <w:color w:val="auto"/>
              </w:rPr>
              <w:t>(RMB per U.S. $1.00)</w:t>
            </w: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6.3001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6.2928</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6.2670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6.3495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2013</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6.2897</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6.1933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6.0969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6.2898</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6.0990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6.1090</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6.0930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6.1710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2015</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6.4936</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6.2284</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6.1079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6.4936</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6.9370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6.6423</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6.4565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6.9508</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7"/>
                <w:szCs w:val="17"/>
                <w:color w:val="auto"/>
              </w:rPr>
              <w:t>2017 (through September 29)</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6.6369</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6.7983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6.4997</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83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Source: safe.gov.cn</w:t>
      </w:r>
    </w:p>
    <w:p>
      <w:pPr>
        <w:spacing w:after="0" w:line="130" w:lineRule="exact"/>
        <w:rPr>
          <w:sz w:val="20"/>
          <w:szCs w:val="20"/>
          <w:color w:val="auto"/>
        </w:rPr>
      </w:pPr>
    </w:p>
    <w:p>
      <w:pPr>
        <w:ind w:left="460" w:hanging="456"/>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Calculated using the average of the daily exchange rates during the relevant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INFORMATION</w:t>
      </w:r>
    </w:p>
    <w:p>
      <w:pPr>
        <w:spacing w:after="0" w:line="22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The following tables set forth selected consolidated financial data. We derived the consolidated statement of operations data for the years ended December 31, 2015 and 2016 and the consolidated balance sheet data as of December 31, 2016 from our consolidated financial statements audited by BDO China Shu Lun Pan Certified Public Accountants LLP and included at the end of this prospectus. We derived the consolidated statement of operations data for the six months ended June 30, 2016 and June 30, 2017 and the consolidated balance sheet data as of June 30, 2017 from our unaudited consolidated financial statements included elsewhere in this prospectus. In the opinion of management, the unaudited consolidated financial statements have been prepared on the same basis as our audited consolidated financial statements and include all adjustments, consisting only of normal recurring adjustments, necessary for a fair presentation of the information set forth therein. The following tables also show certain operational and non-GAAP financial measures. Our historical results and key metrics are not necessarily indicative of the results to be expected for any future period, and the results for any interim period are not necessarily indicative of the results that may be expected for a full year. The following should be read in conjunction with “Management’s Discussion and Analysis of Financial Condition and Results of Operations” and our consolidated financial statements and related notes included at the end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60" w:firstLine="457"/>
        <w:spacing w:after="0" w:line="296" w:lineRule="auto"/>
        <w:rPr>
          <w:sz w:val="20"/>
          <w:szCs w:val="20"/>
          <w:color w:val="auto"/>
        </w:rPr>
      </w:pPr>
      <w:r>
        <w:rPr>
          <w:rFonts w:ascii="Arial" w:cs="Arial" w:eastAsia="Arial" w:hAnsi="Arial"/>
          <w:sz w:val="16"/>
          <w:szCs w:val="16"/>
          <w:color w:val="auto"/>
        </w:rPr>
        <w:t>Pro forma information in the following tables gives effect to the automatic conversion of all outstanding shares of our convertible preferred stock into Class A common stock upon completion of this offering. See note 2 to the consolidated financial statements appearing at the end of this prospectus for an explanation of the method used to determine the number of shares used in computing historical and pro forma net income (loss)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7"/>
          </w:tcPr>
          <w:p>
            <w:pPr>
              <w:jc w:val="right"/>
              <w:ind w:right="260"/>
              <w:spacing w:after="0" w:line="149" w:lineRule="exact"/>
              <w:rPr>
                <w:sz w:val="20"/>
                <w:szCs w:val="20"/>
                <w:color w:val="auto"/>
              </w:rPr>
            </w:pPr>
            <w:r>
              <w:rPr>
                <w:rFonts w:ascii="Arial" w:cs="Arial" w:eastAsia="Arial" w:hAnsi="Arial"/>
                <w:sz w:val="14"/>
                <w:szCs w:val="14"/>
                <w:i w:val="1"/>
                <w:iCs w:val="1"/>
                <w:color w:val="auto"/>
                <w:w w:val="95"/>
              </w:rPr>
              <w:t>(in thousands, except share and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Revenue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14,423</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8,122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27,371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5,292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5,853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13,329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3,158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1,089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2,673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4,393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680"/>
              <w:spacing w:after="0"/>
              <w:rPr>
                <w:sz w:val="20"/>
                <w:szCs w:val="20"/>
                <w:color w:val="auto"/>
              </w:rPr>
            </w:pPr>
            <w:r>
              <w:rPr>
                <w:rFonts w:ascii="Arial" w:cs="Arial" w:eastAsia="Arial" w:hAnsi="Arial"/>
                <w:sz w:val="17"/>
                <w:szCs w:val="17"/>
                <w:color w:val="auto"/>
              </w:rPr>
              <w:t>Income (loss) from operations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(1,755)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3,490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(749)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(595)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2,387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Net income (loss) per share of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Weighted-average common shares outstanding used in computing per share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2,176,315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3,792,137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(loss) per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Pro forma weighted-average common shares outstanding used in computing</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5,137,211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6,753,033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00" w:hanging="336"/>
        <w:spacing w:after="0" w:line="284"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ACM Shanghai and the remaining 37.13% was held by three third-party investors. As described under “Management’s Discussion and Analysis of Financial Condition and Results of Operations—Recent Equity Transactions—Acquisition of Minority Interests in Our Operating Company,” ACM Research acquired an additional 18.77% of the outstanding ACM Shanghai equity interests as of August 31, 2017 and will acquire, in the fourth quarter of 2017, all of the remaining outstanding equity interests held by the minority investors.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8"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940" w:type="dxa"/>
            <w:vAlign w:val="bottom"/>
            <w:gridSpan w:val="3"/>
          </w:tcPr>
          <w:p>
            <w:pPr>
              <w:ind w:left="15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35"/>
              <w:spacing w:after="0" w:line="137" w:lineRule="exact"/>
              <w:rPr>
                <w:sz w:val="20"/>
                <w:szCs w:val="20"/>
                <w:color w:val="auto"/>
              </w:rPr>
            </w:pPr>
            <w:r>
              <w:rPr>
                <w:rFonts w:ascii="Arial" w:cs="Arial" w:eastAsia="Arial" w:hAnsi="Arial"/>
                <w:sz w:val="14"/>
                <w:szCs w:val="14"/>
                <w:b w:val="1"/>
                <w:bCs w:val="1"/>
                <w:color w:val="auto"/>
                <w:w w:val="90"/>
              </w:rPr>
              <w:t>June 30, 2017</w:t>
            </w:r>
          </w:p>
        </w:tc>
        <w:tc>
          <w:tcPr>
            <w:tcW w:w="500" w:type="dxa"/>
            <w:vAlign w:val="bottom"/>
            <w:tcBorders>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31"/>
              <w:spacing w:after="0" w:line="137"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60" w:type="dxa"/>
            <w:vAlign w:val="bottom"/>
            <w:gridSpan w:val="2"/>
          </w:tcPr>
          <w:p>
            <w:pPr>
              <w:jc w:val="right"/>
              <w:ind w:right="491"/>
              <w:spacing w:after="0" w:line="137"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80" w:type="dxa"/>
            <w:vAlign w:val="bottom"/>
            <w:gridSpan w:val="2"/>
          </w:tcPr>
          <w:p>
            <w:pPr>
              <w:ind w:left="156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13,206</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$ 10,119</w:t>
            </w:r>
          </w:p>
        </w:tc>
        <w:tc>
          <w:tcPr>
            <w:tcW w:w="1020" w:type="dxa"/>
            <w:vAlign w:val="bottom"/>
          </w:tcPr>
          <w:p>
            <w:pPr>
              <w:jc w:val="right"/>
              <w:spacing w:after="0"/>
              <w:rPr>
                <w:sz w:val="20"/>
                <w:szCs w:val="20"/>
                <w:color w:val="auto"/>
              </w:rPr>
            </w:pPr>
            <w:r>
              <w:rPr>
                <w:rFonts w:ascii="Arial" w:cs="Arial" w:eastAsia="Arial" w:hAnsi="Arial"/>
                <w:sz w:val="17"/>
                <w:szCs w:val="17"/>
                <w:color w:val="auto"/>
              </w:rPr>
              <w:t>$  4,401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23,433</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23,278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47,437</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44,467</w:t>
            </w:r>
          </w:p>
        </w:tc>
        <w:tc>
          <w:tcPr>
            <w:tcW w:w="1020" w:type="dxa"/>
            <w:vAlign w:val="bottom"/>
          </w:tcPr>
          <w:p>
            <w:pPr>
              <w:jc w:val="right"/>
              <w:spacing w:after="0"/>
              <w:rPr>
                <w:sz w:val="20"/>
                <w:szCs w:val="20"/>
                <w:color w:val="auto"/>
              </w:rPr>
            </w:pPr>
            <w:r>
              <w:rPr>
                <w:rFonts w:ascii="Arial" w:cs="Arial" w:eastAsia="Arial" w:hAnsi="Arial"/>
                <w:sz w:val="17"/>
                <w:szCs w:val="17"/>
                <w:color w:val="auto"/>
              </w:rPr>
              <w:t>32,151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4,595</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4,772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27,883</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23,948</w:t>
            </w:r>
          </w:p>
        </w:tc>
        <w:tc>
          <w:tcPr>
            <w:tcW w:w="1020" w:type="dxa"/>
            <w:vAlign w:val="bottom"/>
          </w:tcPr>
          <w:p>
            <w:pPr>
              <w:jc w:val="right"/>
              <w:spacing w:after="0"/>
              <w:rPr>
                <w:sz w:val="20"/>
                <w:szCs w:val="20"/>
                <w:color w:val="auto"/>
              </w:rPr>
            </w:pPr>
            <w:r>
              <w:rPr>
                <w:rFonts w:ascii="Arial" w:cs="Arial" w:eastAsia="Arial" w:hAnsi="Arial"/>
                <w:sz w:val="17"/>
                <w:szCs w:val="17"/>
                <w:color w:val="auto"/>
              </w:rPr>
              <w:t>27,754</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18,034</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18,034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ACM Research, Inc. stockholders’ deficit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(3,289)</w:t>
            </w:r>
          </w:p>
        </w:tc>
        <w:tc>
          <w:tcPr>
            <w:tcW w:w="1560" w:type="dxa"/>
            <w:vAlign w:val="bottom"/>
            <w:gridSpan w:val="2"/>
          </w:tcPr>
          <w:p>
            <w:pPr>
              <w:jc w:val="right"/>
              <w:ind w:right="291"/>
              <w:spacing w:after="0"/>
              <w:rPr>
                <w:sz w:val="20"/>
                <w:szCs w:val="20"/>
                <w:color w:val="auto"/>
              </w:rPr>
            </w:pPr>
            <w:r>
              <w:rPr>
                <w:rFonts w:ascii="Arial" w:cs="Arial" w:eastAsia="Arial" w:hAnsi="Arial"/>
                <w:sz w:val="17"/>
                <w:szCs w:val="17"/>
                <w:color w:val="auto"/>
              </w:rPr>
              <w:t>(2,434)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(8,236)</w:t>
            </w: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4,809</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4,919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1,520</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2,485</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(4,479)</w:t>
            </w:r>
          </w:p>
        </w:tc>
      </w:tr>
    </w:tbl>
    <w:p>
      <w:pPr>
        <w:spacing w:after="0" w:line="210" w:lineRule="exact"/>
        <w:rPr>
          <w:sz w:val="20"/>
          <w:szCs w:val="20"/>
          <w:color w:val="auto"/>
        </w:rPr>
      </w:pPr>
    </w:p>
    <w:p>
      <w:pPr>
        <w:ind w:left="460" w:hanging="456"/>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Calculated as current assets minus current liabilities.</w:t>
      </w:r>
    </w:p>
    <w:p>
      <w:pPr>
        <w:spacing w:after="0" w:line="22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free cash flow and adjusted operating income (loss)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free cash flow and adjusted operating income (loss), as presented, may not be comparable to other similarly titled measures of other companies.</w:t>
      </w:r>
    </w:p>
    <w:p>
      <w:pPr>
        <w:spacing w:after="0" w:line="96" w:lineRule="exact"/>
        <w:rPr>
          <w:sz w:val="20"/>
          <w:szCs w:val="20"/>
          <w:color w:val="auto"/>
        </w:rPr>
      </w:pPr>
    </w:p>
    <w:p>
      <w:pPr>
        <w:ind w:left="900" w:right="280" w:hanging="439"/>
        <w:spacing w:after="0" w:line="298"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Net income (loss)</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(1,029)</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2,387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(2,525)</w:t>
            </w: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20"/>
          </w:cols>
          <w:pgMar w:left="240" w:top="448"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71"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purchase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80"/>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Consolidated Statement of Cash Flows and Free Cash</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Flow Data:</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2,983</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(3,702)</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900" w:hanging="439"/>
        <w:spacing w:after="0" w:line="320"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0"/>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0"/>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(1,755)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(1,563)</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3,490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7"/>
                <w:szCs w:val="17"/>
                <w:color w:val="auto"/>
              </w:rPr>
              <w:t>Adjusted operating income (loss)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(407)</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(1,370)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3,873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48"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June 30, 2017, we had sold and deployed more than 30 single-wafer wet cleaning tools. We recognized revenue from the selected customers’ purchases of single-wafer wet cleaning equipment totaling $10.6 million, or 73.6% of our revenue, in the first half of 2017, $21.5 million, or 78.4% of our revenue, in 2016, and $26.8 million, or 86.0% of our revenue, in 2015.</w:t>
      </w:r>
    </w:p>
    <w:p>
      <w:pPr>
        <w:spacing w:after="0" w:line="166"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8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123"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ACM Research incorporated in California in 1998 and redomesticated to Delaware in November 2016. Key events in our corporate development have included:</w:t>
      </w:r>
    </w:p>
    <w:p>
      <w:pPr>
        <w:spacing w:after="0" w:line="67" w:lineRule="exact"/>
        <w:rPr>
          <w:sz w:val="20"/>
          <w:szCs w:val="20"/>
          <w:color w:val="auto"/>
        </w:rPr>
      </w:pPr>
    </w:p>
    <w:p>
      <w:pPr>
        <w:ind w:left="900" w:right="20" w:hanging="439"/>
        <w:spacing w:after="0" w:line="287"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80"/>
          </w:cols>
          <w:pgMar w:left="240" w:top="448" w:right="2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7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2006 we moved our operational center to Shanghai, where we began to conduct our business through our subsidiary ACM Shanghai. This move was made to help us establish and build relationships with chip manufacturers in the PRC. We have financed our operations in part through the sale of minority equity interests in ACM Shanghai.</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2007 we began to focus our development efforts on single-wafer wet-cleaning solutions for the front-end chip fabrication process.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2008 ACM Shanghai received an initial grant from local and central governmental authorities in the PRC. The grant relates to the development and commercialization of 65nm to 45nm stress-free polishing technology.</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can be applied in wet wafer cleaning at numerous steps during the chip fabrication process.</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41" w:lineRule="exact"/>
        <w:rPr>
          <w:rFonts w:ascii="Arial" w:cs="Arial" w:eastAsia="Arial" w:hAnsi="Arial"/>
          <w:sz w:val="16"/>
          <w:szCs w:val="16"/>
          <w:color w:val="auto"/>
        </w:rPr>
      </w:pPr>
    </w:p>
    <w:p>
      <w:pPr>
        <w:ind w:left="900" w:right="80" w:hanging="439"/>
        <w:spacing w:after="0" w:line="287"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2014 ACM Shanghai received an additional grant from local and central governmental authorities in the PRC. The grant relates to the development of electro copper-plating technology.</w:t>
      </w:r>
    </w:p>
    <w:p>
      <w:pPr>
        <w:spacing w:after="0" w:line="66"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March 2016 we introduced TEBO technology, which can be applied at numerous steps during the fabrication of small node conventional two-dimensional and three-dimensional patterned wafers.</w:t>
      </w:r>
    </w:p>
    <w:p>
      <w:pPr>
        <w:spacing w:after="0" w:line="66" w:lineRule="exact"/>
        <w:rPr>
          <w:rFonts w:ascii="Arial" w:cs="Arial" w:eastAsia="Arial" w:hAnsi="Arial"/>
          <w:sz w:val="17"/>
          <w:szCs w:val="17"/>
          <w:color w:val="auto"/>
        </w:rPr>
      </w:pPr>
    </w:p>
    <w:p>
      <w:pPr>
        <w:ind w:left="900" w:right="380" w:hanging="439"/>
        <w:spacing w:after="0" w:line="27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March and August 2017, we entered into agreements pursuant to which we will acquire all of the outstanding minority equity interests in ACM Shanghai by no later than December 31, 2017, as described below under “—Recent Equity Transactions—Acquisition of Outstanding Minority Interests in Our Operating Company.”</w:t>
      </w:r>
    </w:p>
    <w:p>
      <w:pPr>
        <w:spacing w:after="0" w:line="80" w:lineRule="exact"/>
        <w:rPr>
          <w:rFonts w:ascii="Arial" w:cs="Arial" w:eastAsia="Arial" w:hAnsi="Arial"/>
          <w:sz w:val="17"/>
          <w:szCs w:val="17"/>
          <w:color w:val="auto"/>
        </w:rPr>
      </w:pPr>
    </w:p>
    <w:p>
      <w:pPr>
        <w:ind w:left="900" w:right="20" w:hanging="439"/>
        <w:spacing w:after="0" w:line="27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Equity Transactions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Warrant</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SMC is a PRC limited partnership owned by Jian Wang, our Vice President, Research and Development and the brother of our Chair of the Board, Chief Executive Officer and President, David H. Wang, and other employees of ACM Shanghai.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w:t>
      </w:r>
    </w:p>
    <w:p>
      <w:pPr>
        <w:spacing w:after="0" w:line="89" w:lineRule="exact"/>
        <w:rPr>
          <w:sz w:val="20"/>
          <w:szCs w:val="20"/>
          <w:color w:val="auto"/>
        </w:rPr>
      </w:pPr>
    </w:p>
    <w:p>
      <w:pPr>
        <w:ind w:left="900" w:right="280" w:hanging="335"/>
        <w:spacing w:after="0" w:line="320"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SMC does not exercise the warrant by May 17, 2023, ACM Shanghai will be obligated, subject to approval of PRC governmental authorities and ACM Shanghai’s equity holders, to deliver an equity interest of 3.6394% (subject to dilution) in satisfaction of the SMC Investment.</w:t>
      </w:r>
    </w:p>
    <w:p>
      <w:pPr>
        <w:spacing w:after="0" w:line="43" w:lineRule="exact"/>
        <w:rPr>
          <w:rFonts w:ascii="Arial" w:cs="Arial" w:eastAsia="Arial" w:hAnsi="Arial"/>
          <w:sz w:val="16"/>
          <w:szCs w:val="16"/>
          <w:color w:val="auto"/>
        </w:rPr>
      </w:pPr>
    </w:p>
    <w:p>
      <w:pPr>
        <w:ind w:left="900" w:right="20" w:hanging="335"/>
        <w:spacing w:after="0" w:line="271"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SMC exercises the warrant or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w:t>
      </w:r>
    </w:p>
    <w:p>
      <w:pPr>
        <w:spacing w:after="0" w:line="172" w:lineRule="exact"/>
        <w:rPr>
          <w:sz w:val="20"/>
          <w:szCs w:val="20"/>
          <w:color w:val="auto"/>
        </w:rPr>
      </w:pPr>
    </w:p>
    <w:p>
      <w:pPr>
        <w:jc w:val="center"/>
        <w:ind w:left="280" w:right="420"/>
        <w:spacing w:after="0" w:line="463" w:lineRule="auto"/>
        <w:rPr>
          <w:sz w:val="20"/>
          <w:szCs w:val="20"/>
          <w:color w:val="auto"/>
        </w:rPr>
      </w:pPr>
      <w:r>
        <w:rPr>
          <w:rFonts w:ascii="Arial" w:cs="Arial" w:eastAsia="Arial" w:hAnsi="Arial"/>
          <w:sz w:val="17"/>
          <w:szCs w:val="17"/>
          <w:color w:val="auto"/>
        </w:rPr>
        <w:t>For more information, see “Related Party Transactions—Issuance of Warrant,” “Principal Stockholders,” and “Description of Capital Stock—Warrant.” 54</w:t>
      </w:r>
    </w:p>
    <w:p>
      <w:pPr>
        <w:sectPr>
          <w:pgSz w:w="11900" w:h="16838" w:orient="portrait"/>
          <w:cols w:equalWidth="0" w:num="1">
            <w:col w:w="11420"/>
          </w:cols>
          <w:pgMar w:left="240" w:top="448"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are reflected as “non-controlling interests” in our consolidated balance sheets and related notes. We have taken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68" w:lineRule="exact"/>
        <w:rPr>
          <w:sz w:val="20"/>
          <w:szCs w:val="20"/>
          <w:color w:val="auto"/>
        </w:rPr>
      </w:pPr>
    </w:p>
    <w:p>
      <w:pPr>
        <w:ind w:left="900" w:hanging="335"/>
        <w:spacing w:after="0" w:line="263"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will convert, upon the closing of this offering, into 1,666,170 shares of Class A common stock, which SSTVC will have acquired at an effective purchase price of $3.48 per share.</w:t>
      </w:r>
    </w:p>
    <w:p>
      <w:pPr>
        <w:spacing w:after="0" w:line="89" w:lineRule="exact"/>
        <w:rPr>
          <w:rFonts w:ascii="Arial" w:cs="Arial" w:eastAsia="Arial" w:hAnsi="Arial"/>
          <w:sz w:val="17"/>
          <w:szCs w:val="17"/>
          <w:color w:val="auto"/>
        </w:rPr>
      </w:pPr>
    </w:p>
    <w:p>
      <w:pPr>
        <w:ind w:left="900" w:right="120" w:hanging="335"/>
        <w:spacing w:after="0" w:line="28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and (b) issued to PST, on September 8, 2017, 1,119,576 shares of Class A common stock for a purchase price of $7.50 per share, representing an aggregate purchase price of $8.4 million.</w:t>
      </w:r>
    </w:p>
    <w:p>
      <w:pPr>
        <w:spacing w:after="0" w:line="68" w:lineRule="exact"/>
        <w:rPr>
          <w:rFonts w:ascii="Arial" w:cs="Arial" w:eastAsia="Arial" w:hAnsi="Arial"/>
          <w:sz w:val="16"/>
          <w:szCs w:val="16"/>
          <w:color w:val="auto"/>
        </w:rPr>
      </w:pPr>
    </w:p>
    <w:p>
      <w:pPr>
        <w:ind w:left="900" w:right="80" w:hanging="335"/>
        <w:spacing w:after="0" w:line="28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and (b) issued to ZJAJ, on September 8, 2017, 787,098 shares of Class A common stock for a purchase price of $7.50 per share, or an aggregate purchase price of $5.9 million.</w:t>
      </w:r>
    </w:p>
    <w:p>
      <w:pPr>
        <w:spacing w:after="0" w:line="160"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As a result of the foregoing arrangements, ACM Research owned 81.64% of ACM Shanghai’s equity interests as of August 31, 2017 and will own 100% of those equity interests by no later than December 31, 2017.</w:t>
      </w:r>
    </w:p>
    <w:p>
      <w:pPr>
        <w:spacing w:after="0" w:line="158"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accordance with the foregoing agreements, we (a) entered into a voting agreement with SSTVC pursuant to which SSTVC will have certain rights to designate one individual for nomination and election to our board of directors, as described in “Management—Board of Directors—Director Nomination Rights,” and (b) granted SSTVC, PST and ZJAJ certain registration rights with respect to the shares of Class A common stock, as described in “Description of Capital Stock —Registration Rights.”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Strategic Investment in Key Supplier</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67" w:lineRule="exact"/>
        <w:rPr>
          <w:sz w:val="20"/>
          <w:szCs w:val="20"/>
          <w:color w:val="auto"/>
        </w:rPr>
      </w:pPr>
    </w:p>
    <w:p>
      <w:pPr>
        <w:ind w:left="900" w:right="120" w:hanging="335"/>
        <w:spacing w:after="0" w:line="287"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66" w:lineRule="exact"/>
        <w:rPr>
          <w:rFonts w:ascii="Arial" w:cs="Arial" w:eastAsia="Arial" w:hAnsi="Arial"/>
          <w:sz w:val="17"/>
          <w:szCs w:val="17"/>
          <w:color w:val="auto"/>
        </w:rPr>
      </w:pPr>
    </w:p>
    <w:p>
      <w:pPr>
        <w:ind w:left="900" w:right="400" w:hanging="335"/>
        <w:spacing w:after="0" w:line="320"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135"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8"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68" w:lineRule="exact"/>
        <w:rPr>
          <w:sz w:val="20"/>
          <w:szCs w:val="20"/>
          <w:color w:val="auto"/>
        </w:rPr>
      </w:pPr>
    </w:p>
    <w:p>
      <w:pPr>
        <w:ind w:left="460" w:firstLine="438"/>
        <w:spacing w:after="0" w:line="303" w:lineRule="auto"/>
        <w:rPr>
          <w:sz w:val="20"/>
          <w:szCs w:val="20"/>
          <w:color w:val="auto"/>
        </w:rPr>
      </w:pPr>
      <w:r>
        <w:rPr>
          <w:rFonts w:ascii="Arial" w:cs="Arial" w:eastAsia="Arial" w:hAnsi="Arial"/>
          <w:sz w:val="15"/>
          <w:szCs w:val="15"/>
          <w:i w:val="1"/>
          <w:iCs w:val="1"/>
          <w:color w:val="auto"/>
        </w:rPr>
        <w:t>Sales and Development</w:t>
      </w:r>
      <w:r>
        <w:rPr>
          <w:rFonts w:ascii="Arial" w:cs="Arial" w:eastAsia="Arial" w:hAnsi="Arial"/>
          <w:sz w:val="15"/>
          <w:szCs w:val="15"/>
          <w:color w:val="auto"/>
        </w:rPr>
        <w:t>. During the sale process we may, depending on a prospective customer’s specifications and requirements, need to perform</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49"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7"/>
          <w:szCs w:val="17"/>
          <w:i w:val="1"/>
          <w:iCs w:val="1"/>
          <w:color w:val="auto"/>
        </w:rPr>
        <w:t>Evaluation Periods</w:t>
      </w:r>
      <w:r>
        <w:rPr>
          <w:rFonts w:ascii="Arial" w:cs="Arial" w:eastAsia="Arial" w:hAnsi="Arial"/>
          <w:sz w:val="17"/>
          <w:szCs w:val="17"/>
          <w:color w:val="auto"/>
        </w:rPr>
        <w:t>. When a chip manufacturer proposes to purchase a particular type of tool from us for the first time, we offer the manufacturer an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75" w:lineRule="exact"/>
        <w:rPr>
          <w:sz w:val="20"/>
          <w:szCs w:val="20"/>
          <w:color w:val="auto"/>
        </w:rPr>
      </w:pPr>
    </w:p>
    <w:p>
      <w:pPr>
        <w:ind w:left="460" w:right="120" w:firstLine="438"/>
        <w:spacing w:after="0" w:line="307" w:lineRule="auto"/>
        <w:rPr>
          <w:sz w:val="20"/>
          <w:szCs w:val="20"/>
          <w:color w:val="auto"/>
        </w:rPr>
      </w:pPr>
      <w:r>
        <w:rPr>
          <w:rFonts w:ascii="Arial" w:cs="Arial" w:eastAsia="Arial" w:hAnsi="Arial"/>
          <w:sz w:val="15"/>
          <w:szCs w:val="15"/>
          <w:i w:val="1"/>
          <w:iCs w:val="1"/>
          <w:color w:val="auto"/>
        </w:rPr>
        <w:t>Purchase Orders</w:t>
      </w:r>
      <w:r>
        <w:rPr>
          <w:rFonts w:ascii="Arial" w:cs="Arial" w:eastAsia="Arial" w:hAnsi="Arial"/>
          <w:sz w:val="15"/>
          <w:szCs w:val="15"/>
          <w:color w:val="auto"/>
        </w:rPr>
        <w:t>. In accordance with industry practice, sales of our tools are made pursuant to purchase orders. Each purchase order from a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44" w:lineRule="exact"/>
        <w:rPr>
          <w:sz w:val="20"/>
          <w:szCs w:val="20"/>
          <w:color w:val="auto"/>
        </w:rPr>
      </w:pPr>
    </w:p>
    <w:p>
      <w:pPr>
        <w:ind w:left="460" w:right="100" w:firstLine="438"/>
        <w:spacing w:after="0" w:line="266" w:lineRule="auto"/>
        <w:rPr>
          <w:sz w:val="20"/>
          <w:szCs w:val="20"/>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seek to obtain a purchase order for a tool from three to four months in advance of the expected delivery date.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76"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80"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8"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280" w:firstLine="457"/>
        <w:spacing w:after="0" w:line="296"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$10.6 million, or 73.6% of our revenue, in the first half of 2017 (compared with $5.6 million, or 69.1% of revenue, in the first half of 2016), $21.5 million, or 78.4% of our revenue, in 2016 and $26.8 million, or 86.0% of our revenue, in 2015.</w:t>
      </w:r>
    </w:p>
    <w:p>
      <w:pPr>
        <w:spacing w:after="0" w:line="154"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5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All of our sales in 2015, 2016 and the first half of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72"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We recognize revenue in accordance with the Securities and Exchange Commission’s Staff Accounting Bulletin No. 104, as described below under “— Critical Accounting Policies and Significant Judgments and Estimates—Revenue Recognition.”</w:t>
      </w:r>
    </w:p>
    <w:p>
      <w:pPr>
        <w:spacing w:after="0" w:line="15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2016 and the first half of 2017, we received payments for parts and labor for service activities provided from time to time, but as of June 30, 2017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8"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for capital equipment consists primarily of:</w:t>
      </w:r>
    </w:p>
    <w:p>
      <w:pPr>
        <w:spacing w:after="0" w:line="130" w:lineRule="exact"/>
        <w:rPr>
          <w:sz w:val="20"/>
          <w:szCs w:val="20"/>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direct costs, which consist principally of costs of tool components and subassemblies purchased from third-party vendors;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compensation of personnel associated with our manufacturing operations,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depreciation of manufacturing equipment;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amortization of costs of software used for manufacturing purposes;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expenses attributable to our manufacturing department;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00" w:firstLine="457"/>
        <w:spacing w:after="0" w:line="320" w:lineRule="auto"/>
        <w:rPr>
          <w:sz w:val="20"/>
          <w:szCs w:val="20"/>
          <w:color w:val="auto"/>
        </w:rPr>
      </w:pPr>
      <w:r>
        <w:rPr>
          <w:rFonts w:ascii="Arial" w:cs="Arial" w:eastAsia="Arial" w:hAnsi="Arial"/>
          <w:sz w:val="16"/>
          <w:szCs w:val="16"/>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35"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Margin</w:t>
      </w:r>
    </w:p>
    <w:p>
      <w:pPr>
        <w:spacing w:after="0" w:line="117" w:lineRule="exact"/>
        <w:rPr>
          <w:sz w:val="20"/>
          <w:szCs w:val="20"/>
          <w:color w:val="auto"/>
        </w:rPr>
      </w:pPr>
    </w:p>
    <w:p>
      <w:pPr>
        <w:jc w:val="both"/>
        <w:ind w:right="20" w:firstLine="457"/>
        <w:spacing w:after="0" w:line="323" w:lineRule="auto"/>
        <w:rPr>
          <w:sz w:val="20"/>
          <w:szCs w:val="20"/>
          <w:color w:val="auto"/>
        </w:rPr>
      </w:pPr>
      <w:r>
        <w:rPr>
          <w:rFonts w:ascii="Arial" w:cs="Arial" w:eastAsia="Arial" w:hAnsi="Arial"/>
          <w:sz w:val="15"/>
          <w:szCs w:val="15"/>
          <w:color w:val="auto"/>
        </w:rPr>
        <w:t>Our gross margin was 40.6% in the first half of 2017 (compared with 34.8% in the first half of 2016), 48.7% in 2016 and 45.3% in 2015.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138"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20"/>
          </w:cols>
          <w:pgMar w:left="240" w:top="448"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320" w:lineRule="auto"/>
        <w:rPr>
          <w:sz w:val="20"/>
          <w:szCs w:val="20"/>
          <w:color w:val="auto"/>
        </w:rPr>
      </w:pPr>
      <w:r>
        <w:rPr>
          <w:rFonts w:ascii="Arial" w:cs="Arial" w:eastAsia="Arial" w:hAnsi="Arial"/>
          <w:sz w:val="16"/>
          <w:szCs w:val="16"/>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Sales and Marketing</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Sales and marketing expense accounted for 17.9% of our revenue in the first half of 2017 (compared with 22.4% of revenue in the first half of 2016), 14.3% of our revenue in 2016 and 13.5% of our revenue in 2015. Sales and marketing expense consists primarily of:</w:t>
      </w:r>
    </w:p>
    <w:p>
      <w:pPr>
        <w:spacing w:after="0" w:line="67" w:lineRule="exact"/>
        <w:rPr>
          <w:sz w:val="20"/>
          <w:szCs w:val="20"/>
          <w:color w:val="auto"/>
        </w:rPr>
      </w:pPr>
    </w:p>
    <w:p>
      <w:pPr>
        <w:ind w:left="900" w:hanging="439"/>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warranty costs;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1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72" w:lineRule="exact"/>
        <w:rPr>
          <w:sz w:val="20"/>
          <w:szCs w:val="20"/>
          <w:color w:val="auto"/>
        </w:rPr>
      </w:pPr>
    </w:p>
    <w:p>
      <w:pPr>
        <w:jc w:val="both"/>
        <w:ind w:right="120" w:firstLine="457"/>
        <w:spacing w:after="0" w:line="28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448" w:right="2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Research and Development</w:t>
      </w:r>
    </w:p>
    <w:p>
      <w:pPr>
        <w:spacing w:after="0" w:line="117"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Research and development expense accounted for 13.0% of our revenue in the first half of 2017 (compared with 18.3% of revenue in the first half of 2016),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62" w:lineRule="exact"/>
        <w:rPr>
          <w:sz w:val="20"/>
          <w:szCs w:val="20"/>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820" w:firstLine="457"/>
        <w:spacing w:after="0" w:line="287" w:lineRule="auto"/>
        <w:rPr>
          <w:sz w:val="20"/>
          <w:szCs w:val="20"/>
          <w:color w:val="auto"/>
        </w:rPr>
      </w:pPr>
      <w:r>
        <w:rPr>
          <w:rFonts w:ascii="Arial" w:cs="Arial" w:eastAsia="Arial" w:hAnsi="Arial"/>
          <w:sz w:val="17"/>
          <w:szCs w:val="17"/>
          <w:color w:val="auto"/>
        </w:rPr>
        <w:t>Some of our research and development has been funded by grants from the PRC government, as described in “—PRC Government Research and Development Funding” below.</w:t>
      </w:r>
    </w:p>
    <w:p>
      <w:pPr>
        <w:spacing w:after="0" w:line="158"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 and administrative expense accounted for 21.9% of our revenue in the first half of 2017 (compared with 13.4% of revenue in the first half of 2016),</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9.8% of our revenue in 2016 and 6.7% of our revenue in 2015. General and administrative expense consists primarily of:</w:t>
      </w:r>
    </w:p>
    <w:p>
      <w:pPr>
        <w:spacing w:after="0" w:line="118" w:lineRule="exact"/>
        <w:rPr>
          <w:sz w:val="20"/>
          <w:szCs w:val="20"/>
          <w:color w:val="auto"/>
        </w:rPr>
      </w:pPr>
    </w:p>
    <w:p>
      <w:pPr>
        <w:ind w:left="900" w:right="220" w:hanging="439"/>
        <w:spacing w:after="0" w:line="287"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 will increase in absolute dollars, as we incur additional costs associated with growing our business and operating as a public company.</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7" w:lineRule="exact"/>
        <w:rPr>
          <w:sz w:val="20"/>
          <w:szCs w:val="20"/>
          <w:color w:val="auto"/>
        </w:rPr>
      </w:pPr>
    </w:p>
    <w:p>
      <w:pPr>
        <w:ind w:right="600" w:firstLine="457"/>
        <w:spacing w:after="0" w:line="271"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Non-Employees</w:t>
      </w:r>
      <w:r>
        <w:rPr>
          <w:rFonts w:ascii="Arial" w:cs="Arial" w:eastAsia="Arial" w:hAnsi="Arial"/>
          <w:sz w:val="17"/>
          <w:szCs w:val="17"/>
          <w:color w:val="auto"/>
        </w:rPr>
        <w:t>, each as adopted by the Financial Accounting Standards Board, or FASB.</w:t>
      </w:r>
    </w:p>
    <w:p>
      <w:pPr>
        <w:spacing w:after="0" w:line="81" w:lineRule="exact"/>
        <w:rPr>
          <w:sz w:val="20"/>
          <w:szCs w:val="20"/>
          <w:color w:val="auto"/>
        </w:rPr>
      </w:pPr>
    </w:p>
    <w:p>
      <w:pPr>
        <w:ind w:left="900" w:hanging="439"/>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6" w:lineRule="exact"/>
        <w:rPr>
          <w:rFonts w:ascii="Arial" w:cs="Arial" w:eastAsia="Arial" w:hAnsi="Arial"/>
          <w:sz w:val="16"/>
          <w:szCs w:val="16"/>
          <w:color w:val="auto"/>
        </w:rPr>
      </w:pPr>
    </w:p>
    <w:p>
      <w:pPr>
        <w:ind w:left="900" w:right="100"/>
        <w:spacing w:after="0" w:line="315" w:lineRule="auto"/>
        <w:rPr>
          <w:rFonts w:ascii="Arial" w:cs="Arial" w:eastAsia="Arial" w:hAnsi="Arial"/>
          <w:sz w:val="16"/>
          <w:szCs w:val="16"/>
          <w:color w:val="auto"/>
        </w:rPr>
      </w:pPr>
      <w:r>
        <w:rPr>
          <w:rFonts w:ascii="Arial" w:cs="Arial" w:eastAsia="Arial" w:hAnsi="Arial"/>
          <w:sz w:val="15"/>
          <w:szCs w:val="15"/>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60"/>
          </w:cols>
          <w:pgMar w:left="240" w:top="448" w:right="2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900" w:right="60" w:hanging="439"/>
        <w:spacing w:after="0" w:line="26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and operating expenses during the periods presented below have included stock-based compensation as follows: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6"/>
              <w:spacing w:after="0"/>
              <w:rPr>
                <w:sz w:val="20"/>
                <w:szCs w:val="20"/>
                <w:color w:val="auto"/>
              </w:rPr>
            </w:pPr>
            <w:r>
              <w:rPr>
                <w:rFonts w:ascii="Arial" w:cs="Arial" w:eastAsia="Arial" w:hAnsi="Arial"/>
                <w:sz w:val="14"/>
                <w:szCs w:val="14"/>
                <w:b w:val="1"/>
                <w:bCs w:val="1"/>
                <w:color w:val="auto"/>
                <w:w w:val="90"/>
              </w:rPr>
              <w:t>Six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r>
      <w:tr>
        <w:trPr>
          <w:trHeight w:val="166"/>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36"/>
        </w:trPr>
        <w:tc>
          <w:tcPr>
            <w:tcW w:w="64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9"/>
              </w:rPr>
              <w:t>2016</w:t>
            </w:r>
          </w:p>
        </w:tc>
        <w:tc>
          <w:tcPr>
            <w:tcW w:w="8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36"/>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Research and development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1,294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183</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362</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406</w:t>
            </w:r>
          </w:p>
        </w:tc>
        <w:tc>
          <w:tcPr>
            <w:tcW w:w="60" w:type="dxa"/>
            <w:vAlign w:val="bottom"/>
            <w:shd w:val="clear" w:color="auto" w:fill="CCEEFF"/>
          </w:tcPr>
          <w:p>
            <w:pPr>
              <w:spacing w:after="0"/>
              <w:rPr>
                <w:sz w:val="18"/>
                <w:szCs w:val="18"/>
                <w:color w:val="auto"/>
              </w:rPr>
            </w:pPr>
          </w:p>
        </w:tc>
      </w:tr>
      <w:tr>
        <w:trPr>
          <w:trHeight w:val="215"/>
        </w:trPr>
        <w:tc>
          <w:tcPr>
            <w:tcW w:w="6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1,348</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193</w:t>
            </w: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383</w:t>
            </w: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423</w:t>
            </w:r>
          </w:p>
        </w:tc>
        <w:tc>
          <w:tcPr>
            <w:tcW w:w="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recognized stock-based compensation expense to employees of $128,000 in the first half of 2017 (compared to $46,000 in the first half of 2016), $92,000 in 2016 and $73,000 in 2015. As of June 30, 2017 and December 31, 2016 and 2015, there was $788,000, $726,000 and $299,000 of total unrecognized employee share-based compensation expense, net of estimated forfeitures, related to unvested share-based awards, which are expected to be recognized over a weighted-average period of 2.12 years, 2.25 years and 1.24 years, respectively.</w:t>
      </w:r>
    </w:p>
    <w:p>
      <w:pPr>
        <w:spacing w:after="0" w:line="176"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color w:val="auto"/>
        </w:rPr>
        <w:t>We recognized stock-based compensation expense to non-employees of $1.2 million in the first half of 2017 (compared to $148,000 in the first half of 2016), $291,000 in 2016 and $350,000 in 2015. The fair value of each option granted to a non-employee is re-measured at each period end until the vesting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PRC Government Research and Development Funding</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81" w:lineRule="exact"/>
        <w:rPr>
          <w:sz w:val="20"/>
          <w:szCs w:val="20"/>
          <w:color w:val="auto"/>
        </w:rPr>
      </w:pPr>
    </w:p>
    <w:p>
      <w:pPr>
        <w:ind w:left="900" w:right="280" w:hanging="439"/>
        <w:spacing w:after="0" w:line="271"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$2.1 million in the first half of 2017 (compared to $2.0 million in the first half of 2016), $6.2 million in 2016 and $3.8 million in 2015.</w:t>
      </w:r>
    </w:p>
    <w:p>
      <w:pPr>
        <w:spacing w:after="0" w:line="80" w:lineRule="exact"/>
        <w:rPr>
          <w:rFonts w:ascii="Arial" w:cs="Arial" w:eastAsia="Arial" w:hAnsi="Arial"/>
          <w:sz w:val="17"/>
          <w:szCs w:val="17"/>
          <w:color w:val="auto"/>
        </w:rPr>
      </w:pPr>
    </w:p>
    <w:p>
      <w:pPr>
        <w:ind w:left="900" w:right="100" w:hanging="439"/>
        <w:spacing w:after="0" w:line="320"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Government subsidies for interest on short-term borrowings are reported as reductions of interest expense in the periods the interest is accrued. Those reductions totaled $0 in the first half of 2017 (compared to $101,000 in the first half of 2016), $99,000 in 2016 and $303,000 in 2015.</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48"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60" w:hanging="439"/>
        <w:spacing w:after="0" w:line="26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$65,000 in the first half of 2017 (compared to $63,000 in the first half of 2016), $127,000 in 2016 and $105,000 in 2015.</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17" w:lineRule="exact"/>
        <w:rPr>
          <w:sz w:val="20"/>
          <w:szCs w:val="20"/>
          <w:color w:val="auto"/>
        </w:rPr>
      </w:pPr>
    </w:p>
    <w:p>
      <w:pPr>
        <w:jc w:val="both"/>
        <w:ind w:right="240" w:firstLine="457"/>
        <w:spacing w:after="0" w:line="294" w:lineRule="auto"/>
        <w:rPr>
          <w:sz w:val="20"/>
          <w:szCs w:val="20"/>
          <w:color w:val="auto"/>
        </w:rPr>
      </w:pPr>
      <w:r>
        <w:rPr>
          <w:rFonts w:ascii="Arial" w:cs="Arial" w:eastAsia="Arial" w:hAnsi="Arial"/>
          <w:sz w:val="15"/>
          <w:szCs w:val="15"/>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“—Our Company—Acquisition of Outstanding Minority Interests in Our Operating Company,” ACM Research (a) acquired an additional 18.77% equity interest from one of the minority investors as of August 31, 2017 and</w:t>
      </w:r>
    </w:p>
    <w:p>
      <w:pPr>
        <w:spacing w:after="0" w:line="1" w:lineRule="exact"/>
        <w:rPr>
          <w:sz w:val="20"/>
          <w:szCs w:val="20"/>
          <w:color w:val="auto"/>
        </w:rPr>
      </w:pPr>
    </w:p>
    <w:p>
      <w:pPr>
        <w:ind w:right="200" w:firstLine="4"/>
        <w:spacing w:after="0" w:line="272" w:lineRule="auto"/>
        <w:tabs>
          <w:tab w:leader="none" w:pos="2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entered into agreements with the other two minority investors pursuant to which it will acquire the remaining non-controlling interests in the fourth quarter of 2017.</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present information below with respect to three measures of financial performance:</w:t>
      </w:r>
    </w:p>
    <w:p>
      <w:pPr>
        <w:spacing w:after="0" w:line="130" w:lineRule="exact"/>
        <w:rPr>
          <w:sz w:val="20"/>
          <w:szCs w:val="20"/>
          <w:color w:val="auto"/>
        </w:rPr>
      </w:pPr>
    </w:p>
    <w:p>
      <w:pPr>
        <w:ind w:left="900" w:right="200" w:hanging="439"/>
        <w:spacing w:after="0" w:line="357"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21" w:lineRule="exact"/>
        <w:rPr>
          <w:rFonts w:ascii="Arial" w:cs="Arial" w:eastAsia="Arial" w:hAnsi="Arial"/>
          <w:sz w:val="15"/>
          <w:szCs w:val="15"/>
          <w:color w:val="auto"/>
        </w:rPr>
      </w:pPr>
    </w:p>
    <w:p>
      <w:pPr>
        <w:ind w:left="900" w:right="60" w:hanging="439"/>
        <w:spacing w:after="0" w:line="287"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81" w:lineRule="exact"/>
        <w:rPr>
          <w:sz w:val="20"/>
          <w:szCs w:val="20"/>
          <w:color w:val="auto"/>
        </w:rPr>
      </w:pPr>
    </w:p>
    <w:p>
      <w:pPr>
        <w:ind w:left="900" w:right="200" w:hanging="439"/>
        <w:spacing w:after="0" w:line="28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48" w:right="2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6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85" w:lineRule="exact"/>
        <w:rPr>
          <w:rFonts w:ascii="Arial" w:cs="Arial" w:eastAsia="Arial" w:hAnsi="Arial"/>
          <w:sz w:val="17"/>
          <w:szCs w:val="17"/>
          <w:color w:val="auto"/>
        </w:rPr>
      </w:pPr>
    </w:p>
    <w:p>
      <w:pPr>
        <w:ind w:left="900" w:right="220" w:hanging="439"/>
        <w:spacing w:after="0" w:line="28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66"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income (loss), the most directly comparable GAAP financial measure, to 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4"/>
                <w:szCs w:val="14"/>
                <w:b w:val="1"/>
                <w:bCs w:val="1"/>
                <w:color w:val="auto"/>
                <w:w w:val="96"/>
              </w:rPr>
              <w:t>2017</w:t>
            </w: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76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Net income (loss)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(2,955)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(1,029)</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w w:val="88"/>
              </w:rPr>
              <w:t>$2,387</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(73)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595</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193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383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3,717</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$ 6,078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Adjusted EBITDA in the six months ended June 30, 2017, as compared with the comparable period in 2016, reflected an increase of $3.2 million in net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substantially offset by an increase of $3.0 million in gross profit. Adjusted EBITDA in 2016, as compared with 2016, reflected a decrease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$792,000 in gross profit and an increase of $582,000 in net operating expenses, in addition to the other factors driving net income. We do not exclude from adjusted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EBITDA expense reductions and non-operating other income attributable to PRC governmental grants because we consider and incorporate the expected amounts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and timing of those grants in incurring expenses and capital expenditures. If we did not receive the grants, our cash expenses therefore would be lower, and our cash</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position would not be affected, to the extent we have accurately anticipated the amounts of the grants. For additional information regarding our PRC grants, please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see “—Key Components of Results of Operations—PRC Government Research and Development Funding.”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8"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24"/>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31"/>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2420" w:type="dxa"/>
            <w:vAlign w:val="bottom"/>
            <w:gridSpan w:val="3"/>
          </w:tcPr>
          <w:p>
            <w:pPr>
              <w:jc w:val="right"/>
              <w:ind w:right="200"/>
              <w:spacing w:after="0"/>
              <w:rPr>
                <w:sz w:val="20"/>
                <w:szCs w:val="20"/>
                <w:color w:val="auto"/>
              </w:rPr>
            </w:pPr>
            <w:r>
              <w:rPr>
                <w:rFonts w:ascii="Arial" w:cs="Arial" w:eastAsia="Arial" w:hAnsi="Arial"/>
                <w:sz w:val="17"/>
                <w:szCs w:val="17"/>
                <w:color w:val="auto"/>
              </w:rPr>
              <w:t>$2,983</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$(3,702)</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 net of proceeds from disposals</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Purchases of intangible assets</w:t>
            </w:r>
          </w:p>
        </w:tc>
        <w:tc>
          <w:tcPr>
            <w:tcW w:w="17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940" w:type="dxa"/>
            <w:vAlign w:val="bottom"/>
            <w:gridSpan w:val="3"/>
          </w:tcPr>
          <w:p>
            <w:pPr>
              <w:jc w:val="right"/>
              <w:ind w:right="26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(4,512)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Free cash flow in the six months ended June 30, 2017, as compared with the comparable period in 2016, reflected, in addition to the factors driving net cash provided by operating activities, (a) decreases in accounts receivable offset by increases in accounts payable and (b) increases in stock-based compensation. Free cash flow in 2016, as compared with 2015, reflected, in addition to the factors driving net cash provided by operating activities, (a) increases in inventory and accounts receivable resulting from increased sales activities and (b) our continued expenditures on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80"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which would affect our cash position. The following tables reflect the exclusion of stock-based compensation from line items comprising income (loss) from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40"/>
              <w:spacing w:after="0" w:line="137"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00" w:type="dxa"/>
            <w:vAlign w:val="bottom"/>
            <w:gridSpan w:val="2"/>
          </w:tcPr>
          <w:p>
            <w:pPr>
              <w:jc w:val="right"/>
              <w:ind w:right="420"/>
              <w:spacing w:after="0" w:line="114"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9"/>
                <w:szCs w:val="9"/>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SBC</w:t>
            </w:r>
          </w:p>
        </w:tc>
        <w:tc>
          <w:tcPr>
            <w:tcW w:w="100" w:type="dxa"/>
            <w:vAlign w:val="bottom"/>
          </w:tcPr>
          <w:p>
            <w:pPr>
              <w:spacing w:after="0"/>
              <w:rPr>
                <w:sz w:val="9"/>
                <w:szCs w:val="9"/>
                <w:color w:val="auto"/>
              </w:rPr>
            </w:pPr>
          </w:p>
        </w:tc>
        <w:tc>
          <w:tcPr>
            <w:tcW w:w="680" w:type="dxa"/>
            <w:vAlign w:val="bottom"/>
          </w:tcPr>
          <w:p>
            <w:pPr>
              <w:jc w:val="right"/>
              <w:ind w:right="38"/>
              <w:spacing w:after="0" w:line="114" w:lineRule="exact"/>
              <w:rPr>
                <w:sz w:val="20"/>
                <w:szCs w:val="20"/>
                <w:color w:val="auto"/>
              </w:rPr>
            </w:pPr>
            <w:r>
              <w:rPr>
                <w:rFonts w:ascii="Arial" w:cs="Arial" w:eastAsia="Arial" w:hAnsi="Arial"/>
                <w:sz w:val="13"/>
                <w:szCs w:val="13"/>
                <w:b w:val="1"/>
                <w:bCs w:val="1"/>
                <w:color w:val="auto"/>
                <w:w w:val="97"/>
              </w:rPr>
              <w:t>Adjusted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6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SBC</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36"/>
              <w:spacing w:after="0" w:line="114" w:lineRule="exact"/>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Revenue</w:t>
            </w:r>
          </w:p>
        </w:tc>
        <w:tc>
          <w:tcPr>
            <w:tcW w:w="2800" w:type="dxa"/>
            <w:vAlign w:val="bottom"/>
            <w:gridSpan w:val="3"/>
          </w:tcPr>
          <w:p>
            <w:pPr>
              <w:jc w:val="right"/>
              <w:ind w:right="32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$ 8,122</w:t>
            </w:r>
          </w:p>
        </w:tc>
        <w:tc>
          <w:tcPr>
            <w:tcW w:w="740" w:type="dxa"/>
            <w:vAlign w:val="bottom"/>
            <w:gridSpan w:val="3"/>
          </w:tcPr>
          <w:p>
            <w:pPr>
              <w:jc w:val="right"/>
              <w:ind w:right="280"/>
              <w:spacing w:after="0"/>
              <w:rPr>
                <w:sz w:val="20"/>
                <w:szCs w:val="20"/>
                <w:color w:val="auto"/>
              </w:rPr>
            </w:pPr>
            <w:r>
              <w:rPr>
                <w:rFonts w:ascii="Arial" w:cs="Arial" w:eastAsia="Arial" w:hAnsi="Arial"/>
                <w:sz w:val="17"/>
                <w:szCs w:val="17"/>
                <w:color w:val="auto"/>
              </w:rPr>
              <w:t>$ —</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(8,560)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(5,292)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2,830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800" w:type="dxa"/>
            <w:vAlign w:val="bottom"/>
            <w:gridSpan w:val="3"/>
          </w:tcPr>
          <w:p>
            <w:pPr>
              <w:jc w:val="right"/>
              <w:ind w:right="26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(2,565)</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(1,818)</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(1,841)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(1,486)</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9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(1,294)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(1,864)</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(1,089)</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(1,348)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(1,563)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7"/>
                <w:szCs w:val="17"/>
                <w:color w:val="auto"/>
              </w:rPr>
              <w:t>64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20"/>
              <w:spacing w:after="0" w:line="137"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00"/>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0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680" w:type="dxa"/>
            <w:vAlign w:val="bottom"/>
          </w:tcPr>
          <w:p>
            <w:pPr>
              <w:jc w:val="right"/>
              <w:ind w:right="39"/>
              <w:spacing w:after="0" w:line="114" w:lineRule="exact"/>
              <w:rPr>
                <w:sz w:val="20"/>
                <w:szCs w:val="20"/>
                <w:color w:val="auto"/>
              </w:rPr>
            </w:pPr>
            <w:r>
              <w:rPr>
                <w:rFonts w:ascii="Arial" w:cs="Arial" w:eastAsia="Arial" w:hAnsi="Arial"/>
                <w:sz w:val="13"/>
                <w:szCs w:val="13"/>
                <w:b w:val="1"/>
                <w:bCs w:val="1"/>
                <w:color w:val="auto"/>
                <w:w w:val="97"/>
              </w:rPr>
              <w:t>Adjusted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32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70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Revenue</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27,371</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31,206</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(14,042)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(14,031)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(17,085)</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(3,907)</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(3,902)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(4,213)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(3,259)</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(2,673)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(2,103)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(1,697)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4,863</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(423)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360" w:firstLine="457"/>
        <w:spacing w:after="0" w:line="271" w:lineRule="auto"/>
        <w:rPr>
          <w:sz w:val="20"/>
          <w:szCs w:val="20"/>
          <w:color w:val="auto"/>
        </w:rPr>
      </w:pPr>
      <w:r>
        <w:rPr>
          <w:rFonts w:ascii="Arial" w:cs="Arial" w:eastAsia="Arial" w:hAnsi="Arial"/>
          <w:sz w:val="17"/>
          <w:szCs w:val="17"/>
          <w:color w:val="auto"/>
        </w:rPr>
        <w:t>Adjusted operating loss in the six months ended June 30, 2017, as compared with the comparable period in 2016, reflected an increase of $1.2 million in stock-based compensation expense. Adjusted operating income in 2016, as compared with 2015, reflected a decrease of $44,000 in stock-based compensation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3" w:lineRule="exact"/>
        <w:rPr>
          <w:sz w:val="20"/>
          <w:szCs w:val="20"/>
          <w:color w:val="auto"/>
        </w:rPr>
      </w:pPr>
    </w:p>
    <w:p>
      <w:pPr>
        <w:jc w:val="both"/>
        <w:ind w:right="60" w:firstLine="457"/>
        <w:spacing w:after="0" w:line="295" w:lineRule="auto"/>
        <w:rPr>
          <w:sz w:val="20"/>
          <w:szCs w:val="20"/>
          <w:color w:val="auto"/>
        </w:rPr>
      </w:pPr>
      <w:r>
        <w:rPr>
          <w:rFonts w:ascii="Arial" w:cs="Arial" w:eastAsia="Arial" w:hAnsi="Arial"/>
          <w:sz w:val="15"/>
          <w:szCs w:val="15"/>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w:t>
      </w:r>
    </w:p>
    <w:p>
      <w:pPr>
        <w:spacing w:after="0" w:line="2"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72"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85" w:lineRule="exact"/>
        <w:rPr>
          <w:sz w:val="20"/>
          <w:szCs w:val="20"/>
          <w:color w:val="auto"/>
        </w:rPr>
      </w:pPr>
    </w:p>
    <w:p>
      <w:pPr>
        <w:ind w:left="900" w:right="160" w:hanging="439"/>
        <w:spacing w:after="0" w:line="28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type of tool with the same specifications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260" w:hanging="439"/>
        <w:spacing w:after="0" w:line="28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the sales contract or purchase order does not contain an acceptance agreement or a lapsing acceptance provision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20" w:hanging="439"/>
        <w:spacing w:after="0" w:line="28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our sales arrangements do not include a general right of return.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8"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80" w:firstLine="457"/>
        <w:spacing w:after="0" w:line="28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the first half of 2017 and in 2016 and 2015 all of our tools were sold in stand-alone arrangements.</w:t>
      </w:r>
    </w:p>
    <w:p>
      <w:pPr>
        <w:spacing w:after="0" w:line="160"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7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85" w:lineRule="exact"/>
        <w:rPr>
          <w:sz w:val="20"/>
          <w:szCs w:val="20"/>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30" w:lineRule="exact"/>
        <w:rPr>
          <w:rFonts w:ascii="Arial" w:cs="Arial" w:eastAsia="Arial" w:hAnsi="Arial"/>
          <w:sz w:val="17"/>
          <w:szCs w:val="17"/>
          <w:color w:val="auto"/>
        </w:rPr>
      </w:pPr>
    </w:p>
    <w:p>
      <w:pPr>
        <w:ind w:left="900" w:hanging="439"/>
        <w:spacing w:after="0" w:line="281"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6"/>
          <w:szCs w:val="16"/>
          <w:color w:val="auto"/>
        </w:rPr>
      </w:pPr>
    </w:p>
    <w:p>
      <w:pPr>
        <w:ind w:left="900" w:right="560" w:hanging="439"/>
        <w:spacing w:after="0" w:line="320"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43" w:lineRule="exact"/>
        <w:rPr>
          <w:rFonts w:ascii="Arial" w:cs="Arial" w:eastAsia="Arial" w:hAnsi="Arial"/>
          <w:sz w:val="16"/>
          <w:szCs w:val="16"/>
          <w:color w:val="auto"/>
        </w:rPr>
      </w:pPr>
    </w:p>
    <w:p>
      <w:pPr>
        <w:ind w:left="900" w:right="120" w:hanging="439"/>
        <w:spacing w:after="0" w:line="287"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expected dividend yield is assumed to be 0%, based on the fact that we have never paid cash dividends and have no present intention to pay cash dividends.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448" w:right="2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No stock options were granted to employees during the six months ended June 30, 2016. For employee stock option grants made during the six months ended June 30, 2017 and the years ended December 31, 2016 and 2015, the weighted-average assumptions used in the Black-Scholes option pricing model to determine the fair value of those grants were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2"/>
              </w:rPr>
              <w:t>Months</w:t>
            </w: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Ended</w:t>
            </w:r>
          </w:p>
        </w:tc>
        <w:tc>
          <w:tcPr>
            <w:tcW w:w="2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6"/>
        </w:trPr>
        <w:tc>
          <w:tcPr>
            <w:tcW w:w="6040" w:type="dxa"/>
            <w:vAlign w:val="bottom"/>
          </w:tcPr>
          <w:p>
            <w:pPr>
              <w:spacing w:after="0"/>
              <w:rPr>
                <w:sz w:val="8"/>
                <w:szCs w:val="8"/>
                <w:color w:val="auto"/>
              </w:rPr>
            </w:pPr>
          </w:p>
        </w:tc>
        <w:tc>
          <w:tcPr>
            <w:tcW w:w="1080" w:type="dxa"/>
            <w:vAlign w:val="bottom"/>
            <w:gridSpan w:val="2"/>
            <w:vMerge w:val="restart"/>
          </w:tcPr>
          <w:p>
            <w:pPr>
              <w:jc w:val="center"/>
              <w:ind w:right="380"/>
              <w:spacing w:after="0" w:line="143" w:lineRule="exact"/>
              <w:rPr>
                <w:sz w:val="20"/>
                <w:szCs w:val="20"/>
                <w:color w:val="auto"/>
              </w:rPr>
            </w:pPr>
            <w:r>
              <w:rPr>
                <w:rFonts w:ascii="Arial" w:cs="Arial" w:eastAsia="Arial" w:hAnsi="Arial"/>
                <w:sz w:val="14"/>
                <w:szCs w:val="14"/>
                <w:b w:val="1"/>
                <w:bCs w:val="1"/>
                <w:color w:val="auto"/>
                <w:w w:val="89"/>
              </w:rPr>
              <w:t>June 30,</w:t>
            </w:r>
          </w:p>
        </w:tc>
        <w:tc>
          <w:tcPr>
            <w:tcW w:w="24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line="20" w:lineRule="exact"/>
              <w:rPr>
                <w:sz w:val="1"/>
                <w:szCs w:val="1"/>
                <w:color w:val="auto"/>
              </w:rPr>
            </w:pPr>
          </w:p>
        </w:tc>
      </w:tr>
      <w:tr>
        <w:trPr>
          <w:trHeight w:val="166"/>
        </w:trPr>
        <w:tc>
          <w:tcPr>
            <w:tcW w:w="6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2.22%</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2.02% - 2.32%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1.87%</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Expected volatility</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29.18%</w:t>
            </w:r>
          </w:p>
        </w:tc>
        <w:tc>
          <w:tcPr>
            <w:tcW w:w="3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29.93%</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37.67%</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6.25%</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5.75 - 6.25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6.25</w:t>
            </w:r>
          </w:p>
        </w:tc>
        <w:tc>
          <w:tcPr>
            <w:tcW w:w="0" w:type="dxa"/>
            <w:vAlign w:val="bottom"/>
          </w:tcPr>
          <w:p>
            <w:pPr>
              <w:spacing w:after="0"/>
              <w:rPr>
                <w:sz w:val="1"/>
                <w:szCs w:val="1"/>
                <w:color w:val="auto"/>
              </w:rPr>
            </w:pP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70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For non-employee stock option grants made during the six months ended June 30, 2017 and 2016 and the years ended December 31, 2016 and 2015, the weighted-average assumptions used in the Black-Scholes option pricing model to determine the fair value of those grants were as follows: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96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7"/>
              <w:spacing w:after="0" w:line="137"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3"/>
              <w:spacing w:after="0" w:line="137"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w:t>
            </w:r>
          </w:p>
        </w:tc>
      </w:tr>
      <w:tr>
        <w:trPr>
          <w:trHeight w:val="20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- 1.21%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1.00% - 2.25%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1.31% - 1.76%</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Expected volatility</w:t>
            </w:r>
          </w:p>
        </w:tc>
        <w:tc>
          <w:tcPr>
            <w:tcW w:w="800" w:type="dxa"/>
            <w:vAlign w:val="bottom"/>
          </w:tcPr>
          <w:p>
            <w:pPr>
              <w:jc w:val="right"/>
              <w:spacing w:after="0"/>
              <w:rPr>
                <w:sz w:val="20"/>
                <w:szCs w:val="20"/>
                <w:color w:val="auto"/>
              </w:rPr>
            </w:pPr>
            <w:r>
              <w:rPr>
                <w:rFonts w:ascii="Arial" w:cs="Arial" w:eastAsia="Arial" w:hAnsi="Arial"/>
                <w:sz w:val="17"/>
                <w:szCs w:val="17"/>
                <w:color w:val="auto"/>
              </w:rPr>
              <w:t>28.87%</w:t>
            </w:r>
          </w:p>
        </w:tc>
        <w:tc>
          <w:tcPr>
            <w:tcW w:w="920" w:type="dxa"/>
            <w:vAlign w:val="bottom"/>
          </w:tcPr>
          <w:p>
            <w:pPr>
              <w:ind w:left="20"/>
              <w:spacing w:after="0"/>
              <w:rPr>
                <w:sz w:val="20"/>
                <w:szCs w:val="20"/>
                <w:color w:val="auto"/>
              </w:rPr>
            </w:pPr>
            <w:r>
              <w:rPr>
                <w:rFonts w:ascii="Arial" w:cs="Arial" w:eastAsia="Arial" w:hAnsi="Arial"/>
                <w:sz w:val="17"/>
                <w:szCs w:val="17"/>
                <w:color w:val="auto"/>
              </w:rPr>
              <w:t>- 29.41%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30.59%</w:t>
            </w:r>
          </w:p>
        </w:tc>
        <w:tc>
          <w:tcPr>
            <w:tcW w:w="920" w:type="dxa"/>
            <w:vAlign w:val="bottom"/>
          </w:tcPr>
          <w:p>
            <w:pPr>
              <w:ind w:left="20"/>
              <w:spacing w:after="0"/>
              <w:rPr>
                <w:sz w:val="20"/>
                <w:szCs w:val="20"/>
                <w:color w:val="auto"/>
              </w:rPr>
            </w:pPr>
            <w:r>
              <w:rPr>
                <w:rFonts w:ascii="Arial" w:cs="Arial" w:eastAsia="Arial" w:hAnsi="Arial"/>
                <w:sz w:val="17"/>
                <w:szCs w:val="17"/>
                <w:color w:val="auto"/>
              </w:rPr>
              <w:t>- 31.43%</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29.93%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33.21%</w:t>
            </w: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Expected term</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- 6.19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- 5.69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2.11 - 6.24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3.12 - 5.94</w:t>
            </w: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right"/>
              <w:ind w:right="657"/>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720" w:type="dxa"/>
            <w:vAlign w:val="bottom"/>
            <w:gridSpan w:val="2"/>
          </w:tcPr>
          <w:p>
            <w:pPr>
              <w:jc w:val="right"/>
              <w:ind w:right="653"/>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0%</w:t>
            </w:r>
          </w:p>
        </w:tc>
      </w:tr>
    </w:tbl>
    <w:p>
      <w:pPr>
        <w:spacing w:after="0" w:line="184"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920" w:type="dxa"/>
            <w:vAlign w:val="bottom"/>
          </w:tcPr>
          <w:p>
            <w:pPr>
              <w:spacing w:after="0"/>
              <w:rPr>
                <w:sz w:val="14"/>
                <w:szCs w:val="14"/>
                <w:color w:val="auto"/>
              </w:rPr>
            </w:pPr>
          </w:p>
        </w:tc>
        <w:tc>
          <w:tcPr>
            <w:tcW w:w="100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Common Shares</w:t>
            </w:r>
          </w:p>
        </w:tc>
        <w:tc>
          <w:tcPr>
            <w:tcW w:w="17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per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w w:val="95"/>
              </w:rPr>
              <w:t>Value per</w:t>
            </w:r>
          </w:p>
        </w:tc>
        <w:tc>
          <w:tcPr>
            <w:tcW w:w="0" w:type="dxa"/>
            <w:vAlign w:val="bottom"/>
          </w:tcPr>
          <w:p>
            <w:pPr>
              <w:spacing w:after="0"/>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2780" w:type="dxa"/>
            <w:vAlign w:val="bottom"/>
            <w:gridSpan w:val="2"/>
          </w:tcPr>
          <w:p>
            <w:pPr>
              <w:jc w:val="center"/>
              <w:ind w:left="1677"/>
              <w:spacing w:after="0"/>
              <w:rPr>
                <w:sz w:val="20"/>
                <w:szCs w:val="20"/>
                <w:color w:val="auto"/>
              </w:rPr>
            </w:pPr>
            <w:r>
              <w:rPr>
                <w:rFonts w:ascii="Arial" w:cs="Arial" w:eastAsia="Arial" w:hAnsi="Arial"/>
                <w:sz w:val="14"/>
                <w:szCs w:val="14"/>
                <w:b w:val="1"/>
                <w:bCs w:val="1"/>
                <w:color w:val="auto"/>
                <w:w w:val="92"/>
              </w:rPr>
              <w:t>Options Granted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Share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7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 2015</w:t>
            </w:r>
          </w:p>
        </w:tc>
        <w:tc>
          <w:tcPr>
            <w:tcW w:w="17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783,338</w:t>
            </w: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September 8, 2015</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263,335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28, 2016</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1,424,596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March 9, 2017</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33,334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9, 2017</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183,335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40" w:firstLine="457"/>
        <w:spacing w:after="0" w:line="266" w:lineRule="auto"/>
        <w:rPr>
          <w:sz w:val="20"/>
          <w:szCs w:val="20"/>
          <w:color w:val="auto"/>
        </w:rPr>
      </w:pPr>
      <w:r>
        <w:rPr>
          <w:rFonts w:ascii="Arial" w:cs="Arial" w:eastAsia="Arial" w:hAnsi="Arial"/>
          <w:sz w:val="17"/>
          <w:szCs w:val="17"/>
          <w:color w:val="auto"/>
        </w:rPr>
        <w:t>As of June 30, 2017, the unrecognized compensation cost related to outstanding options was $788,000 and is expected to be recognized as expense over a weighted-average of 2.12 years. As of December 31, 2016, the unrecognized compensation cost related to outstanding options was $726,000 and is expected to be recognized as expense over a weighted-average of 2.25 years. As of December 31, 2015, the unrecognized compensation cost related to outstanding options was $299,000 and is expected to be recognized as expense over a weighted-average of 1.24 years.</w:t>
      </w:r>
    </w:p>
    <w:p>
      <w:pPr>
        <w:spacing w:after="0" w:line="176"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As of June 30, 2017, we had outstanding stock options to acquire an aggregate of 3,489,959 shares of Class A common stock with an intrinsic value of $21.7 million. Of those outstanding options, (a) 1,611,595 shares had vested as of June 30, 2017, representing an intrinsic value of $11.6 million and (b) 1,878,364 shares were unvested, representing an intrinsic value of $10.1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8"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80"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4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 xml:space="preserve">On December 28, 2016, the compensation committee of the board of directors, acting with the assistance of a third-party valuation specialist, considered the fair value of the common stock. In considering the fair value, the compensation committee took into account the methodologies, approaches and assumptions provided by the </w:t>
      </w:r>
      <w:r>
        <w:rPr>
          <w:rFonts w:ascii="Arial" w:cs="Arial" w:eastAsia="Arial" w:hAnsi="Arial"/>
          <w:sz w:val="17"/>
          <w:szCs w:val="17"/>
          <w:i w:val="1"/>
          <w:iCs w:val="1"/>
          <w:color w:val="auto"/>
        </w:rPr>
        <w:t>Audit and Accounting Practice Aid Series: Valuation of Privately Held Company Equity Securities Issued as Compensation of the American</w:t>
      </w:r>
      <w:r>
        <w:rPr>
          <w:rFonts w:ascii="Arial" w:cs="Arial" w:eastAsia="Arial" w:hAnsi="Arial"/>
          <w:sz w:val="17"/>
          <w:szCs w:val="17"/>
          <w:color w:val="auto"/>
        </w:rPr>
        <w:t xml:space="preserve"> </w:t>
      </w:r>
      <w:r>
        <w:rPr>
          <w:rFonts w:ascii="Arial" w:cs="Arial" w:eastAsia="Arial" w:hAnsi="Arial"/>
          <w:sz w:val="17"/>
          <w:szCs w:val="17"/>
          <w:i w:val="1"/>
          <w:iCs w:val="1"/>
          <w:color w:val="auto"/>
        </w:rPr>
        <w:t>Institute of Certified Public Accountants</w:t>
      </w:r>
      <w:r>
        <w:rPr>
          <w:rFonts w:ascii="Arial" w:cs="Arial" w:eastAsia="Arial" w:hAnsi="Arial"/>
          <w:sz w:val="17"/>
          <w:szCs w:val="17"/>
          <w:color w:val="auto"/>
        </w:rPr>
        <w:t>, or the Practice Aid.</w:t>
      </w:r>
    </w:p>
    <w:p>
      <w:pPr>
        <w:spacing w:after="0" w:line="176" w:lineRule="exact"/>
        <w:rPr>
          <w:sz w:val="20"/>
          <w:szCs w:val="20"/>
          <w:color w:val="auto"/>
        </w:rPr>
      </w:pPr>
    </w:p>
    <w:p>
      <w:pPr>
        <w:ind w:right="580" w:firstLine="457"/>
        <w:spacing w:after="0" w:line="266" w:lineRule="auto"/>
        <w:rPr>
          <w:sz w:val="20"/>
          <w:szCs w:val="20"/>
          <w:color w:val="auto"/>
        </w:rPr>
      </w:pPr>
      <w:r>
        <w:rPr>
          <w:rFonts w:ascii="Arial" w:cs="Arial" w:eastAsia="Arial" w:hAnsi="Arial"/>
          <w:sz w:val="17"/>
          <w:szCs w:val="17"/>
          <w:color w:val="auto"/>
        </w:rPr>
        <w:t>There are significant judgments and estimates inherent in the compensation committee’s determination of the fair value of the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7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accordance with the Practice Aid, the compensation committee considered the various methods for allocating the enterprise value across the classes and series of capital stock to determine the fair value of our common stock at each valuation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considered, but did not use, the following methods:</w:t>
      </w:r>
    </w:p>
    <w:p>
      <w:pPr>
        <w:spacing w:after="0" w:line="130" w:lineRule="exact"/>
        <w:rPr>
          <w:sz w:val="20"/>
          <w:szCs w:val="20"/>
          <w:color w:val="auto"/>
        </w:rPr>
      </w:pPr>
    </w:p>
    <w:p>
      <w:pPr>
        <w:ind w:left="900" w:hanging="33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liquidation value method</w:t>
      </w:r>
      <w:r>
        <w:rPr>
          <w:rFonts w:ascii="Arial" w:cs="Arial" w:eastAsia="Arial" w:hAnsi="Arial"/>
          <w:sz w:val="17"/>
          <w:szCs w:val="17"/>
          <w:color w:val="auto"/>
        </w:rPr>
        <w:t xml:space="preserve"> assumes the discontinuance of the business as a going concern.</w:t>
      </w:r>
    </w:p>
    <w:p>
      <w:pPr>
        <w:spacing w:after="0" w:line="130" w:lineRule="exact"/>
        <w:rPr>
          <w:rFonts w:ascii="Arial" w:cs="Arial" w:eastAsia="Arial" w:hAnsi="Arial"/>
          <w:sz w:val="17"/>
          <w:szCs w:val="17"/>
          <w:color w:val="auto"/>
        </w:rPr>
      </w:pPr>
    </w:p>
    <w:p>
      <w:pPr>
        <w:ind w:left="900" w:right="200" w:hanging="335"/>
        <w:spacing w:after="0" w:line="271"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single period capitalization method</w:t>
      </w:r>
      <w:r>
        <w:rPr>
          <w:rFonts w:ascii="Arial" w:cs="Arial" w:eastAsia="Arial" w:hAnsi="Arial"/>
          <w:sz w:val="17"/>
          <w:szCs w:val="17"/>
          <w:color w:val="auto"/>
        </w:rPr>
        <w:t xml:space="preserve"> is most appropriate when a company’s current and historical operations can reasonably be considered indicative of its future operations. The compensation committee determined that, since we are planning for higher annual growth than shown by our current and historical results, this method will not produce a value indicative of our growing company.</w:t>
      </w:r>
    </w:p>
    <w:p>
      <w:pPr>
        <w:spacing w:after="0" w:line="80" w:lineRule="exact"/>
        <w:rPr>
          <w:rFonts w:ascii="Arial" w:cs="Arial" w:eastAsia="Arial" w:hAnsi="Arial"/>
          <w:sz w:val="17"/>
          <w:szCs w:val="17"/>
          <w:color w:val="auto"/>
        </w:rPr>
      </w:pPr>
    </w:p>
    <w:p>
      <w:pPr>
        <w:jc w:val="both"/>
        <w:ind w:left="900" w:right="80" w:hanging="335"/>
        <w:spacing w:after="0" w:line="323"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excess earnings method</w:t>
      </w:r>
      <w:r>
        <w:rPr>
          <w:rFonts w:ascii="Arial" w:cs="Arial" w:eastAsia="Arial" w:hAnsi="Arial"/>
          <w:sz w:val="15"/>
          <w:szCs w:val="15"/>
          <w:color w:val="auto"/>
        </w:rPr>
        <w:t xml:space="preserve"> estimates the value of a company’s intangible assets and assumes that earnings in excess of a reasonable return of the net tangible assets are a product of a company’s intangible assets. The compensation committee deemed this method not to be a meaningful indication of value for the same reasons it rejected the single period capitalization method and also because our actual investment in net tangible assets is minimal.</w:t>
      </w:r>
    </w:p>
    <w:p>
      <w:pPr>
        <w:spacing w:after="0" w:line="46" w:lineRule="exact"/>
        <w:rPr>
          <w:rFonts w:ascii="Arial" w:cs="Arial" w:eastAsia="Arial" w:hAnsi="Arial"/>
          <w:sz w:val="15"/>
          <w:szCs w:val="15"/>
          <w:color w:val="auto"/>
        </w:rPr>
      </w:pPr>
    </w:p>
    <w:p>
      <w:pPr>
        <w:ind w:left="900" w:right="160" w:hanging="335"/>
        <w:spacing w:after="0" w:line="271"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comparative transaction method</w:t>
      </w:r>
      <w:r>
        <w:rPr>
          <w:rFonts w:ascii="Arial" w:cs="Arial" w:eastAsia="Arial" w:hAnsi="Arial"/>
          <w:sz w:val="17"/>
          <w:szCs w:val="17"/>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the compensation committee determined a comparative transaction would not adequately reflect our value.</w:t>
      </w:r>
    </w:p>
    <w:p>
      <w:pPr>
        <w:spacing w:after="0" w:line="80" w:lineRule="exact"/>
        <w:rPr>
          <w:rFonts w:ascii="Arial" w:cs="Arial" w:eastAsia="Arial" w:hAnsi="Arial"/>
          <w:sz w:val="17"/>
          <w:szCs w:val="17"/>
          <w:color w:val="auto"/>
        </w:rPr>
      </w:pPr>
    </w:p>
    <w:p>
      <w:pPr>
        <w:ind w:left="900" w:right="460" w:hanging="335"/>
        <w:spacing w:after="0" w:line="287"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capital market method</w:t>
      </w:r>
      <w:r>
        <w:rPr>
          <w:rFonts w:ascii="Arial" w:cs="Arial" w:eastAsia="Arial" w:hAnsi="Arial"/>
          <w:sz w:val="17"/>
          <w:szCs w:val="17"/>
          <w:color w:val="auto"/>
        </w:rPr>
        <w:t xml:space="preserve"> seeks valuation guidance from prices paid by shareholders for similarly situated publicly traded companies. With the capital market method, the compensation committee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80"/>
          </w:cols>
          <w:pgMar w:left="240" w:top="448" w:right="2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0"/>
        <w:spacing w:after="0" w:line="266" w:lineRule="auto"/>
        <w:rPr>
          <w:sz w:val="20"/>
          <w:szCs w:val="20"/>
          <w:color w:val="auto"/>
        </w:rPr>
      </w:pPr>
      <w:r>
        <w:rPr>
          <w:rFonts w:ascii="Arial" w:cs="Arial" w:eastAsia="Arial" w:hAnsi="Arial"/>
          <w:sz w:val="17"/>
          <w:szCs w:val="17"/>
          <w:color w:val="auto"/>
        </w:rPr>
        <w:t>would determine an appropriate multiple to apply to our financial measures by dividing the price of a guideline company’s stock and, in some instances, the value of all invested capital, by some relative economic variable observed or calculated from such company’s financial statement. Given the stage of our growth, the compensation committee determined the application of value metrics fails to capture value that we have created but that has not yet been reflected in our operating results.</w:t>
      </w:r>
    </w:p>
    <w:p>
      <w:pPr>
        <w:spacing w:after="0" w:line="85" w:lineRule="exact"/>
        <w:rPr>
          <w:sz w:val="20"/>
          <w:szCs w:val="20"/>
          <w:color w:val="auto"/>
        </w:rPr>
      </w:pPr>
    </w:p>
    <w:p>
      <w:pPr>
        <w:ind w:left="900" w:right="280" w:hanging="335"/>
        <w:spacing w:after="0" w:line="323"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discounted cash flow method</w:t>
      </w:r>
      <w:r>
        <w:rPr>
          <w:rFonts w:ascii="Arial" w:cs="Arial" w:eastAsia="Arial" w:hAnsi="Arial"/>
          <w:sz w:val="15"/>
          <w:szCs w:val="15"/>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deemed this method not suitable in the instant case due to our then-recent transactions involving the sale of our securities.</w:t>
      </w:r>
    </w:p>
    <w:p>
      <w:pPr>
        <w:spacing w:after="0" w:line="13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In light of our placement and sale of Series F preferred stock in December 2016, the compensation committee applied the </w:t>
      </w:r>
      <w:r>
        <w:rPr>
          <w:rFonts w:ascii="Arial" w:cs="Arial" w:eastAsia="Arial" w:hAnsi="Arial"/>
          <w:sz w:val="17"/>
          <w:szCs w:val="17"/>
          <w:i w:val="1"/>
          <w:iCs w:val="1"/>
          <w:color w:val="auto"/>
        </w:rPr>
        <w:t>company transaction method</w:t>
      </w:r>
      <w:r>
        <w:rPr>
          <w:rFonts w:ascii="Arial" w:cs="Arial" w:eastAsia="Arial" w:hAnsi="Arial"/>
          <w:sz w:val="17"/>
          <w:szCs w:val="17"/>
          <w:color w:val="auto"/>
        </w:rPr>
        <w:t>, which uses the most recent negotiated arm’s-length transactions involving the sale or transfer of stock or other equity interests. In applying the company transaction method, the compensation committee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8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5"/>
          <w:szCs w:val="15"/>
          <w:color w:val="auto"/>
        </w:rPr>
        <w:t>Under the company transaction method, the compensation committee analyzed equity value in the context of both an initial public offering and a sale or merger of our company. Using the OPM and the post-money value of the Series F preferred stock, it was possible to determine the implied equity value for all classes of stock. In applying the OPM, the compensation committee relied on the equity value of our company based upon the Series F preferred stock investment, which was completed at a price of $2.50 per share. This value was then used to determine the implied Class A common stock value using the OPM, considering</w:t>
      </w:r>
    </w:p>
    <w:p>
      <w:pPr>
        <w:spacing w:after="0" w:line="1" w:lineRule="exact"/>
        <w:rPr>
          <w:sz w:val="20"/>
          <w:szCs w:val="20"/>
          <w:color w:val="auto"/>
        </w:rPr>
      </w:pPr>
    </w:p>
    <w:p>
      <w:pPr>
        <w:ind w:right="40" w:firstLine="4"/>
        <w:spacing w:after="0" w:line="259" w:lineRule="auto"/>
        <w:tabs>
          <w:tab w:leader="none" w:pos="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applicable conversion rate of 0.3333 shares of Class A common stock for each share of Series F preferred stock and (b) the claims of the various classes of equity securities. The compensation committee then applied a discount for lack of marketability to obtain the value of Class A common stock on a minority/marketable basis. The assumptions used in calculating the fair value of option grants in 2016 were a risk-free rate based on the weighted average of the one year and two year Treasury Constant Maturity Rates, expected expiration at 1.25 years from the valuation date, and expected volatility estimated at 45%. These assumptions represented the best estimates of management and the compensation committee, but the estimates necessarily involve inherent uncertainties and the application of judgment.</w:t>
      </w:r>
    </w:p>
    <w:p>
      <w:pPr>
        <w:spacing w:after="0" w:line="182"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7"/>
          <w:szCs w:val="17"/>
          <w:color w:val="auto"/>
        </w:rPr>
        <w:t>Based on the foregoing, the compensation committee determined the fair value of Class A common stock for financial reporting purposes to be $2.28 as of December 28, 2016. As a result, the exercise price of $3.00 of the stock options granted on December 28, 2016 exceeded the fair value of Class A common stock on that date.</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the compensation committee considered, but did not use, the liquidation value, single period capitalization, excess earnings, comparative transaction, capital market and discounted cash flow methods. The compensation committee determined that the terms of a share purchase agreement being negotiated and discussed at arm’s length in March 2017 and involving the transfer of Class A common stock provided the best evidence of the fair value of the Class A common stock. In the transaction, we expected to issue, and ultimately issued,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48"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4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March 9, 2017. As a result, the exercise price of $7.50 of the stock option granted on March 9, 2017 equaled the fair value of Class A common stock on that date.</w:t>
      </w:r>
    </w:p>
    <w:p>
      <w:pPr>
        <w:spacing w:after="0" w:line="113"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On May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and March 9, 2017, the compensation committee considered, but did not use, the liquidation value, single period capitalization, excess earnings, comparative transaction, capital market and discounted cash flow methods. The compensation committee determined that the terms of the share purchase agreement considered in connection with the option grants on March 9, 2017, but still being negotiated as of May 9, 2017, provided the best evidence of the fair value of the Class A common stock. Pursuant to this proposed agreement, we continued to contemplate the issuance and sale of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58" w:lineRule="exact"/>
        <w:rPr>
          <w:sz w:val="20"/>
          <w:szCs w:val="20"/>
          <w:color w:val="auto"/>
        </w:rPr>
      </w:pPr>
    </w:p>
    <w:p>
      <w:pPr>
        <w:ind w:right="16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May 9, 2017. As a result, the exercise price of $7.50 of the stock option granted on May 9, 2017 equaled the fair value of Class A common stock on that date.</w:t>
      </w:r>
    </w:p>
    <w:p>
      <w:pPr>
        <w:spacing w:after="0" w:line="11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Since May 9, 2017, the compensation committee has not granted any options, but has allocated 120,002 shares of Class A common stock for options to be granted to employees on the date that this registration statement, of which this prospectus forms a part, is declared effective, at an exercise price per share equal to the initial public offering price of the offering made hereby.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Inventory</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June 30, 2017 and at the lower of cost and market value of the inventory at December 31, 2016 and 2015.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8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80" w:lineRule="exact"/>
        <w:rPr>
          <w:sz w:val="20"/>
          <w:szCs w:val="20"/>
          <w:color w:val="auto"/>
        </w:rPr>
      </w:pPr>
    </w:p>
    <w:p>
      <w:pPr>
        <w:ind w:right="40" w:firstLine="457"/>
        <w:spacing w:after="0" w:line="357"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80"/>
          </w:cols>
          <w:pgMar w:left="240" w:top="448" w:right="2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7"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Direct costs attributable to this offering have been deferred and recorded in other current assets and will be offset against the gross proceeds received from this offering. At June 30, 2017 and December 30, 2016 and 2015, deferred costs attributable to this offering were $797,000, $41,000 and $0, respectively.</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17"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ind w:right="500" w:firstLine="457"/>
        <w:spacing w:after="0" w:line="320"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2016 and the six months ended June 30, 2017.</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80" w:lineRule="exact"/>
        <w:rPr>
          <w:sz w:val="20"/>
          <w:szCs w:val="20"/>
          <w:color w:val="auto"/>
        </w:rPr>
      </w:pPr>
    </w:p>
    <w:p>
      <w:pPr>
        <w:jc w:val="both"/>
        <w:ind w:right="80" w:firstLine="457"/>
        <w:spacing w:after="0" w:line="266"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48"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7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7"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58" w:lineRule="exact"/>
        <w:rPr>
          <w:sz w:val="20"/>
          <w:szCs w:val="20"/>
          <w:color w:val="auto"/>
        </w:rPr>
      </w:pPr>
    </w:p>
    <w:p>
      <w:pPr>
        <w:ind w:right="300" w:firstLine="457"/>
        <w:spacing w:after="0" w:line="32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Warranty</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summarizes recent accounting pronouncements that we have adopted or will be required to adopt in the future.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448"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July 2017 the FASB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ASU No. 2017-11, </w:t>
      </w:r>
      <w:r>
        <w:rPr>
          <w:rFonts w:ascii="Arial" w:cs="Arial" w:eastAsia="Arial" w:hAnsi="Arial"/>
          <w:sz w:val="16"/>
          <w:szCs w:val="16"/>
          <w:i w:val="1"/>
          <w:iCs w:val="1"/>
          <w:color w:val="auto"/>
        </w:rPr>
        <w:t>Earnings Per Share (Topic 260); 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 (Topic 480); Derivatives and Hedging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We are currently evaluating the impact of adoption of ASU 2017-11.</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which provides guidance on determining which changes to the terms or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(a) public business entities for reporting periods for which financial statements have not yet been issued and (b) all other entities for reporting periods for which financial statements have not yet been made available for issuance. The amendments in this ASU should be applied prospectively to an award modified on or after the adoption date. We do not expect the adoption of ASU No. 2017-09 to have a material impact on our consolidated financial statements.</w:t>
      </w:r>
    </w:p>
    <w:p>
      <w:pPr>
        <w:spacing w:after="0" w:line="181"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do not expect the adoption of ASU No. 2017-05 to have a material impact on our consolidated financial statements.</w:t>
      </w:r>
    </w:p>
    <w:p>
      <w:pPr>
        <w:spacing w:after="0" w:line="18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do not expect the adoption of ASU No. 2016-18 to have a material impact on our consolidated financial statements.</w:t>
      </w:r>
    </w:p>
    <w:p>
      <w:pPr>
        <w:spacing w:after="0" w:line="181" w:lineRule="exact"/>
        <w:rPr>
          <w:sz w:val="20"/>
          <w:szCs w:val="20"/>
          <w:color w:val="auto"/>
        </w:rPr>
      </w:pPr>
    </w:p>
    <w:p>
      <w:pPr>
        <w:ind w:right="40" w:firstLine="457"/>
        <w:spacing w:after="0" w:line="296"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8"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76"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 xml:space="preserve">In August 2016 the FASB issued Accounting Standards Update, or ASU, No.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Receipts and Cash Payments</w:t>
      </w:r>
      <w:r>
        <w:rPr>
          <w:rFonts w:ascii="Arial" w:cs="Arial" w:eastAsia="Arial" w:hAnsi="Arial"/>
          <w:sz w:val="15"/>
          <w:szCs w:val="15"/>
          <w:color w:val="auto"/>
        </w:rPr>
        <w:t>, which addresses the following cash flow issues: (a) debt prepayment or debt extinguishment costs; (b) settlement of zero-coupon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or other debt instruments with coupon interest rates that are insignificant in relation to the effective interest rate of the borrowing; (c) contingent consideration payments made after a business combination; (d) proceeds from the settlement of insurance claims; (e) proceeds from the settlement of corporate-owned life insurance policies, including bank-owned life insurance policies; (f) distributions received from equity method investees; (g) beneficial interests in securitization transactions; and (h)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58" w:lineRule="exact"/>
        <w:rPr>
          <w:sz w:val="20"/>
          <w:szCs w:val="20"/>
          <w:color w:val="auto"/>
        </w:rPr>
      </w:pPr>
    </w:p>
    <w:p>
      <w:pPr>
        <w:ind w:right="180" w:firstLine="457"/>
        <w:spacing w:after="0" w:line="294" w:lineRule="auto"/>
        <w:rPr>
          <w:sz w:val="20"/>
          <w:szCs w:val="20"/>
          <w:color w:val="auto"/>
        </w:rPr>
      </w:pPr>
      <w:r>
        <w:rPr>
          <w:rFonts w:ascii="Arial" w:cs="Arial" w:eastAsia="Arial" w:hAnsi="Arial"/>
          <w:sz w:val="15"/>
          <w:szCs w:val="15"/>
          <w:color w:val="auto"/>
        </w:rPr>
        <w:t xml:space="preserve">In April 2016 the FASB issued ASU No. 2016-09, </w:t>
      </w:r>
      <w:r>
        <w:rPr>
          <w:rFonts w:ascii="Arial" w:cs="Arial" w:eastAsia="Arial" w:hAnsi="Arial"/>
          <w:sz w:val="15"/>
          <w:szCs w:val="15"/>
          <w:i w:val="1"/>
          <w:iCs w:val="1"/>
          <w:color w:val="auto"/>
        </w:rPr>
        <w:t>Compensation—Stock Compensation (Topic 718):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simplifies several aspects of the accounting for employee stock-based payment transactions. The areas for simplification in ASU No. 2016-09</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The adoption of ASU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 2016-09 did not have a material impact on our consolidated financial statements.</w:t>
      </w:r>
    </w:p>
    <w:p>
      <w:pPr>
        <w:spacing w:after="0" w:line="20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448"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our consolidated financial statements.</w:t>
      </w:r>
    </w:p>
    <w:p>
      <w:pPr>
        <w:spacing w:after="0" w:line="172"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our consolidated financial statements. The relevant descriptions have been included in the inventory accounting policy.</w:t>
      </w:r>
    </w:p>
    <w:p>
      <w:pPr>
        <w:spacing w:after="0" w:line="17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us for the annual period ended after December 15, 2016 and interim periods thereafter. Management performed an evaluation of the our ability to fund operations and to continue as a going concern according to ASC Topic 205-40, </w:t>
      </w:r>
      <w:r>
        <w:rPr>
          <w:rFonts w:ascii="Arial" w:cs="Arial" w:eastAsia="Arial" w:hAnsi="Arial"/>
          <w:sz w:val="16"/>
          <w:szCs w:val="16"/>
          <w:i w:val="1"/>
          <w:iCs w:val="1"/>
          <w:color w:val="auto"/>
        </w:rPr>
        <w:t>Presentation of Financial Statements—Going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adoption of ASU No. 2014-15 did not have a material impact on our consolidated financial statements.</w:t>
      </w:r>
    </w:p>
    <w:p>
      <w:pPr>
        <w:spacing w:after="0" w:line="163" w:lineRule="exact"/>
        <w:rPr>
          <w:sz w:val="20"/>
          <w:szCs w:val="20"/>
          <w:color w:val="auto"/>
        </w:rPr>
      </w:pPr>
    </w:p>
    <w:p>
      <w:pPr>
        <w:ind w:right="140" w:firstLine="457"/>
        <w:spacing w:after="0" w:line="27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in exchange for those goods or services. The FASB issued</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8"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We will adopt ASU No. 2014-09, ASU No. 2016-08, ASU</w:t>
      </w:r>
    </w:p>
    <w:p>
      <w:pPr>
        <w:ind w:right="240"/>
        <w:spacing w:after="0" w:line="258" w:lineRule="auto"/>
        <w:rPr>
          <w:sz w:val="20"/>
          <w:szCs w:val="20"/>
          <w:color w:val="auto"/>
        </w:rPr>
      </w:pPr>
      <w:r>
        <w:rPr>
          <w:rFonts w:ascii="Arial" w:cs="Arial" w:eastAsia="Arial" w:hAnsi="Arial"/>
          <w:sz w:val="17"/>
          <w:szCs w:val="17"/>
          <w:color w:val="auto"/>
        </w:rPr>
        <w:t xml:space="preserve">No. 2016-10, ASU No. 2016-12 and ASU No. 2016-20 at January 1, 2018 if this offering is completed by December 31, 2017. We are currently in the process of assessing the potential effects of these ASUs on our consolidated financial statements, business processes, systems and controls. While the assessment process is ongoing, we anticipate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our current revenue recognition practices would be recognized using a cumulative effect adjustment to the opening balance of accumulated deficit. We do not expect the adoption of these ASUs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4"/>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gridSpan w:val="4"/>
          </w:tcPr>
          <w:p>
            <w:pPr>
              <w:ind w:left="80"/>
              <w:spacing w:after="0" w:line="137" w:lineRule="exact"/>
              <w:rPr>
                <w:sz w:val="20"/>
                <w:szCs w:val="20"/>
                <w:color w:val="auto"/>
              </w:rPr>
            </w:pPr>
            <w:r>
              <w:rPr>
                <w:rFonts w:ascii="Arial" w:cs="Arial" w:eastAsia="Arial" w:hAnsi="Arial"/>
                <w:sz w:val="14"/>
                <w:szCs w:val="14"/>
                <w:i w:val="1"/>
                <w:iCs w:val="1"/>
                <w:color w:val="auto"/>
              </w:rPr>
              <w:t>(percentage of revenue)</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3"/>
            <w:shd w:val="clear" w:color="auto" w:fill="CCEEFF"/>
          </w:tcPr>
          <w:p>
            <w:pPr>
              <w:jc w:val="right"/>
              <w:ind w:right="431"/>
              <w:spacing w:after="0"/>
              <w:rPr>
                <w:sz w:val="20"/>
                <w:szCs w:val="20"/>
                <w:color w:val="auto"/>
              </w:rPr>
            </w:pPr>
            <w:r>
              <w:rPr>
                <w:rFonts w:ascii="Arial" w:cs="Arial" w:eastAsia="Arial" w:hAnsi="Arial"/>
                <w:sz w:val="17"/>
                <w:szCs w:val="17"/>
                <w:color w:val="auto"/>
              </w:rPr>
              <w:t>100.0%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100.0%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Cost of revenue</w:t>
            </w:r>
          </w:p>
        </w:tc>
        <w:tc>
          <w:tcPr>
            <w:tcW w:w="12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6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margin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18.3</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700"/>
              <w:spacing w:after="0"/>
              <w:rPr>
                <w:sz w:val="20"/>
                <w:szCs w:val="20"/>
                <w:color w:val="auto"/>
              </w:rPr>
            </w:pPr>
            <w:r>
              <w:rPr>
                <w:rFonts w:ascii="Arial" w:cs="Arial" w:eastAsia="Arial" w:hAnsi="Arial"/>
                <w:sz w:val="17"/>
                <w:szCs w:val="17"/>
                <w:color w:val="auto"/>
              </w:rPr>
              <w:t>Total operating expenses, net</w:t>
            </w:r>
          </w:p>
        </w:tc>
        <w:tc>
          <w:tcPr>
            <w:tcW w:w="1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6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Income (loss) from operations</w:t>
            </w:r>
          </w:p>
        </w:tc>
        <w:tc>
          <w:tcPr>
            <w:tcW w:w="2280" w:type="dxa"/>
            <w:vAlign w:val="bottom"/>
            <w:gridSpan w:val="3"/>
            <w:shd w:val="clear" w:color="auto" w:fill="CCEEFF"/>
          </w:tcPr>
          <w:p>
            <w:pPr>
              <w:jc w:val="right"/>
              <w:ind w:right="511"/>
              <w:spacing w:after="0"/>
              <w:rPr>
                <w:sz w:val="20"/>
                <w:szCs w:val="20"/>
                <w:color w:val="auto"/>
              </w:rPr>
            </w:pPr>
            <w:r>
              <w:rPr>
                <w:rFonts w:ascii="Arial" w:cs="Arial" w:eastAsia="Arial" w:hAnsi="Arial"/>
                <w:sz w:val="17"/>
                <w:szCs w:val="17"/>
                <w:color w:val="auto"/>
              </w:rPr>
              <w:t>(12.2)</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(19.3)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Interest expense, net</w:t>
            </w:r>
          </w:p>
        </w:tc>
        <w:tc>
          <w:tcPr>
            <w:tcW w:w="2280" w:type="dxa"/>
            <w:vAlign w:val="bottom"/>
            <w:gridSpan w:val="3"/>
          </w:tcPr>
          <w:p>
            <w:pPr>
              <w:jc w:val="right"/>
              <w:ind w:right="511"/>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(0.6)</w:t>
            </w:r>
          </w:p>
        </w:tc>
        <w:tc>
          <w:tcPr>
            <w:tcW w:w="1040" w:type="dxa"/>
            <w:vAlign w:val="bottom"/>
            <w:gridSpan w:val="2"/>
          </w:tcPr>
          <w:p>
            <w:pPr>
              <w:jc w:val="right"/>
              <w:ind w:right="540"/>
              <w:spacing w:after="0"/>
              <w:rPr>
                <w:sz w:val="20"/>
                <w:szCs w:val="20"/>
                <w:color w:val="auto"/>
              </w:rPr>
            </w:pPr>
            <w:r>
              <w:rPr>
                <w:rFonts w:ascii="Arial" w:cs="Arial" w:eastAsia="Arial" w:hAnsi="Arial"/>
                <w:sz w:val="17"/>
                <w:szCs w:val="17"/>
                <w:color w:val="auto"/>
              </w:rPr>
              <w:t>(0.6)</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(2.0)</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(15.3)</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(13.7)</w:t>
            </w:r>
          </w:p>
        </w:tc>
        <w:tc>
          <w:tcPr>
            <w:tcW w:w="440" w:type="dxa"/>
            <w:vAlign w:val="bottom"/>
          </w:tcPr>
          <w:p>
            <w:pPr>
              <w:jc w:val="right"/>
              <w:spacing w:after="0"/>
              <w:rPr>
                <w:sz w:val="20"/>
                <w:szCs w:val="20"/>
                <w:color w:val="auto"/>
              </w:rPr>
            </w:pPr>
            <w:r>
              <w:rPr>
                <w:rFonts w:ascii="Arial" w:cs="Arial" w:eastAsia="Arial" w:hAnsi="Arial"/>
                <w:sz w:val="17"/>
                <w:szCs w:val="17"/>
                <w:color w:val="auto"/>
              </w:rPr>
              <w:t>10.9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(5.2)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(20.5)</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(12.8)</w:t>
            </w:r>
          </w:p>
        </w:tc>
        <w:tc>
          <w:tcPr>
            <w:tcW w:w="440" w:type="dxa"/>
            <w:vAlign w:val="bottom"/>
          </w:tcPr>
          <w:p>
            <w:pPr>
              <w:jc w:val="right"/>
              <w:spacing w:after="0"/>
              <w:rPr>
                <w:sz w:val="20"/>
                <w:szCs w:val="20"/>
                <w:color w:val="auto"/>
              </w:rPr>
            </w:pPr>
            <w:r>
              <w:rPr>
                <w:rFonts w:ascii="Arial" w:cs="Arial" w:eastAsia="Arial" w:hAnsi="Arial"/>
                <w:sz w:val="17"/>
                <w:szCs w:val="17"/>
                <w:color w:val="auto"/>
              </w:rPr>
              <w:t>8.7</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w w:val="96"/>
              </w:rPr>
              <w:t>Less: Net income (loss) attributable to non-controlling interests</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w w:val="96"/>
              </w:rPr>
              <w:t>Net income (loss) attributable to ACM Research, Inc.</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371"/>
              <w:spacing w:after="0"/>
              <w:rPr>
                <w:sz w:val="20"/>
                <w:szCs w:val="20"/>
                <w:color w:val="auto"/>
              </w:rPr>
            </w:pPr>
            <w:r>
              <w:rPr>
                <w:rFonts w:ascii="Arial" w:cs="Arial" w:eastAsia="Arial" w:hAnsi="Arial"/>
                <w:sz w:val="17"/>
                <w:szCs w:val="17"/>
                <w:color w:val="auto"/>
              </w:rPr>
              <w:t>(19.1)%</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(6.9)%</w:t>
            </w: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3.8%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vMerge w:val="restart"/>
          </w:tcPr>
          <w:p>
            <w:pPr>
              <w:jc w:val="right"/>
              <w:ind w:right="793"/>
              <w:spacing w:after="0"/>
              <w:rPr>
                <w:sz w:val="20"/>
                <w:szCs w:val="20"/>
                <w:color w:val="auto"/>
              </w:rPr>
            </w:pPr>
            <w:r>
              <w:rPr>
                <w:rFonts w:ascii="Arial" w:cs="Arial" w:eastAsia="Arial" w:hAnsi="Arial"/>
                <w:sz w:val="17"/>
                <w:szCs w:val="17"/>
                <w:color w:val="auto"/>
              </w:rPr>
              <w:t>76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5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Six Months Ended June 30, 2017 and 2016</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center"/>
              <w:ind w:right="525"/>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11"/>
              <w:spacing w:after="0" w:line="137"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$14,423</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increase in revenue of $6.3 million in the six months ended June 30, 2017 reflected increases in revenue from single-wafer cleaning equipment of $5.0 million and from advanced packaging equipment of $1.1 million. Our revenue in the six months ended June 30, 2017 compared to the corresponding period of 2016 reflected sales of $4.5 million to two new customers and an increase of $1.8 million in sales to existing customers.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Pr>
          <w:p>
            <w:pPr>
              <w:jc w:val="center"/>
              <w:ind w:left="43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ind w:right="871"/>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Pr>
          <w:p>
            <w:pPr>
              <w:jc w:val="center"/>
              <w:ind w:left="45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60" w:type="dxa"/>
            <w:vAlign w:val="bottom"/>
            <w:gridSpan w:val="2"/>
            <w:shd w:val="clear" w:color="auto" w:fill="CCEEFF"/>
          </w:tcPr>
          <w:p>
            <w:pPr>
              <w:jc w:val="right"/>
              <w:ind w:right="771"/>
              <w:spacing w:after="0"/>
              <w:rPr>
                <w:sz w:val="20"/>
                <w:szCs w:val="20"/>
                <w:color w:val="auto"/>
              </w:rPr>
            </w:pPr>
            <w:r>
              <w:rPr>
                <w:rFonts w:ascii="Arial" w:cs="Arial" w:eastAsia="Arial" w:hAnsi="Arial"/>
                <w:sz w:val="17"/>
                <w:szCs w:val="17"/>
                <w:color w:val="auto"/>
              </w:rPr>
              <w:t>$8,570</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$5,292</w:t>
            </w: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7"/>
                <w:szCs w:val="17"/>
                <w:color w:val="auto"/>
              </w:rPr>
              <w:t>Gross profit</w:t>
            </w:r>
          </w:p>
        </w:tc>
        <w:tc>
          <w:tcPr>
            <w:tcW w:w="3760" w:type="dxa"/>
            <w:vAlign w:val="bottom"/>
            <w:gridSpan w:val="2"/>
          </w:tcPr>
          <w:p>
            <w:pPr>
              <w:jc w:val="right"/>
              <w:ind w:right="771"/>
              <w:spacing w:after="0"/>
              <w:rPr>
                <w:sz w:val="20"/>
                <w:szCs w:val="20"/>
                <w:color w:val="auto"/>
              </w:rPr>
            </w:pPr>
            <w:r>
              <w:rPr>
                <w:rFonts w:ascii="Arial" w:cs="Arial" w:eastAsia="Arial" w:hAnsi="Arial"/>
                <w:sz w:val="17"/>
                <w:szCs w:val="17"/>
                <w:color w:val="auto"/>
              </w:rPr>
              <w:t>$5,853</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$2,830</w:t>
            </w: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60" w:type="dxa"/>
            <w:vAlign w:val="bottom"/>
            <w:gridSpan w:val="2"/>
            <w:shd w:val="clear" w:color="auto" w:fill="CCEEFF"/>
          </w:tcPr>
          <w:p>
            <w:pPr>
              <w:jc w:val="right"/>
              <w:ind w:right="631"/>
              <w:spacing w:after="0"/>
              <w:rPr>
                <w:sz w:val="20"/>
                <w:szCs w:val="20"/>
                <w:color w:val="auto"/>
              </w:rPr>
            </w:pPr>
            <w:r>
              <w:rPr>
                <w:rFonts w:ascii="Arial" w:cs="Arial" w:eastAsia="Arial" w:hAnsi="Arial"/>
                <w:sz w:val="17"/>
                <w:szCs w:val="17"/>
                <w:color w:val="auto"/>
              </w:rPr>
              <w:t>40.6%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Cost of revenue increased $3.3 million, and gross profit increased $3.0 million, from the six months ended June 30, 2016 to the comparable period in 2017, reflecting the growth in sales. Gross margin increased 5.8%, primarily due to sales of relatively lower-margin tools to new customers during the six months ended June 30, 2016.</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6"/>
              <w:spacing w:after="0" w:line="137"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bottom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$2,583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1,867</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1,486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6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7,608</w:t>
            </w:r>
          </w:p>
        </w:tc>
        <w:tc>
          <w:tcPr>
            <w:tcW w:w="1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4,393</w:t>
            </w:r>
          </w:p>
        </w:tc>
        <w:tc>
          <w:tcPr>
            <w:tcW w:w="1580" w:type="dxa"/>
            <w:vAlign w:val="bottom"/>
            <w:gridSpan w:val="3"/>
          </w:tcPr>
          <w:p>
            <w:pPr>
              <w:jc w:val="right"/>
              <w:ind w:right="6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$765,000 in the six months ended June 30, 2017 as compared to the corresponding period in 2016,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employee salaries and sales services.</w:t>
      </w:r>
    </w:p>
    <w:p>
      <w:pPr>
        <w:spacing w:after="0" w:line="158"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$381,000 in the six months ended June 30, 2017 as compared to the corresponding period in 2016, principally</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increases of in employee salaries and research and development parts. Research and development expense represented 12.9% and 18.3% of our revenue in the six months ended June 30, 2017 and 2016, respectively. Without reduction by grant amounts received from PRC governmental authorities (see “— Key Components of Results of Operations—PRC Government Research and Development Funding”), gross research and development expense totaled $5.0 million, or 34.8% of revenue, in the six months ended June 30, 2017 and $3.5 million, or 42.6% of revenue, in the six months ended June 30, 2016.</w:t>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7"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$2.1 million in the six months ended June 30, 2017 as compared to the corresponding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resulting from preparations to become a public company. These costs reflected increases of $1.1 million in stock-based compensation expense, $511,000 in professional fees, $90,000 in consulting fees, $80,000 in personnel costs and $75,000 in tax expense.</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Other Income and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jc w:val="center"/>
              <w:ind w:left="291"/>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771"/>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Pr>
          <w:p>
            <w:pPr>
              <w:jc w:val="center"/>
              <w:ind w:left="31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60" w:type="dxa"/>
            <w:vAlign w:val="bottom"/>
            <w:gridSpan w:val="2"/>
            <w:shd w:val="clear" w:color="auto" w:fill="CCEEFF"/>
          </w:tcPr>
          <w:p>
            <w:pPr>
              <w:jc w:val="right"/>
              <w:ind w:right="651"/>
              <w:spacing w:after="0"/>
              <w:rPr>
                <w:sz w:val="20"/>
                <w:szCs w:val="20"/>
                <w:color w:val="auto"/>
              </w:rPr>
            </w:pPr>
            <w:r>
              <w:rPr>
                <w:rFonts w:ascii="Arial" w:cs="Arial" w:eastAsia="Arial" w:hAnsi="Arial"/>
                <w:sz w:val="17"/>
                <w:szCs w:val="17"/>
                <w:color w:val="auto"/>
              </w:rPr>
              <w:t>$(159)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4"/>
              </w:rPr>
              <w:t>$ (45)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360" w:type="dxa"/>
            <w:vAlign w:val="bottom"/>
            <w:gridSpan w:val="2"/>
          </w:tcPr>
          <w:p>
            <w:pPr>
              <w:jc w:val="right"/>
              <w:ind w:right="651"/>
              <w:spacing w:after="0"/>
              <w:rPr>
                <w:sz w:val="20"/>
                <w:szCs w:val="20"/>
                <w:color w:val="auto"/>
              </w:rPr>
            </w:pPr>
            <w:r>
              <w:rPr>
                <w:rFonts w:ascii="Arial" w:cs="Arial" w:eastAsia="Arial" w:hAnsi="Arial"/>
                <w:sz w:val="17"/>
                <w:szCs w:val="17"/>
                <w:color w:val="auto"/>
              </w:rPr>
              <w:t>(292)</w:t>
            </w:r>
          </w:p>
        </w:tc>
        <w:tc>
          <w:tcPr>
            <w:tcW w:w="380" w:type="dxa"/>
            <w:vAlign w:val="bottom"/>
          </w:tcPr>
          <w:p>
            <w:pPr>
              <w:jc w:val="right"/>
              <w:spacing w:after="0"/>
              <w:rPr>
                <w:sz w:val="20"/>
                <w:szCs w:val="20"/>
                <w:color w:val="auto"/>
              </w:rPr>
            </w:pPr>
            <w:r>
              <w:rPr>
                <w:rFonts w:ascii="Arial" w:cs="Arial" w:eastAsia="Arial" w:hAnsi="Arial"/>
                <w:sz w:val="17"/>
                <w:szCs w:val="17"/>
                <w:color w:val="auto"/>
              </w:rPr>
              <w:t>506</w:t>
            </w:r>
          </w:p>
        </w:tc>
        <w:tc>
          <w:tcPr>
            <w:tcW w:w="4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Interest expense consists of interest incurred from outstanding short-term borrowings and notes payable. Interest expense increased to $164,000 in the six months ended June 30, 2017 from $51,000 in the six months ended June 30, 2016, principally as a result of increased borrowings under short-term bank loans. We earn interest income from depositary accounts. Interest income was nominal in the six months ended June 30, 2017 and 2016.</w:t>
      </w:r>
    </w:p>
    <w:p>
      <w:pPr>
        <w:spacing w:after="0" w:line="154"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Income Tax (Expense) Benefit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(expense) benefit for the indicated periods:</w:t>
      </w:r>
    </w:p>
    <w:p>
      <w:pPr>
        <w:spacing w:after="0" w:line="119"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line="223" w:lineRule="auto"/>
        <w:rPr>
          <w:sz w:val="20"/>
          <w:szCs w:val="20"/>
          <w:color w:val="auto"/>
        </w:rPr>
      </w:pPr>
      <w:r>
        <w:rPr>
          <w:rFonts w:ascii="Arial" w:cs="Arial" w:eastAsia="Arial" w:hAnsi="Arial"/>
          <w:sz w:val="14"/>
          <w:szCs w:val="14"/>
          <w:b w:val="1"/>
          <w:bCs w:val="1"/>
          <w:color w:val="auto"/>
        </w:rPr>
        <w:t>June 30,</w:t>
      </w:r>
    </w:p>
    <w:tbl>
      <w:tblPr>
        <w:tblLayout w:type="fixed"/>
        <w:tblInd w:w="920" w:type="dxa"/>
        <w:tblCellMar>
          <w:top w:w="0" w:type="dxa"/>
          <w:left w:w="0" w:type="dxa"/>
          <w:bottom w:w="0" w:type="dxa"/>
          <w:right w:w="0" w:type="dxa"/>
        </w:tblCellMar>
      </w:tblP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7" w:lineRule="exact"/>
              <w:rPr>
                <w:sz w:val="20"/>
                <w:szCs w:val="20"/>
                <w:color w:val="auto"/>
              </w:rPr>
            </w:pPr>
            <w:r>
              <w:rPr>
                <w:rFonts w:ascii="Arial" w:cs="Arial" w:eastAsia="Arial" w:hAnsi="Arial"/>
                <w:sz w:val="14"/>
                <w:szCs w:val="14"/>
                <w:b w:val="1"/>
                <w:bCs w:val="1"/>
                <w:color w:val="auto"/>
                <w:w w:val="83"/>
              </w:rPr>
              <w:t>2017</w:t>
            </w: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(expense) benefit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(expense) benefit</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(expense) benefit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7"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tax rate of 15%. ACM Shanghai was certified as an “advanced and new technology enterprise” in 2012 and again in 2016, with an effective period of three years.</w:t>
      </w:r>
    </w:p>
    <w:p>
      <w:pPr>
        <w:spacing w:after="0" w:line="233"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4"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We intend to reinvest indefinitely our PRC earnings as of June 30, 2017 outside of the United States, and we therefore have not provided for taxes with respect to the remissions of such earnings from the PRC to the United States.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Years Ended 2016 and 2015</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ind w:right="75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02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$27,371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$31,206</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decrease in revenue in 2016 from 2015 reflected a decline in revenue from single-wafer wet cleaning equipment of $5.4 million, offset in part by a $1.5 million increase in revenue from advanced packaging equipment. Our revenue in 2016 compared to 2015 reflected a $20.2 million reduction in sales, from $26.8 million in 2015 to $6.6 million in 2016, to our largest customer in 2015, offset in part by (a) a $1.3 million increase from 2015 to 2016 in purchases by our second largest customer in 2015 and (b) $16.1 million in revenue in 2016 from initial purchases of our single-wafer wet cleaning equipment by two PRC foundries. Chip fabricators typically purchase types of tools in phases based on multi-year capital plans, and their purchases of specific types of tools therefore vary from year to year. We believe the decline in sales to our largest customer from 2015 to 2016 reflected the customer’s multi-year capital plan.</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 of Change</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ind w:right="91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20" w:type="dxa"/>
            <w:vAlign w:val="bottom"/>
            <w:gridSpan w:val="2"/>
            <w:shd w:val="clear" w:color="auto" w:fill="CCEEFF"/>
          </w:tcPr>
          <w:p>
            <w:pPr>
              <w:jc w:val="right"/>
              <w:ind w:right="751"/>
              <w:spacing w:after="0"/>
              <w:rPr>
                <w:sz w:val="20"/>
                <w:szCs w:val="20"/>
                <w:color w:val="auto"/>
              </w:rPr>
            </w:pPr>
            <w:r>
              <w:rPr>
                <w:rFonts w:ascii="Arial" w:cs="Arial" w:eastAsia="Arial" w:hAnsi="Arial"/>
                <w:sz w:val="17"/>
                <w:szCs w:val="17"/>
                <w:color w:val="auto"/>
              </w:rPr>
              <w:t>$14,042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$17,085</w:t>
            </w:r>
          </w:p>
        </w:tc>
        <w:tc>
          <w:tcPr>
            <w:tcW w:w="5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7"/>
                <w:szCs w:val="17"/>
                <w:color w:val="auto"/>
              </w:rPr>
              <w:t>Gross profit</w:t>
            </w:r>
          </w:p>
        </w:tc>
        <w:tc>
          <w:tcPr>
            <w:tcW w:w="3720" w:type="dxa"/>
            <w:vAlign w:val="bottom"/>
            <w:gridSpan w:val="2"/>
          </w:tcPr>
          <w:p>
            <w:pPr>
              <w:jc w:val="right"/>
              <w:ind w:right="751"/>
              <w:spacing w:after="0"/>
              <w:rPr>
                <w:sz w:val="20"/>
                <w:szCs w:val="20"/>
                <w:color w:val="auto"/>
              </w:rPr>
            </w:pPr>
            <w:r>
              <w:rPr>
                <w:rFonts w:ascii="Arial" w:cs="Arial" w:eastAsia="Arial" w:hAnsi="Arial"/>
                <w:sz w:val="17"/>
                <w:szCs w:val="17"/>
                <w:color w:val="auto"/>
              </w:rPr>
              <w:t>$13,329</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$14,121</w:t>
            </w:r>
          </w:p>
        </w:tc>
        <w:tc>
          <w:tcPr>
            <w:tcW w:w="5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20" w:type="dxa"/>
            <w:vAlign w:val="bottom"/>
            <w:gridSpan w:val="2"/>
            <w:shd w:val="clear" w:color="auto" w:fill="CCEEFF"/>
          </w:tcPr>
          <w:p>
            <w:pPr>
              <w:jc w:val="right"/>
              <w:ind w:right="611"/>
              <w:spacing w:after="0"/>
              <w:rPr>
                <w:sz w:val="20"/>
                <w:szCs w:val="20"/>
                <w:color w:val="auto"/>
              </w:rPr>
            </w:pPr>
            <w:r>
              <w:rPr>
                <w:rFonts w:ascii="Arial" w:cs="Arial" w:eastAsia="Arial" w:hAnsi="Arial"/>
                <w:sz w:val="17"/>
                <w:szCs w:val="17"/>
                <w:color w:val="auto"/>
              </w:rPr>
              <w:t>48.7%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Cost of revenue decreased $3.0 million in 2016 from 2015, primarily due to decreases in component costs related to lower volume Gross margin increased 3.4%, reflecting a relative increase in sales of higher-margin products.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448" w:right="2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90"/>
              </w:rPr>
              <w:t>Year Ended</w:t>
            </w:r>
          </w:p>
        </w:tc>
        <w:tc>
          <w:tcPr>
            <w:tcW w:w="7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7"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$3,907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3,259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2,942</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7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9,839</w:t>
            </w:r>
          </w:p>
        </w:tc>
        <w:tc>
          <w:tcPr>
            <w:tcW w:w="1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9,258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decreased $306,000 in 2016 compared to 2015, primarily due to a decrease of $520,000 in sales commissions reflecting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lower level of sales in 2016, offset in part by a $385,000 increase in consulting fees.</w:t>
      </w:r>
    </w:p>
    <w:p>
      <w:pPr>
        <w:spacing w:after="0" w:line="158"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$317,000 in 2016 from 2015, principally as a result of increases of $147,000 in personnel costs, $104,000 in</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consumption expense and $57,000 in travel expense. Research and development expense represented 11.9% of revenue in 2016 and 9.4% of revenue in 2015. Without reduction by grant amounts received from PRC governmental authorities (see “—Key Components of Results of Operations—PRC Government Research and Development Funding”), gross research and development expense totaled $7.5 million, or 27.4% of revenue, in 2016 and $6.6 million, or 21.1% of revenue, in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$571,000 in 2016 compared to 2015, principally resulting from preparations to become a public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These costs reflected increases of $321,000 in professional fees, $84,000 in personnel costs and $77,000 in travel expense.</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351"/>
              <w:spacing w:after="0" w:line="137"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80" w:type="dxa"/>
            <w:vAlign w:val="bottom"/>
            <w:gridSpan w:val="2"/>
          </w:tcPr>
          <w:p>
            <w:pPr>
              <w:jc w:val="right"/>
              <w:ind w:right="279"/>
              <w:spacing w:after="0" w:line="137"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$(165)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Other income, net</w:t>
            </w:r>
          </w:p>
        </w:tc>
        <w:tc>
          <w:tcPr>
            <w:tcW w:w="3340" w:type="dxa"/>
            <w:vAlign w:val="bottom"/>
            <w:gridSpan w:val="2"/>
          </w:tcPr>
          <w:p>
            <w:pPr>
              <w:jc w:val="right"/>
              <w:ind w:right="231"/>
              <w:spacing w:after="0"/>
              <w:rPr>
                <w:sz w:val="20"/>
                <w:szCs w:val="20"/>
                <w:color w:val="auto"/>
              </w:rPr>
            </w:pPr>
            <w:r>
              <w:rPr>
                <w:rFonts w:ascii="Arial" w:cs="Arial" w:eastAsia="Arial" w:hAnsi="Arial"/>
                <w:sz w:val="17"/>
                <w:szCs w:val="17"/>
                <w:color w:val="auto"/>
              </w:rPr>
              <w:t>(343)</w:t>
            </w:r>
          </w:p>
        </w:tc>
        <w:tc>
          <w:tcPr>
            <w:tcW w:w="720" w:type="dxa"/>
            <w:vAlign w:val="bottom"/>
          </w:tcPr>
          <w:p>
            <w:pPr>
              <w:jc w:val="right"/>
              <w:spacing w:after="0"/>
              <w:rPr>
                <w:sz w:val="20"/>
                <w:szCs w:val="20"/>
                <w:color w:val="auto"/>
              </w:rPr>
            </w:pPr>
            <w:r>
              <w:rPr>
                <w:rFonts w:ascii="Arial" w:cs="Arial" w:eastAsia="Arial" w:hAnsi="Arial"/>
                <w:sz w:val="17"/>
                <w:szCs w:val="17"/>
                <w:color w:val="auto"/>
              </w:rPr>
              <w:t>632</w:t>
            </w:r>
          </w:p>
        </w:tc>
        <w:tc>
          <w:tcPr>
            <w:tcW w:w="3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Interest expense consists of interest incurred from outstanding short-term borrowings and notes payable. Interest expense increased to $181,000 in 2016 from $122,000 in 2015, principally as a result of increased borrowings under short-term bank loans. We earn interest income from depositary accounts. Interest income totaled $16,000 in 2016 and $17,000 in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48"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36"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Year Ended</w:t>
      </w:r>
    </w:p>
    <w:p>
      <w:pPr>
        <w:jc w:val="center"/>
        <w:ind w:left="792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gridSpan w:val="4"/>
          </w:tcPr>
          <w:p>
            <w:pPr>
              <w:jc w:val="right"/>
              <w:ind w:right="253"/>
              <w:spacing w:after="0" w:line="137"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900" w:type="dxa"/>
            <w:vAlign w:val="bottom"/>
            <w:gridSpan w:val="3"/>
          </w:tcPr>
          <w:p>
            <w:pPr>
              <w:jc w:val="right"/>
              <w:ind w:right="380"/>
              <w:spacing w:after="0"/>
              <w:rPr>
                <w:sz w:val="20"/>
                <w:szCs w:val="20"/>
                <w:color w:val="auto"/>
              </w:rPr>
            </w:pPr>
            <w:r>
              <w:rPr>
                <w:rFonts w:ascii="Arial" w:cs="Arial" w:eastAsia="Arial" w:hAnsi="Arial"/>
                <w:sz w:val="17"/>
                <w:szCs w:val="17"/>
                <w:color w:val="auto"/>
              </w:rPr>
              <w:t>$ —</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benefit (expense)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benefit</w:t>
            </w:r>
          </w:p>
        </w:tc>
        <w:tc>
          <w:tcPr>
            <w:tcW w:w="2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benefit</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(595)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firstLine="457"/>
        <w:spacing w:after="0" w:line="320"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68" w:lineRule="exact"/>
        <w:rPr>
          <w:sz w:val="20"/>
          <w:szCs w:val="20"/>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issuances of two additional series of convertible preferred stock in 2016 and the third quarter of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investment deposit in 2016 made in connection with issuance of a Class A common stock warrant in March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additional issuances of ACM Shanghai equity interests in 2008 and 2009;</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subsidies received from PRC governmental authorities pursuant to grants made in 2008, 2009 and 2014;</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short-term borrowings by ACM Shanghai from local financial institutions in 2009 and each year since 2011;</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additional issuances of term promissory notes in 2013, 2014 and 2015;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operating cash flow in 2015 and the first half of 2017.</w:t>
      </w:r>
    </w:p>
    <w:p>
      <w:pPr>
        <w:spacing w:after="0" w:line="222"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We believe our existing cash and cash equivalents, our cash flow from operating activities, short-term bank borrowings by ACM Shanghai and our net proceeds of this offering and the concurrent private placement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60"/>
          </w:cols>
          <w:pgMar w:left="240" w:top="448" w:right="29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payment schedules of our 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Sources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Equity and Equity-Related Securities</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Since 1998 we have received gross proceeds of $41.9 million from sales of common stock, convertible preferred stock, convertible preferred notes and a warrant of ACM Research Inc. and sales of equity securities of ACM Shanghai, as described below.</w:t>
      </w:r>
    </w:p>
    <w:p>
      <w:pPr>
        <w:spacing w:after="0" w:line="158" w:lineRule="exact"/>
        <w:rPr>
          <w:sz w:val="20"/>
          <w:szCs w:val="20"/>
          <w:color w:val="auto"/>
        </w:rPr>
      </w:pPr>
    </w:p>
    <w:p>
      <w:pPr>
        <w:jc w:val="both"/>
        <w:ind w:right="200" w:firstLine="457"/>
        <w:spacing w:after="0" w:line="287" w:lineRule="auto"/>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From 1998 through September 30, 2017 we sold common stock to founders, investors and exercising option holders for gross proceeds of $2.7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We have sold convertible preferred stock to investors for gross proceeds of $23.7 million, as follows:</w:t>
      </w:r>
    </w:p>
    <w:p>
      <w:pPr>
        <w:spacing w:after="0" w:line="238" w:lineRule="exact"/>
        <w:rPr>
          <w:sz w:val="20"/>
          <w:szCs w:val="20"/>
          <w:color w:val="auto"/>
        </w:rPr>
      </w:pPr>
    </w:p>
    <w:tbl>
      <w:tblPr>
        <w:tblLayout w:type="fixed"/>
        <w:tblInd w:w="3900" w:type="dxa"/>
        <w:tblCellMar>
          <w:top w:w="0" w:type="dxa"/>
          <w:left w:w="0" w:type="dxa"/>
          <w:bottom w:w="0" w:type="dxa"/>
          <w:right w:w="0" w:type="dxa"/>
        </w:tblCellMar>
      </w:tblPr>
      <w:tr>
        <w:trPr>
          <w:trHeight w:val="179"/>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Year Issued</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b w:val="1"/>
                <w:bCs w:val="1"/>
                <w:color w:val="auto"/>
                <w:w w:val="89"/>
              </w:rPr>
              <w:t>Convertible Preferred Stock</w:t>
            </w:r>
          </w:p>
        </w:tc>
        <w:tc>
          <w:tcPr>
            <w:tcW w:w="14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Gross Proceeds</w:t>
            </w:r>
          </w:p>
        </w:tc>
      </w:tr>
      <w:tr>
        <w:trPr>
          <w:trHeight w:val="123"/>
        </w:trPr>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i w:val="1"/>
                <w:iCs w:val="1"/>
                <w:color w:val="auto"/>
                <w:w w:val="96"/>
              </w:rPr>
              <w:t>(in thousands)</w:t>
            </w:r>
          </w:p>
        </w:tc>
        <w:tc>
          <w:tcPr>
            <w:tcW w:w="40" w:type="dxa"/>
            <w:vAlign w:val="bottom"/>
          </w:tcPr>
          <w:p>
            <w:pPr>
              <w:spacing w:after="0"/>
              <w:rPr>
                <w:sz w:val="10"/>
                <w:szCs w:val="10"/>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A</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B</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1,572</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C</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2,041</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2001</w:t>
            </w:r>
          </w:p>
        </w:tc>
        <w:tc>
          <w:tcPr>
            <w:tcW w:w="100" w:type="dxa"/>
            <w:vAlign w:val="bottom"/>
          </w:tcPr>
          <w:p>
            <w:pPr>
              <w:spacing w:after="0"/>
              <w:rPr>
                <w:sz w:val="18"/>
                <w:szCs w:val="18"/>
                <w:color w:val="auto"/>
              </w:rPr>
            </w:pPr>
          </w:p>
        </w:tc>
        <w:tc>
          <w:tcPr>
            <w:tcW w:w="1680" w:type="dxa"/>
            <w:vAlign w:val="bottom"/>
          </w:tcPr>
          <w:p>
            <w:pPr>
              <w:ind w:left="600"/>
              <w:spacing w:after="0"/>
              <w:rPr>
                <w:sz w:val="20"/>
                <w:szCs w:val="20"/>
                <w:color w:val="auto"/>
              </w:rPr>
            </w:pPr>
            <w:r>
              <w:rPr>
                <w:rFonts w:ascii="Arial" w:cs="Arial" w:eastAsia="Arial" w:hAnsi="Arial"/>
                <w:sz w:val="17"/>
                <w:szCs w:val="17"/>
                <w:color w:val="auto"/>
              </w:rPr>
              <w:t>Series 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4,975</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F</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9,040</w:t>
            </w:r>
          </w:p>
        </w:tc>
      </w:tr>
      <w:tr>
        <w:trPr>
          <w:trHeight w:val="215"/>
        </w:trPr>
        <w:tc>
          <w:tcPr>
            <w:tcW w:w="720" w:type="dxa"/>
            <w:vAlign w:val="bottom"/>
          </w:tcPr>
          <w:p>
            <w:pPr>
              <w:jc w:val="right"/>
              <w:ind w:right="296"/>
              <w:spacing w:after="0"/>
              <w:rPr>
                <w:sz w:val="20"/>
                <w:szCs w:val="20"/>
                <w:color w:val="auto"/>
              </w:rPr>
            </w:pPr>
            <w:r>
              <w:rPr>
                <w:rFonts w:ascii="Arial" w:cs="Arial" w:eastAsia="Arial" w:hAnsi="Arial"/>
                <w:sz w:val="17"/>
                <w:szCs w:val="17"/>
                <w:color w:val="auto"/>
                <w:w w:val="84"/>
              </w:rPr>
              <w:t>2017</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E</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5,800</w:t>
            </w:r>
          </w:p>
        </w:tc>
        <w:tc>
          <w:tcPr>
            <w:tcW w:w="4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23,716</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u w:val="single" w:color="auto"/>
          <w:color w:val="auto"/>
        </w:rPr>
        <w:t>Convertible Promissory Notes</w:t>
      </w:r>
      <w:r>
        <w:rPr>
          <w:rFonts w:ascii="Arial" w:cs="Arial" w:eastAsia="Arial" w:hAnsi="Arial"/>
          <w:sz w:val="17"/>
          <w:szCs w:val="17"/>
          <w:color w:val="auto"/>
        </w:rPr>
        <w:t>. In the years following our issuance of Series D convertible preferred stock in 2001, we borrowed an aggregate of $1.6 million pursuant to promissory “bridge” notes that bore interest at the rate of 6% per annum and subsequently converted into equity securities.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Issued  Gross Proceeds</w:t>
      </w:r>
    </w:p>
    <w:tbl>
      <w:tblPr>
        <w:tblLayout w:type="fixed"/>
        <w:tblInd w:w="4820" w:type="dxa"/>
        <w:tblCellMar>
          <w:top w:w="0" w:type="dxa"/>
          <w:left w:w="0" w:type="dxa"/>
          <w:bottom w:w="0" w:type="dxa"/>
          <w:right w:w="0" w:type="dxa"/>
        </w:tblCellMar>
      </w:tblPr>
      <w:tr>
        <w:trPr>
          <w:trHeight w:val="141"/>
        </w:trPr>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8"/>
                <w:szCs w:val="18"/>
                <w:color w:val="auto"/>
              </w:rPr>
            </w:pPr>
          </w:p>
        </w:tc>
      </w:tr>
      <w:tr>
        <w:trPr>
          <w:trHeight w:val="215"/>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616</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60" w:type="dxa"/>
            <w:vAlign w:val="bottom"/>
            <w:shd w:val="clear" w:color="auto" w:fill="CCEEFF"/>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The convertible promissory notes were issued with common stock warrants, all of which expired unexercised. Upon the closing of our issuance of Series F convertible preferred stock in December 2016, the outstanding convertible promissory notes converted into 47,454 shares of Series F convertible preferred stock and 1,812,069 shares of Class A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48" w:right="2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u w:val="single" w:color="auto"/>
          <w:color w:val="auto"/>
        </w:rPr>
        <w:t>ACM Shanghai Equity</w:t>
      </w:r>
      <w:r>
        <w:rPr>
          <w:rFonts w:ascii="Arial" w:cs="Arial" w:eastAsia="Arial" w:hAnsi="Arial"/>
          <w:sz w:val="17"/>
          <w:szCs w:val="17"/>
          <w:color w:val="auto"/>
        </w:rPr>
        <w:t>. Three investors have paid a total of $11.0 million to purchase from ACM Shanghai equity interests currently representing 37.1% of ACM Shanghai’s outstanding equity.</w:t>
      </w:r>
    </w:p>
    <w:p>
      <w:pPr>
        <w:spacing w:after="0" w:line="174" w:lineRule="exact"/>
        <w:rPr>
          <w:sz w:val="20"/>
          <w:szCs w:val="20"/>
          <w:color w:val="auto"/>
        </w:rPr>
      </w:pPr>
    </w:p>
    <w:p>
      <w:pPr>
        <w:ind w:left="4820"/>
        <w:spacing w:after="0"/>
        <w:tabs>
          <w:tab w:leader="none" w:pos="5620" w:val="left"/>
        </w:tabs>
        <w:rPr>
          <w:sz w:val="20"/>
          <w:szCs w:val="20"/>
          <w:color w:val="auto"/>
        </w:rPr>
      </w:pPr>
      <w:r>
        <w:rPr>
          <w:rFonts w:ascii="Arial" w:cs="Arial" w:eastAsia="Arial" w:hAnsi="Arial"/>
          <w:sz w:val="14"/>
          <w:szCs w:val="14"/>
          <w:b w:val="1"/>
          <w:bCs w:val="1"/>
          <w:u w:val="single" w:color="auto"/>
          <w:color w:val="auto"/>
        </w:rPr>
        <w:t>Year Issued</w:t>
      </w:r>
      <w:r>
        <w:rPr>
          <w:sz w:val="20"/>
          <w:szCs w:val="20"/>
          <w:color w:val="auto"/>
        </w:rPr>
        <w:tab/>
      </w:r>
      <w:r>
        <w:rPr>
          <w:rFonts w:ascii="Arial" w:cs="Arial" w:eastAsia="Arial" w:hAnsi="Arial"/>
          <w:sz w:val="10"/>
          <w:szCs w:val="10"/>
          <w:b w:val="1"/>
          <w:bCs w:val="1"/>
          <w:u w:val="single" w:color="auto"/>
          <w:color w:val="auto"/>
        </w:rPr>
        <w:t>Gross Proceeds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wp:posOffset>
            </wp:positionV>
            <wp:extent cx="1125855" cy="132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25855" cy="132715"/>
                    </a:xfrm>
                    <a:prstGeom prst="rect">
                      <a:avLst/>
                    </a:prstGeom>
                    <a:noFill/>
                  </pic:spPr>
                </pic:pic>
              </a:graphicData>
            </a:graphic>
          </wp:anchor>
        </w:drawing>
      </w:r>
    </w:p>
    <w:p>
      <w:pPr>
        <w:ind w:left="5020"/>
        <w:spacing w:after="0"/>
        <w:tabs>
          <w:tab w:leader="none" w:pos="5620" w:val="left"/>
          <w:tab w:leader="none" w:pos="6140" w:val="left"/>
        </w:tabs>
        <w:rPr>
          <w:sz w:val="20"/>
          <w:szCs w:val="20"/>
          <w:color w:val="auto"/>
        </w:rPr>
      </w:pPr>
      <w:r>
        <w:rPr>
          <w:rFonts w:ascii="Arial" w:cs="Arial" w:eastAsia="Arial" w:hAnsi="Arial"/>
          <w:sz w:val="17"/>
          <w:szCs w:val="17"/>
          <w:color w:val="auto"/>
        </w:rPr>
        <w:t>2007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5,252</w:t>
      </w:r>
    </w:p>
    <w:p>
      <w:pPr>
        <w:spacing w:after="0" w:line="11"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2008</w:t>
      </w:r>
      <w:r>
        <w:rPr>
          <w:sz w:val="20"/>
          <w:szCs w:val="20"/>
          <w:color w:val="auto"/>
        </w:rPr>
        <w:tab/>
      </w:r>
      <w:r>
        <w:rPr>
          <w:rFonts w:ascii="Arial" w:cs="Arial" w:eastAsia="Arial" w:hAnsi="Arial"/>
          <w:sz w:val="17"/>
          <w:szCs w:val="17"/>
          <w:color w:val="auto"/>
        </w:rPr>
        <w:t>2,358</w:t>
      </w:r>
    </w:p>
    <w:p>
      <w:pPr>
        <w:spacing w:after="0" w:line="13"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7"/>
          <w:szCs w:val="17"/>
          <w:color w:val="auto"/>
        </w:rPr>
        <w:t>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-123190</wp:posOffset>
            </wp:positionV>
            <wp:extent cx="1125855" cy="140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5855" cy="140970"/>
                    </a:xfrm>
                    <a:prstGeom prst="rect">
                      <a:avLst/>
                    </a:prstGeom>
                    <a:noFill/>
                  </pic:spPr>
                </pic:pic>
              </a:graphicData>
            </a:graphic>
          </wp:anchor>
        </w:drawing>
      </w:r>
    </w:p>
    <w:p>
      <w:pPr>
        <w:spacing w:after="0" w:line="7" w:lineRule="exact"/>
        <w:rPr>
          <w:sz w:val="20"/>
          <w:szCs w:val="20"/>
          <w:color w:val="auto"/>
        </w:rPr>
      </w:pPr>
    </w:p>
    <w:p>
      <w:pPr>
        <w:ind w:left="6080" w:hanging="444"/>
        <w:spacing w:after="0"/>
        <w:tabs>
          <w:tab w:leader="none" w:pos="6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10,975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15875</wp:posOffset>
            </wp:positionV>
            <wp:extent cx="57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33020</wp:posOffset>
            </wp:positionV>
            <wp:extent cx="57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58"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We have entered into agreements with the three minority investors pursuant to which ACM Research will acquire, before the closing of this offering, all of the minority equity interests in ACM Shanghai, as described under “—Recent Equity Transactions—Acquisitions of Outstanding Minority Interests in Our Operating Company.”</w:t>
      </w:r>
    </w:p>
    <w:p>
      <w:pPr>
        <w:spacing w:after="0" w:line="172" w:lineRule="exact"/>
        <w:rPr>
          <w:sz w:val="20"/>
          <w:szCs w:val="20"/>
          <w:color w:val="auto"/>
        </w:rPr>
      </w:pPr>
    </w:p>
    <w:p>
      <w:pPr>
        <w:ind w:right="140" w:firstLine="457"/>
        <w:spacing w:after="0" w:line="288" w:lineRule="auto"/>
        <w:rPr>
          <w:sz w:val="20"/>
          <w:szCs w:val="20"/>
          <w:color w:val="auto"/>
        </w:rPr>
      </w:pPr>
      <w:r>
        <w:rPr>
          <w:rFonts w:ascii="Arial" w:cs="Arial" w:eastAsia="Arial" w:hAnsi="Arial"/>
          <w:sz w:val="16"/>
          <w:szCs w:val="16"/>
          <w:u w:val="single" w:color="auto"/>
          <w:color w:val="auto"/>
        </w:rPr>
        <w:t>Warrant</w:t>
      </w:r>
      <w:r>
        <w:rPr>
          <w:rFonts w:ascii="Arial" w:cs="Arial" w:eastAsia="Arial" w:hAnsi="Arial"/>
          <w:sz w:val="16"/>
          <w:szCs w:val="16"/>
          <w:color w:val="auto"/>
        </w:rPr>
        <w:t>. In December 2016 SMC delivered to ACM Shanghai 20,123,500 RMB (approximately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approximately $3.0 million. ACM Shanghai may become obligated to repay to SMC an amount equal to approximately $3.0 million in the circumstances described under “—Recent Equity Transactions—Issuance of Warrant.”</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Indebtedness</w:t>
      </w:r>
    </w:p>
    <w:p>
      <w:pPr>
        <w:spacing w:after="0" w:line="11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From 2003 through 2014 we borrowed an aggregate of $888,000 pursuant to non-convertible term notes as well as from convertible promissory notes that were repaid in cash. All of these notes bore interest at a rate of 6% per annum.</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Date Issued Gross Proceeds</w:t>
      </w:r>
    </w:p>
    <w:p>
      <w:pPr>
        <w:spacing w:after="0" w:line="18" w:lineRule="exact"/>
        <w:rPr>
          <w:sz w:val="20"/>
          <w:szCs w:val="20"/>
          <w:color w:val="auto"/>
        </w:rPr>
      </w:pPr>
    </w:p>
    <w:tbl>
      <w:tblPr>
        <w:tblLayout w:type="fixed"/>
        <w:tblInd w:w="4840" w:type="dxa"/>
        <w:tblCellMar>
          <w:top w:w="0" w:type="dxa"/>
          <w:left w:w="0" w:type="dxa"/>
          <w:bottom w:w="0" w:type="dxa"/>
          <w:right w:w="0" w:type="dxa"/>
        </w:tblCellMar>
      </w:tblPr>
      <w:tr>
        <w:trPr>
          <w:trHeight w:val="136"/>
        </w:trPr>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4"/>
              </w:rPr>
              <w:t>(in thousands)</w:t>
            </w:r>
          </w:p>
        </w:tc>
        <w:tc>
          <w:tcPr>
            <w:tcW w:w="40" w:type="dxa"/>
            <w:vAlign w:val="bottom"/>
            <w:gridSpan w:val="2"/>
          </w:tcPr>
          <w:p>
            <w:pPr>
              <w:spacing w:after="0"/>
              <w:rPr>
                <w:sz w:val="11"/>
                <w:szCs w:val="11"/>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468</w:t>
            </w: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700" w:type="dxa"/>
            <w:vAlign w:val="bottom"/>
          </w:tcPr>
          <w:p>
            <w:pPr>
              <w:spacing w:after="0"/>
              <w:rPr>
                <w:sz w:val="18"/>
                <w:szCs w:val="18"/>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888</w:t>
            </w:r>
          </w:p>
        </w:tc>
        <w:tc>
          <w:tcPr>
            <w:tcW w:w="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ACM Shanghai Short-Term Loan Facilities</w:t>
      </w:r>
      <w:r>
        <w:rPr>
          <w:rFonts w:ascii="Arial" w:cs="Arial" w:eastAsia="Arial" w:hAnsi="Arial"/>
          <w:sz w:val="17"/>
          <w:szCs w:val="17"/>
          <w:color w:val="auto"/>
        </w:rPr>
        <w:t>. ACM Shanghai is a party to lines of credit with three banks,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Agreement</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Annual</w:t>
            </w: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Maximum</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3"/>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Lender</w:t>
            </w:r>
          </w:p>
        </w:tc>
        <w:tc>
          <w:tcPr>
            <w:tcW w:w="3780" w:type="dxa"/>
            <w:vAlign w:val="bottom"/>
            <w:gridSpan w:val="2"/>
            <w:vMerge w:val="restart"/>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28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3"/>
          </w:tcPr>
          <w:p>
            <w:pPr>
              <w:ind w:left="240"/>
              <w:spacing w:after="0" w:line="143" w:lineRule="exact"/>
              <w:rPr>
                <w:sz w:val="20"/>
                <w:szCs w:val="20"/>
                <w:color w:val="auto"/>
              </w:rPr>
            </w:pPr>
            <w:r>
              <w:rPr>
                <w:rFonts w:ascii="Arial" w:cs="Arial" w:eastAsia="Arial" w:hAnsi="Arial"/>
                <w:sz w:val="14"/>
                <w:szCs w:val="14"/>
                <w:b w:val="1"/>
                <w:bCs w:val="1"/>
                <w:color w:val="auto"/>
              </w:rPr>
              <w:t>Borrowing</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4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Amount(1)</w:t>
            </w:r>
          </w:p>
        </w:tc>
        <w:tc>
          <w:tcPr>
            <w:tcW w:w="28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8"/>
              </w:rPr>
              <w:t>Outstanding(1)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Bank</w:t>
            </w: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 China Pudong Branch</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2017</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March 2018</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RMB30,000</w:t>
            </w:r>
          </w:p>
        </w:tc>
        <w:tc>
          <w:tcPr>
            <w:tcW w:w="28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RMB14,500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$4,521</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$2,185</w:t>
            </w:r>
          </w:p>
        </w:tc>
        <w:tc>
          <w:tcPr>
            <w:tcW w:w="0" w:type="dxa"/>
            <w:vAlign w:val="bottom"/>
          </w:tcPr>
          <w:p>
            <w:pPr>
              <w:spacing w:after="0"/>
              <w:rPr>
                <w:sz w:val="1"/>
                <w:szCs w:val="1"/>
                <w:color w:val="auto"/>
              </w:rPr>
            </w:pPr>
          </w:p>
        </w:tc>
      </w:tr>
      <w:tr>
        <w:trPr>
          <w:trHeight w:val="209"/>
        </w:trPr>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Bank of Shanghai Pudong Branch</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August 2017</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5.66</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RMB25,000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RMB8,540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$3,768</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09"/>
        </w:trPr>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Shanghai Rural Commercial Bank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September 2017</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5.44-5.66</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RMB5,000</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RMB60,000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RMB23,040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$9,043</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Converted to dollars as of September 30, 2017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8"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17"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As we initiated and grew our business from our inception in 1998 through 2014, in 2016 and in the first half of 2017, our operating activities used cash flow. Our operations provided cash flow of $2.7 million in 2015, and used cash flow of $3.7 million in 2016 and provided cash flow of $3.0 million in the first half of 2017. Our cash flow from operating activities 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Government Research and Development Grants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As described under “—Key Components of Results of Operations—PRC Government Research and Development Funding,” ACM Shanghai has received research and development grants from local and central PRC governmental authorities.</w:t>
      </w:r>
    </w:p>
    <w:p>
      <w:pPr>
        <w:spacing w:after="0" w:line="174" w:lineRule="exact"/>
        <w:rPr>
          <w:sz w:val="20"/>
          <w:szCs w:val="20"/>
          <w:color w:val="auto"/>
        </w:rPr>
      </w:pPr>
    </w:p>
    <w:tbl>
      <w:tblPr>
        <w:tblLayout w:type="fixed"/>
        <w:tblInd w:w="4160" w:type="dxa"/>
        <w:tblCellMar>
          <w:top w:w="0" w:type="dxa"/>
          <w:left w:w="0" w:type="dxa"/>
          <w:bottom w:w="0" w:type="dxa"/>
          <w:right w:w="0" w:type="dxa"/>
        </w:tblCellMar>
      </w:tblPr>
      <w:tr>
        <w:trPr>
          <w:trHeight w:val="179"/>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Award Date</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Grant Amount</w:t>
            </w:r>
          </w:p>
        </w:tc>
      </w:tr>
      <w:tr>
        <w:trPr>
          <w:trHeight w:val="136"/>
        </w:trPr>
        <w:tc>
          <w:tcPr>
            <w:tcW w:w="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2"/>
              </w:rPr>
              <w:t>(in thousands)</w:t>
            </w:r>
          </w:p>
        </w:tc>
        <w:tc>
          <w:tcPr>
            <w:tcW w:w="4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2007-2010</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2011</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6,334</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2013</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2,442</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2015</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6,579</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6,620</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auto"/>
                <w:w w:val="93"/>
              </w:rPr>
              <w:t>2017 (through September 30)</w:t>
            </w: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Not all grant amounts are received in the year in which a grant is awarded. As of September 30, 2017, ACM Shanghai expected to receive an additional $2.9 million in the future. We currently estimate ACM Shanghai will receive between $1.6 and $2.7 million in 2017, $2.4 million of which had been received as of September 30,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selected working capital information:</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66"/>
        </w:trPr>
        <w:tc>
          <w:tcPr>
            <w:tcW w:w="4360" w:type="dxa"/>
            <w:vAlign w:val="bottom"/>
          </w:tcPr>
          <w:p>
            <w:pPr>
              <w:spacing w:after="0"/>
              <w:rPr>
                <w:sz w:val="14"/>
                <w:szCs w:val="14"/>
                <w:color w:val="auto"/>
              </w:rPr>
            </w:pPr>
          </w:p>
        </w:tc>
        <w:tc>
          <w:tcPr>
            <w:tcW w:w="5180" w:type="dxa"/>
            <w:vAlign w:val="bottom"/>
            <w:gridSpan w:val="2"/>
          </w:tcPr>
          <w:p>
            <w:pPr>
              <w:jc w:val="center"/>
              <w:ind w:left="4256"/>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36"/>
        </w:trPr>
        <w:tc>
          <w:tcPr>
            <w:tcW w:w="43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i w:val="1"/>
                <w:iCs w:val="1"/>
                <w:color w:val="auto"/>
                <w:w w:val="87"/>
              </w:rPr>
              <w:t>(in thousands)</w:t>
            </w:r>
          </w:p>
        </w:tc>
        <w:tc>
          <w:tcPr>
            <w:tcW w:w="60" w:type="dxa"/>
            <w:vAlign w:val="bottom"/>
          </w:tcPr>
          <w:p>
            <w:pPr>
              <w:spacing w:after="0"/>
              <w:rPr>
                <w:sz w:val="11"/>
                <w:szCs w:val="11"/>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13,206</w:t>
            </w:r>
          </w:p>
        </w:tc>
        <w:tc>
          <w:tcPr>
            <w:tcW w:w="60" w:type="dxa"/>
            <w:vAlign w:val="bottom"/>
            <w:shd w:val="clear" w:color="auto" w:fill="CCEEFF"/>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12,310</w:t>
            </w:r>
          </w:p>
        </w:tc>
        <w:tc>
          <w:tcPr>
            <w:tcW w:w="60" w:type="dxa"/>
            <w:vAlign w:val="bottom"/>
          </w:tcPr>
          <w:p>
            <w:pPr>
              <w:spacing w:after="0"/>
              <w:rPr>
                <w:sz w:val="18"/>
                <w:szCs w:val="18"/>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14,106</w:t>
            </w:r>
          </w:p>
        </w:tc>
        <w:tc>
          <w:tcPr>
            <w:tcW w:w="60" w:type="dxa"/>
            <w:vAlign w:val="bottom"/>
            <w:shd w:val="clear" w:color="auto" w:fill="CCEEFF"/>
          </w:tcPr>
          <w:p>
            <w:pPr>
              <w:spacing w:after="0"/>
              <w:rPr>
                <w:sz w:val="18"/>
                <w:szCs w:val="18"/>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Working capital</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60" w:type="dxa"/>
            <w:vAlign w:val="bottom"/>
          </w:tcPr>
          <w:p>
            <w:pPr>
              <w:spacing w:after="0"/>
              <w:rPr>
                <w:sz w:val="19"/>
                <w:szCs w:val="19"/>
                <w:color w:val="auto"/>
              </w:rPr>
            </w:pPr>
          </w:p>
        </w:tc>
      </w:tr>
      <w:tr>
        <w:trPr>
          <w:trHeight w:val="340"/>
        </w:trPr>
        <w:tc>
          <w:tcPr>
            <w:tcW w:w="4360" w:type="dxa"/>
            <w:vAlign w:val="bottom"/>
          </w:tcPr>
          <w:p>
            <w:pPr>
              <w:spacing w:after="0"/>
              <w:rPr>
                <w:sz w:val="24"/>
                <w:szCs w:val="24"/>
                <w:color w:val="auto"/>
              </w:rPr>
            </w:pPr>
          </w:p>
        </w:tc>
        <w:tc>
          <w:tcPr>
            <w:tcW w:w="4380" w:type="dxa"/>
            <w:vAlign w:val="bottom"/>
          </w:tcPr>
          <w:p>
            <w:pPr>
              <w:jc w:val="right"/>
              <w:ind w:right="3776"/>
              <w:spacing w:after="0"/>
              <w:rPr>
                <w:sz w:val="20"/>
                <w:szCs w:val="20"/>
                <w:color w:val="auto"/>
              </w:rPr>
            </w:pPr>
            <w:r>
              <w:rPr>
                <w:rFonts w:ascii="Arial" w:cs="Arial" w:eastAsia="Arial" w:hAnsi="Arial"/>
                <w:sz w:val="17"/>
                <w:szCs w:val="17"/>
                <w:color w:val="auto"/>
              </w:rPr>
              <w:t>84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48" w:right="2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Our cash and cash equivalents at June 30,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See “Dividend Policy.”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not entered into, and do not expect to enter into, investments for trading or speculative purposes.</w:t>
      </w:r>
    </w:p>
    <w:p>
      <w:pPr>
        <w:spacing w:after="0" w:line="222"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Capital Expenditures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Our capital expenditures totaled $795,000 in 2016. Substantially all of the capital expenditures were made to purchase equipment or improve infrastructure for our research and development and manufacturing facilities.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During 2017 we are continuing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Our capital expenditures totaled $26,000 in the six months ended June 30, 2017. We are not currently party to any purchase contracts related to future capital expenditures.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Contractual Obligations and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sets forth our commitments to settle contractual obligations as of 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3 to 5</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1 Year</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220"/>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3920" w:type="dxa"/>
            <w:vAlign w:val="bottom"/>
            <w:gridSpan w:val="3"/>
            <w:shd w:val="clear" w:color="auto" w:fill="CCEEFF"/>
          </w:tcPr>
          <w:p>
            <w:pPr>
              <w:jc w:val="center"/>
              <w:ind w:left="2133"/>
              <w:spacing w:after="0"/>
              <w:rPr>
                <w:sz w:val="20"/>
                <w:szCs w:val="20"/>
                <w:color w:val="auto"/>
              </w:rPr>
            </w:pPr>
            <w:r>
              <w:rPr>
                <w:rFonts w:ascii="Arial" w:cs="Arial" w:eastAsia="Arial" w:hAnsi="Arial"/>
                <w:sz w:val="17"/>
                <w:szCs w:val="17"/>
                <w:color w:val="auto"/>
              </w:rPr>
              <w:t>$ 2,538</w:t>
            </w: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8</w:t>
            </w:r>
          </w:p>
        </w:tc>
        <w:tc>
          <w:tcPr>
            <w:tcW w:w="1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0"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As of June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8"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As of June 30, 2017, we did not have any significant off-balance sheet arrangements, as defined in Item 303(a)(4)(ii) of Regulation S-K of the Securities and Exchange Commission.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123" w:lineRule="exact"/>
        <w:rPr>
          <w:sz w:val="20"/>
          <w:szCs w:val="20"/>
          <w:color w:val="auto"/>
        </w:rPr>
      </w:pPr>
    </w:p>
    <w:p>
      <w:pPr>
        <w:ind w:right="320" w:firstLine="457"/>
        <w:spacing w:after="0" w:line="357"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7"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To the extent that we need to convert U.S. dollars we received from this offering and the concurrent private placement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6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We estimate that we will receive net proceeds from this offering and the concurrent private placement of $23.9 million, if the underwriters do not exercise their over-allotment option, assuming an initial public offering price of $8.50 per share, the midpoint of the initial public offering price range reflected on the cover page of this prospectus, and after deducting estimated underwriting discounts and commissions, private placement fees, and offering expenses. Assuming that we convert the full amount of the net proceeds from this offering and the concurrent private placement into Renminbi, a 10% appreciation of the U.S. dollar against Renminbi, from a rate of RMB6.6369 to $1.00 to a rate of RMB6.0335 to $1.00, will result in an increase of RMB3.7 million in our estimated net proceeds from this offering and the concurrent private placement. Conversely, a 10% depreciation of the U.S. dollar against the Renminbi, from a rate of RMB6.6369 to $1.00 to a rate of RMB7.3743 to $1.00, will result in a decrease of RMB3.7 million in our estimated net proceeds from this offering and the concurrent private placement.</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At June 30, 2017, we had unrestricted cash and cash equivalents totaling $13.2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8"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42" w:lineRule="exact"/>
        <w:rPr>
          <w:sz w:val="20"/>
          <w:szCs w:val="20"/>
          <w:color w:val="auto"/>
        </w:rPr>
      </w:pPr>
    </w:p>
    <w:p>
      <w:pPr>
        <w:ind w:left="900" w:hanging="439"/>
        <w:spacing w:after="0" w:line="266"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w:t>
      </w:r>
    </w:p>
    <w:p>
      <w:pPr>
        <w:spacing w:after="0" w:line="85"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As of September 30, 2017, we had been issued more than 140 patents in the United States, the People’s Republic of China or the PRC, Japan, Korea, Singapore and Taiwan.</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$10.6 million, or 73.6% of our revenue, in the first half of 2017, $21.5 million, or 78.4% of our total revenue, in 2016 and $26.8 million, or 86.0% of our total revenue, in 2015.</w:t>
      </w:r>
    </w:p>
    <w:p>
      <w:pPr>
        <w:spacing w:after="0" w:line="168" w:lineRule="exact"/>
        <w:rPr>
          <w:sz w:val="20"/>
          <w:szCs w:val="20"/>
          <w:color w:val="auto"/>
        </w:rPr>
      </w:pPr>
    </w:p>
    <w:p>
      <w:pPr>
        <w:jc w:val="both"/>
        <w:ind w:right="40" w:firstLine="457"/>
        <w:spacing w:after="0" w:line="263" w:lineRule="auto"/>
        <w:rPr>
          <w:sz w:val="20"/>
          <w:szCs w:val="20"/>
          <w:color w:val="auto"/>
        </w:rPr>
      </w:pPr>
      <w:r>
        <w:rPr>
          <w:rFonts w:ascii="Arial" w:cs="Arial" w:eastAsia="Arial" w:hAnsi="Arial"/>
          <w:sz w:val="17"/>
          <w:szCs w:val="17"/>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8"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23"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Demand for Faster, Better, Cheaper Chips</w:t>
      </w:r>
    </w:p>
    <w:p>
      <w:pPr>
        <w:spacing w:after="0" w:line="117"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76"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6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7"/>
          <w:szCs w:val="17"/>
          <w:i w:val="1"/>
          <w:iCs w:val="1"/>
          <w:color w:val="auto"/>
        </w:rPr>
        <w:t>FinFET</w:t>
      </w:r>
      <w:r>
        <w:rPr>
          <w:rFonts w:ascii="Arial" w:cs="Arial" w:eastAsia="Arial" w:hAnsi="Arial"/>
          <w:sz w:val="17"/>
          <w:szCs w:val="17"/>
          <w:color w:val="auto"/>
        </w:rPr>
        <w:t xml:space="preserve">, which provide faster switching while consuming less power. For memory chip manufacturers, </w:t>
      </w:r>
      <w:r>
        <w:rPr>
          <w:rFonts w:ascii="Arial" w:cs="Arial" w:eastAsia="Arial" w:hAnsi="Arial"/>
          <w:sz w:val="17"/>
          <w:szCs w:val="17"/>
          <w:i w:val="1"/>
          <w:iCs w:val="1"/>
          <w:color w:val="auto"/>
        </w:rPr>
        <w:t>3D NAND</w:t>
      </w:r>
      <w:r>
        <w:rPr>
          <w:rFonts w:ascii="Arial" w:cs="Arial" w:eastAsia="Arial" w:hAnsi="Arial"/>
          <w:sz w:val="17"/>
          <w:szCs w:val="17"/>
          <w:color w:val="auto"/>
        </w:rPr>
        <w:t xml:space="preserve"> stacks memory cells to deliver greater capacity at lower cost and </w:t>
      </w:r>
      <w:r>
        <w:rPr>
          <w:rFonts w:ascii="Arial" w:cs="Arial" w:eastAsia="Arial" w:hAnsi="Arial"/>
          <w:sz w:val="17"/>
          <w:szCs w:val="17"/>
          <w:i w:val="1"/>
          <w:iCs w:val="1"/>
          <w:color w:val="auto"/>
        </w:rPr>
        <w:t>3D cross point</w:t>
      </w:r>
      <w:r>
        <w:rPr>
          <w:rFonts w:ascii="Arial" w:cs="Arial" w:eastAsia="Arial" w:hAnsi="Arial"/>
          <w:sz w:val="17"/>
          <w:szCs w:val="17"/>
          <w:color w:val="auto"/>
        </w:rPr>
        <w:t xml:space="preserve">, a transistor-less memory cell architecture, is being developed to accelerate processing of massive data sets. </w:t>
      </w:r>
      <w:r>
        <w:rPr>
          <w:rFonts w:ascii="Arial" w:cs="Arial" w:eastAsia="Arial" w:hAnsi="Arial"/>
          <w:sz w:val="17"/>
          <w:szCs w:val="17"/>
          <w:i w:val="1"/>
          <w:iCs w:val="1"/>
          <w:color w:val="auto"/>
        </w:rPr>
        <w:t>EUV lithography</w:t>
      </w:r>
      <w:r>
        <w:rPr>
          <w:rFonts w:ascii="Arial" w:cs="Arial" w:eastAsia="Arial" w:hAnsi="Arial"/>
          <w:sz w:val="17"/>
          <w:szCs w:val="17"/>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Escalating Need for Advanced Chip Manufacturing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Manufacturing steps differ for logic and memory chips, but all chips are manufactured in two general processes:</w:t>
      </w:r>
    </w:p>
    <w:p>
      <w:pPr>
        <w:spacing w:after="0" w:line="130" w:lineRule="exact"/>
        <w:rPr>
          <w:sz w:val="20"/>
          <w:szCs w:val="20"/>
          <w:color w:val="auto"/>
        </w:rPr>
      </w:pPr>
    </w:p>
    <w:p>
      <w:pPr>
        <w:ind w:left="900" w:right="100" w:hanging="439"/>
        <w:spacing w:after="0" w:line="263"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7"/>
          <w:szCs w:val="17"/>
          <w:i w:val="1"/>
          <w:iCs w:val="1"/>
          <w:color w:val="auto"/>
        </w:rPr>
        <w:t>photolithography</w:t>
      </w:r>
      <w:r>
        <w:rPr>
          <w:rFonts w:ascii="Arial" w:cs="Arial" w:eastAsia="Arial" w:hAnsi="Arial"/>
          <w:sz w:val="17"/>
          <w:szCs w:val="17"/>
          <w:color w:val="auto"/>
        </w:rPr>
        <w:t xml:space="preserve"> to create a design, </w:t>
      </w:r>
      <w:r>
        <w:rPr>
          <w:rFonts w:ascii="Arial" w:cs="Arial" w:eastAsia="Arial" w:hAnsi="Arial"/>
          <w:sz w:val="17"/>
          <w:szCs w:val="17"/>
          <w:i w:val="1"/>
          <w:iCs w:val="1"/>
          <w:color w:val="auto"/>
        </w:rPr>
        <w:t>deposition</w:t>
      </w:r>
      <w:r>
        <w:rPr>
          <w:rFonts w:ascii="Arial" w:cs="Arial" w:eastAsia="Arial" w:hAnsi="Arial"/>
          <w:sz w:val="17"/>
          <w:szCs w:val="17"/>
          <w:color w:val="auto"/>
        </w:rPr>
        <w:t xml:space="preserve"> to add layers of materials, </w:t>
      </w:r>
      <w:r>
        <w:rPr>
          <w:rFonts w:ascii="Arial" w:cs="Arial" w:eastAsia="Arial" w:hAnsi="Arial"/>
          <w:sz w:val="17"/>
          <w:szCs w:val="17"/>
          <w:i w:val="1"/>
          <w:iCs w:val="1"/>
          <w:color w:val="auto"/>
        </w:rPr>
        <w:t>etching</w:t>
      </w:r>
      <w:r>
        <w:rPr>
          <w:rFonts w:ascii="Arial" w:cs="Arial" w:eastAsia="Arial" w:hAnsi="Arial"/>
          <w:sz w:val="17"/>
          <w:szCs w:val="17"/>
          <w:color w:val="auto"/>
        </w:rPr>
        <w:t xml:space="preserve"> to remove unwanted exposed materials, and </w:t>
      </w:r>
      <w:r>
        <w:rPr>
          <w:rFonts w:ascii="Arial" w:cs="Arial" w:eastAsia="Arial" w:hAnsi="Arial"/>
          <w:sz w:val="17"/>
          <w:szCs w:val="17"/>
          <w:i w:val="1"/>
          <w:iCs w:val="1"/>
          <w:color w:val="auto"/>
        </w:rPr>
        <w:t>chemical mechanical planarization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CMP</w:t>
      </w:r>
      <w:r>
        <w:rPr>
          <w:rFonts w:ascii="Arial" w:cs="Arial" w:eastAsia="Arial" w:hAnsi="Arial"/>
          <w:sz w:val="17"/>
          <w:szCs w:val="17"/>
          <w:color w:val="auto"/>
        </w:rPr>
        <w:t xml:space="preserve"> to smooth the surface for the next cycle of process steps.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8"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71"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172"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6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Growing Influence of the PRC Across the Semiconductor Industry</w:t>
      </w:r>
    </w:p>
    <w:p>
      <w:pPr>
        <w:spacing w:after="0" w:line="117"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The PRC is both the largest and the fastest-growing market for semiconductors. According to a study by PricewaterhouseCoopers (January 2017), during the ten-year period ending in 2015, the PRC’s semiconductor consumption grew at a CAGR of 14.3% while worldwide consumption increased by only 4.0%, and by 2015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w:t>
      </w:r>
    </w:p>
    <w:p>
      <w:pPr>
        <w:spacing w:after="0" w:line="57" w:lineRule="exact"/>
        <w:rPr>
          <w:sz w:val="20"/>
          <w:szCs w:val="20"/>
          <w:color w:val="auto"/>
        </w:rPr>
      </w:pPr>
    </w:p>
    <w:p>
      <w:pPr>
        <w:ind w:left="900" w:right="120" w:hanging="439"/>
        <w:spacing w:after="0" w:line="287"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chip design, or “fabless,” industry is the fastest growing segment of the PRC’s semiconductor industry, with revenue increasing from $1.5 billion in 2005 to $21.1 billion in 2015, a CAGR of 30.1%.</w:t>
      </w:r>
    </w:p>
    <w:p>
      <w:pPr>
        <w:spacing w:after="0" w:line="66" w:lineRule="exact"/>
        <w:rPr>
          <w:rFonts w:ascii="Arial" w:cs="Arial" w:eastAsia="Arial" w:hAnsi="Arial"/>
          <w:sz w:val="17"/>
          <w:szCs w:val="17"/>
          <w:color w:val="auto"/>
        </w:rPr>
      </w:pPr>
    </w:p>
    <w:p>
      <w:pPr>
        <w:ind w:left="900" w:right="940" w:hanging="439"/>
        <w:spacing w:after="0" w:line="287"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China’s share of worldwide semiconductor manufacturing capacity expanded from 7.3% in 2006 to 12.7% in 2015, and its semiconductor manufacturing revenue increased at a CAGR of 17.6% over the ten-year period ending in 2015.</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China’s semiconductor packaging, assembly and test revenue also grew at a CAGR of 18% over the ten-year period ending in 2015.</w:t>
      </w:r>
    </w:p>
    <w:p>
      <w:pPr>
        <w:spacing w:after="0" w:line="222" w:lineRule="exact"/>
        <w:rPr>
          <w:sz w:val="20"/>
          <w:szCs w:val="20"/>
          <w:color w:val="auto"/>
        </w:rPr>
      </w:pPr>
    </w:p>
    <w:p>
      <w:pPr>
        <w:ind w:right="480" w:firstLine="457"/>
        <w:spacing w:after="0" w:line="266" w:lineRule="auto"/>
        <w:rPr>
          <w:sz w:val="20"/>
          <w:szCs w:val="20"/>
          <w:color w:val="auto"/>
        </w:rPr>
      </w:pPr>
      <w:r>
        <w:rPr>
          <w:rFonts w:ascii="Arial" w:cs="Arial" w:eastAsia="Arial" w:hAnsi="Arial"/>
          <w:sz w:val="17"/>
          <w:szCs w:val="17"/>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8"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Emerging Criticality of Wafer Cleaning</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80"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6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There are two basic types of cleaning methods. </w:t>
      </w:r>
      <w:r>
        <w:rPr>
          <w:rFonts w:ascii="Arial" w:cs="Arial" w:eastAsia="Arial" w:hAnsi="Arial"/>
          <w:sz w:val="17"/>
          <w:szCs w:val="17"/>
          <w:i w:val="1"/>
          <w:iCs w:val="1"/>
          <w:color w:val="auto"/>
        </w:rPr>
        <w:t>Wet cleaning</w:t>
      </w:r>
      <w:r>
        <w:rPr>
          <w:rFonts w:ascii="Arial" w:cs="Arial" w:eastAsia="Arial" w:hAnsi="Arial"/>
          <w:sz w:val="17"/>
          <w:szCs w:val="17"/>
          <w:color w:val="auto"/>
        </w:rPr>
        <w:t xml:space="preserve"> uses liquid chemistry by applying combinations of solvents, acids and water to spray, scrub, etch and dissolve random defects. </w:t>
      </w:r>
      <w:r>
        <w:rPr>
          <w:rFonts w:ascii="Arial" w:cs="Arial" w:eastAsia="Arial" w:hAnsi="Arial"/>
          <w:sz w:val="17"/>
          <w:szCs w:val="17"/>
          <w:i w:val="1"/>
          <w:iCs w:val="1"/>
          <w:color w:val="auto"/>
        </w:rPr>
        <w:t>Dry cleaning</w:t>
      </w:r>
      <w:r>
        <w:rPr>
          <w:rFonts w:ascii="Arial" w:cs="Arial" w:eastAsia="Arial" w:hAnsi="Arial"/>
          <w:sz w:val="17"/>
          <w:szCs w:val="17"/>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8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80" w:lineRule="exact"/>
        <w:rPr>
          <w:sz w:val="20"/>
          <w:szCs w:val="20"/>
          <w:color w:val="auto"/>
        </w:rPr>
      </w:pPr>
    </w:p>
    <w:p>
      <w:pPr>
        <w:jc w:val="both"/>
        <w:ind w:right="120" w:firstLine="457"/>
        <w:spacing w:after="0" w:line="296"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cleaning equipment for single-wafer processing systems totaled $2.6 billion in 2015 and is expected to increase to $3.7 billion in 2020, a CAGR of 6.8%.</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Inadequacy of Traditional Single-Wafer Cleaning Technologies</w:t>
      </w:r>
    </w:p>
    <w:p>
      <w:pPr>
        <w:spacing w:after="0" w:line="117" w:lineRule="exact"/>
        <w:rPr>
          <w:sz w:val="20"/>
          <w:szCs w:val="20"/>
          <w:color w:val="auto"/>
        </w:rPr>
      </w:pPr>
    </w:p>
    <w:p>
      <w:pPr>
        <w:jc w:val="both"/>
        <w:ind w:right="200" w:firstLine="457"/>
        <w:spacing w:after="0" w:line="323" w:lineRule="auto"/>
        <w:rPr>
          <w:sz w:val="20"/>
          <w:szCs w:val="20"/>
          <w:color w:val="auto"/>
        </w:rPr>
      </w:pPr>
      <w:r>
        <w:rPr>
          <w:rFonts w:ascii="Arial" w:cs="Arial" w:eastAsia="Arial" w:hAnsi="Arial"/>
          <w:sz w:val="15"/>
          <w:szCs w:val="15"/>
          <w:color w:val="auto"/>
        </w:rPr>
        <w:t>At process nodes of 100nm or more, chips consisted of 2D features and architectures,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3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448" w:right="25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vibrations. The physical energy 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72"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As process nodes continue to shrink to 22nm and less, finer feature sizes and denser, more complex architectures make the cleaning process even more complicated and challenging:</w:t>
      </w:r>
    </w:p>
    <w:p>
      <w:pPr>
        <w:spacing w:after="0" w:line="67" w:lineRule="exact"/>
        <w:rPr>
          <w:sz w:val="20"/>
          <w:szCs w:val="20"/>
          <w:color w:val="auto"/>
        </w:rPr>
      </w:pPr>
    </w:p>
    <w:p>
      <w:pPr>
        <w:ind w:left="900" w:right="280" w:hanging="439"/>
        <w:spacing w:after="0" w:line="320"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43" w:lineRule="exact"/>
        <w:rPr>
          <w:rFonts w:ascii="Arial" w:cs="Arial" w:eastAsia="Arial" w:hAnsi="Arial"/>
          <w:sz w:val="16"/>
          <w:szCs w:val="16"/>
          <w:color w:val="auto"/>
        </w:rPr>
      </w:pPr>
    </w:p>
    <w:p>
      <w:pPr>
        <w:jc w:val="both"/>
        <w:ind w:left="900" w:right="120" w:hanging="439"/>
        <w:spacing w:after="0" w:line="271"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New 3D architectures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80" w:lineRule="exact"/>
        <w:rPr>
          <w:rFonts w:ascii="Arial" w:cs="Arial" w:eastAsia="Arial" w:hAnsi="Arial"/>
          <w:sz w:val="17"/>
          <w:szCs w:val="17"/>
          <w:color w:val="auto"/>
        </w:rPr>
      </w:pPr>
    </w:p>
    <w:p>
      <w:pPr>
        <w:ind w:left="900" w:right="40" w:hanging="439"/>
        <w:spacing w:after="0" w:line="28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New chip technologies and architectures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architectures,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architectures and high aspect ratios more effectively than traditional jet spray and transient megasonic technologies. Key elements of our solutions include:</w:t>
      </w:r>
    </w:p>
    <w:p>
      <w:pPr>
        <w:spacing w:after="0" w:line="176"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megasonic cleaning in order to remove random defects from a wafer surface effectively, without damaging the wafer or its features, even at process nodes of 22nm or less. We developed these technologies to help semiconductor manufacturers produce chips that reach their ultimate physical limitations.</w:t>
      </w:r>
    </w:p>
    <w:p>
      <w:pPr>
        <w:spacing w:after="0" w:line="62" w:lineRule="exact"/>
        <w:rPr>
          <w:sz w:val="20"/>
          <w:szCs w:val="20"/>
          <w:color w:val="auto"/>
        </w:rPr>
      </w:pPr>
    </w:p>
    <w:p>
      <w:pPr>
        <w:ind w:left="900" w:right="40" w:hanging="439"/>
        <w:spacing w:after="0" w:line="266"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Flat and patterned wafer surfaces. </w:t>
      </w:r>
      <w:r>
        <w:rPr>
          <w:rFonts w:ascii="Arial" w:cs="Arial" w:eastAsia="Arial" w:hAnsi="Arial"/>
          <w:sz w:val="17"/>
          <w:szCs w:val="17"/>
          <w:color w:val="auto"/>
        </w:rPr>
        <w:t>Our Space Alternated Phase Shift, or SAPS, technology, which we introduced in 2009, employs alternating phases</w:t>
      </w:r>
      <w:r>
        <w:rPr>
          <w:rFonts w:ascii="Arial" w:cs="Arial" w:eastAsia="Arial" w:hAnsi="Arial"/>
          <w:sz w:val="17"/>
          <w:szCs w:val="17"/>
          <w:i w:val="1"/>
          <w:iCs w:val="1"/>
          <w:color w:val="auto"/>
        </w:rPr>
        <w:t xml:space="preserve"> </w:t>
      </w:r>
      <w:r>
        <w:rPr>
          <w:rFonts w:ascii="Arial" w:cs="Arial" w:eastAsia="Arial" w:hAnsi="Arial"/>
          <w:sz w:val="17"/>
          <w:szCs w:val="17"/>
          <w:color w:val="auto"/>
        </w:rPr>
        <w:t>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60"/>
          </w:cols>
          <w:pgMar w:left="240" w:top="448" w:right="2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360"/>
        <w:spacing w:after="0" w:line="271" w:lineRule="auto"/>
        <w:rPr>
          <w:sz w:val="20"/>
          <w:szCs w:val="20"/>
          <w:color w:val="auto"/>
        </w:rPr>
      </w:pPr>
      <w:r>
        <w:rPr>
          <w:rFonts w:ascii="Arial" w:cs="Arial" w:eastAsia="Arial" w:hAnsi="Arial"/>
          <w:sz w:val="17"/>
          <w:szCs w:val="17"/>
          <w:color w:val="auto"/>
        </w:rPr>
        <w:t>less than 50nm in size,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81" w:lineRule="exact"/>
        <w:rPr>
          <w:sz w:val="20"/>
          <w:szCs w:val="20"/>
          <w:color w:val="auto"/>
        </w:rPr>
      </w:pPr>
    </w:p>
    <w:p>
      <w:pPr>
        <w:ind w:left="900" w:hanging="439"/>
        <w:spacing w:after="0" w:line="298"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High-aspect ratio conventional 2D and advanced 3D patterned wafer surfaces. </w:t>
      </w:r>
      <w:r>
        <w:rPr>
          <w:rFonts w:ascii="Arial" w:cs="Arial" w:eastAsia="Arial" w:hAnsi="Arial"/>
          <w:sz w:val="15"/>
          <w:szCs w:val="15"/>
          <w:color w:val="auto"/>
        </w:rPr>
        <w:t>Our Timely Energized Bubble Oscillation, or TEBO,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which we introduced in March 2016, has 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architectures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b w:val="1"/>
          <w:bCs w:val="1"/>
          <w:i w:val="1"/>
          <w:iCs w:val="1"/>
          <w:color w:val="auto"/>
        </w:rPr>
        <w:t>China-based operations</w:t>
      </w:r>
      <w:r>
        <w:rPr>
          <w:rFonts w:ascii="Arial" w:cs="Arial" w:eastAsia="Arial" w:hAnsi="Arial"/>
          <w:sz w:val="17"/>
          <w:szCs w:val="17"/>
          <w:color w:val="auto"/>
        </w:rPr>
        <w:t>. In 2006 we established our operational center in Shanghai, and currently we conduct substantially all of our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activities in the PRC. This strategy positions us near potential customers throughout Asia, giving us increased access to those customers and reducing shipping and manufacturing costs for equipment they purchase. An estimated 78% of new front-end facilities and production lines starting operation from 2017 through 2020 are projected to be constructed in Asia, with 42% expected to be built in the PRC. Our Shanghai location also gives us access to a large pool of highly qualified potential employees.</w:t>
      </w:r>
    </w:p>
    <w:p>
      <w:pPr>
        <w:spacing w:after="0" w:line="180"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b w:val="1"/>
          <w:bCs w:val="1"/>
          <w:i w:val="1"/>
          <w:iCs w:val="1"/>
          <w:color w:val="auto"/>
        </w:rPr>
        <w:t>Extensive intellectual property protection</w:t>
      </w:r>
      <w:r>
        <w:rPr>
          <w:rFonts w:ascii="Arial" w:cs="Arial" w:eastAsia="Arial" w:hAnsi="Arial"/>
          <w:sz w:val="17"/>
          <w:szCs w:val="17"/>
          <w:color w:val="auto"/>
        </w:rPr>
        <w:t>. Since our formation in 1998, we have focused on building a strategic portfolio of intellectual property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protect our key innovations, including most recently our SAPS and TEBO technologies. As of September 30, 2017, we had been issued more than 140 patents in the United States, the PRC, Japan, Korea, Singapore and Taiwan.</w:t>
      </w:r>
    </w:p>
    <w:p>
      <w:pPr>
        <w:spacing w:after="0" w:line="172"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b w:val="1"/>
          <w:bCs w:val="1"/>
          <w:i w:val="1"/>
          <w:iCs w:val="1"/>
          <w:color w:val="auto"/>
        </w:rPr>
        <w:t>Custom-made wafer assembly packaging solutions</w:t>
      </w:r>
      <w:r>
        <w:rPr>
          <w:rFonts w:ascii="Arial" w:cs="Arial" w:eastAsia="Arial" w:hAnsi="Arial"/>
          <w:sz w:val="17"/>
          <w:szCs w:val="17"/>
          <w:color w:val="auto"/>
        </w:rPr>
        <w:t>. In addition to our product offerings for single-wafer cleaning in the front-end wafer fabrication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leverage our 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b w:val="1"/>
          <w:bCs w:val="1"/>
          <w:i w:val="1"/>
          <w:iCs w:val="1"/>
          <w:color w:val="auto"/>
        </w:rPr>
        <w:t>Extend technology leadership</w:t>
      </w:r>
      <w:r>
        <w:rPr>
          <w:rFonts w:ascii="Arial" w:cs="Arial" w:eastAsia="Arial" w:hAnsi="Arial"/>
          <w:sz w:val="17"/>
          <w:szCs w:val="17"/>
          <w:color w:val="auto"/>
        </w:rPr>
        <w:t>. We intend to build upon our technology leadership in wet processing by continuing to develop and refine our differentiated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SAPS and TEBO technologies and equipment designed to address cleaning challenges presented by the manufacture of increasingly advanced chip nodes. To continue to build our strategic intellectual property portfolio, which included more than 140 patents as of September 30, 2017. Our investment in research and development totaled $1.9 million, or 12.9% of our revenue, in the first half of 2017 and $3.3 million, or 11.9% of our revenue, in 2016. We will continue to invest in product development and to strengthen our global patent portfolio in strategic jurisdictions.</w:t>
      </w:r>
    </w:p>
    <w:p>
      <w:pPr>
        <w:spacing w:after="0" w:line="180"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b w:val="1"/>
          <w:bCs w:val="1"/>
          <w:i w:val="1"/>
          <w:iCs w:val="1"/>
          <w:color w:val="auto"/>
        </w:rPr>
        <w:t>Establish referenceable customer base</w:t>
      </w:r>
      <w:r>
        <w:rPr>
          <w:rFonts w:ascii="Arial" w:cs="Arial" w:eastAsia="Arial" w:hAnsi="Arial"/>
          <w:sz w:val="17"/>
          <w:szCs w:val="17"/>
          <w:color w:val="auto"/>
        </w:rPr>
        <w:t>. Semiconductors fall into two principal product categories, memory and logic, and the processes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products in those two categories differ.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8"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two leading memory and logic chip customers, whose use of our products can influence decisions by other manufacturers.</w:t>
      </w:r>
    </w:p>
    <w:p>
      <w:pPr>
        <w:spacing w:after="0" w:line="154"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b w:val="1"/>
          <w:bCs w:val="1"/>
          <w:i w:val="1"/>
          <w:iCs w:val="1"/>
          <w:color w:val="auto"/>
        </w:rPr>
        <w:t>Leverage local presence to address growing PRC market</w:t>
      </w:r>
      <w:r>
        <w:rPr>
          <w:rFonts w:ascii="Arial" w:cs="Arial" w:eastAsia="Arial" w:hAnsi="Arial"/>
          <w:sz w:val="15"/>
          <w:szCs w:val="15"/>
          <w:color w:val="auto"/>
        </w:rPr>
        <w:t>. The market for semiconductor manufacturing equipment in the PRC is expected to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markedly in the upcoming years. Our experience has shown that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48"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we 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6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 On September 11, 2017, we acquired 20% of the outstanding equity of Ninebell, one of our key subassembly providers, as described under “Management’s Discussion and Analysis of Financial Condition and Results of Operations—Recent Equity Transactions —Strategic Investment in Key Supplier.”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Technologies</w:t>
      </w:r>
    </w:p>
    <w:p>
      <w:pPr>
        <w:spacing w:after="0" w:line="123" w:lineRule="exact"/>
        <w:rPr>
          <w:sz w:val="20"/>
          <w:szCs w:val="20"/>
          <w:color w:val="auto"/>
        </w:rPr>
      </w:pPr>
    </w:p>
    <w:p>
      <w:pPr>
        <w:ind w:right="60" w:firstLine="457"/>
        <w:spacing w:after="0" w:line="323" w:lineRule="auto"/>
        <w:rPr>
          <w:sz w:val="20"/>
          <w:szCs w:val="20"/>
          <w:color w:val="auto"/>
        </w:rPr>
      </w:pPr>
      <w:r>
        <w:rPr>
          <w:rFonts w:ascii="Arial" w:cs="Arial" w:eastAsia="Arial" w:hAnsi="Arial"/>
          <w:sz w:val="15"/>
          <w:szCs w:val="15"/>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8"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76"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72"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In 2007 we began to focus our development efforts on single-wafer wet-cleaning solutions for the front-end fabrication process. We have developed innovative, proprietary technologies that reintroduce megasonic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 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6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80"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Space Alternated Phase Shift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Technology</w:t>
      </w:r>
    </w:p>
    <w:p>
      <w:pPr>
        <w:spacing w:after="0" w:line="117"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4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45nm. These trials show that SAPs technology has an even greater relative advantage over conventional jet spray technology when cleaning defects between 50 and 65nm in size and that SAPs technology continues to be effective for defects of sizes between 45 nm and 50nm, for which jet spray technology has proven to be ineffective.</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Applications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SAPS megasonic cleaning technology can be applied during the chip fabrication process to clean wafer surfaces and interconnects. It also can be used to clean, and lengthen the lifetime of, recycled test wafers.</w:t>
      </w:r>
    </w:p>
    <w:p>
      <w:pPr>
        <w:spacing w:after="0" w:line="158"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Wafer Surfaces. </w:t>
      </w:r>
      <w:r>
        <w:rPr>
          <w:rFonts w:ascii="Arial" w:cs="Arial" w:eastAsia="Arial" w:hAnsi="Arial"/>
          <w:sz w:val="17"/>
          <w:szCs w:val="17"/>
          <w:color w:val="auto"/>
        </w:rPr>
        <w:t>SAPS technology can enhance removal of random defects following planarization and deposition, which are among the most important, and</w:t>
      </w:r>
      <w:r>
        <w:rPr>
          <w:rFonts w:ascii="Arial" w:cs="Arial" w:eastAsia="Arial" w:hAnsi="Arial"/>
          <w:sz w:val="17"/>
          <w:szCs w:val="17"/>
          <w:i w:val="1"/>
          <w:iCs w:val="1"/>
          <w:color w:val="auto"/>
        </w:rPr>
        <w:t xml:space="preserve"> </w:t>
      </w:r>
      <w:r>
        <w:rPr>
          <w:rFonts w:ascii="Arial" w:cs="Arial" w:eastAsia="Arial" w:hAnsi="Arial"/>
          <w:sz w:val="17"/>
          <w:szCs w:val="17"/>
          <w:color w:val="auto"/>
        </w:rPr>
        <w:t>most repeated, steps in the fabrication process:</w:t>
      </w:r>
    </w:p>
    <w:p>
      <w:pPr>
        <w:spacing w:after="0" w:line="67" w:lineRule="exact"/>
        <w:rPr>
          <w:sz w:val="20"/>
          <w:szCs w:val="20"/>
          <w:color w:val="auto"/>
        </w:rPr>
      </w:pPr>
    </w:p>
    <w:p>
      <w:pPr>
        <w:ind w:left="900" w:hanging="439"/>
        <w:spacing w:after="0" w:line="287"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Post CMP</w:t>
      </w:r>
      <w:r>
        <w:rPr>
          <w:rFonts w:ascii="Arial" w:cs="Arial" w:eastAsia="Arial" w:hAnsi="Arial"/>
          <w:sz w:val="17"/>
          <w:szCs w:val="17"/>
          <w:color w:val="auto"/>
        </w:rPr>
        <w:t>: Chemical mechanical planarization, or CMP, uses an abrasive chemical slurry following other fabrication processes, such as deposition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in order to achieve a smooth wafer surface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8" w:right="2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20"/>
        <w:spacing w:after="0" w:line="287" w:lineRule="auto"/>
        <w:rPr>
          <w:sz w:val="20"/>
          <w:szCs w:val="20"/>
          <w:color w:val="auto"/>
        </w:rPr>
      </w:pPr>
      <w:r>
        <w:rPr>
          <w:rFonts w:ascii="Arial" w:cs="Arial" w:eastAsia="Arial" w:hAnsi="Arial"/>
          <w:sz w:val="17"/>
          <w:szCs w:val="17"/>
          <w:color w:val="auto"/>
        </w:rPr>
        <w:t>in preparation for subsequent processing steps. SAPS technology can be applied following each CMP process to remove residual random defects deposited or formed during CMP.</w:t>
      </w:r>
    </w:p>
    <w:p>
      <w:pPr>
        <w:spacing w:after="0" w:line="67" w:lineRule="exact"/>
        <w:rPr>
          <w:sz w:val="20"/>
          <w:szCs w:val="20"/>
          <w:color w:val="auto"/>
        </w:rPr>
      </w:pPr>
    </w:p>
    <w:p>
      <w:pPr>
        <w:ind w:left="900" w:right="440" w:hanging="439"/>
        <w:spacing w:after="0" w:line="266"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Post Hard Mask Deposition: </w:t>
      </w:r>
      <w:r>
        <w:rPr>
          <w:rFonts w:ascii="Arial" w:cs="Arial" w:eastAsia="Arial" w:hAnsi="Arial"/>
          <w:sz w:val="17"/>
          <w:szCs w:val="17"/>
          <w:color w:val="auto"/>
        </w:rPr>
        <w:t>As part of the photolithographical patterning process, a mask is applied with each deposition of a material layer to</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4"/>
          <w:szCs w:val="14"/>
          <w:color w:val="auto"/>
        </w:rPr>
        <w:t>,</w:t>
      </w:r>
      <w:r>
        <w:rPr>
          <w:rFonts w:ascii="Arial" w:cs="Arial" w:eastAsia="Arial" w:hAnsi="Arial"/>
          <w:sz w:val="17"/>
          <w:szCs w:val="17"/>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81"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Interconnects and Barrier Metals. </w:t>
      </w:r>
      <w:r>
        <w:rPr>
          <w:rFonts w:ascii="Arial" w:cs="Arial" w:eastAsia="Arial" w:hAnsi="Arial"/>
          <w:sz w:val="17"/>
          <w:szCs w:val="17"/>
          <w:color w:val="auto"/>
        </w:rPr>
        <w:t>Each successive advanced process node has led to finer feature sizes of interconnects such as contacts, which form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85" w:lineRule="exact"/>
        <w:rPr>
          <w:sz w:val="20"/>
          <w:szCs w:val="20"/>
          <w:color w:val="auto"/>
        </w:rPr>
      </w:pPr>
    </w:p>
    <w:p>
      <w:pPr>
        <w:ind w:left="900" w:hanging="439"/>
        <w:spacing w:after="0" w:line="287"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Post Contact/Via Etch: </w:t>
      </w:r>
      <w:r>
        <w:rPr>
          <w:rFonts w:ascii="Arial" w:cs="Arial" w:eastAsia="Arial" w:hAnsi="Arial"/>
          <w:sz w:val="17"/>
          <w:szCs w:val="17"/>
          <w:color w:val="auto"/>
        </w:rPr>
        <w:t>Wet etching processes are commonly used to create patterns of high-density contacts and vias. SAPS technology can be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each such etching process to remove random defects that could otherwise lead to electrical shorts.</w:t>
      </w:r>
    </w:p>
    <w:p>
      <w:pPr>
        <w:spacing w:after="0" w:line="66"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Pre Barrier Metal Deposition</w:t>
      </w:r>
      <w:r>
        <w:rPr>
          <w:rFonts w:ascii="Arial" w:cs="Arial" w:eastAsia="Arial" w:hAnsi="Arial"/>
          <w:sz w:val="17"/>
          <w:szCs w:val="17"/>
          <w:color w:val="auto"/>
        </w:rPr>
        <w:t>: Copper wiring requires metal diffusion barriers at the top of via holes to prevent electrical leakage. 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can be applied prior to deposition of barrier metal to remove residual oxidized copper, which otherwise would adhere poorly to the barrier and impair performance.</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80"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i w:val="1"/>
          <w:iCs w:val="1"/>
          <w:color w:val="auto"/>
        </w:rPr>
        <w:t xml:space="preserve">Recycled Test Wafers. </w:t>
      </w:r>
      <w:r>
        <w:rPr>
          <w:rFonts w:ascii="Arial" w:cs="Arial" w:eastAsia="Arial" w:hAnsi="Arial"/>
          <w:sz w:val="17"/>
          <w:szCs w:val="17"/>
          <w:color w:val="auto"/>
        </w:rPr>
        <w:t>In addition to using silicon wafers for chip production, chip manufacturers routinely process wafers through a limited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48"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filter units that balances intake and exhaust flows, precise temperature and concentration controls that ensure better handling of concentrated acid processes, and two-chemical recycle capability that reduces chemical consumption.</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Equipment</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currently offer two models of wet wafer cleaning equipment based on our SAPS technology, Ultra C SAPS II and Ultra C SAPS V. Each of these models is a single-wafer, serial-processing tool that can be</w:t>
      </w:r>
    </w:p>
    <w:p>
      <w:pPr>
        <w:spacing w:after="0" w:line="1" w:lineRule="exact"/>
        <w:rPr>
          <w:sz w:val="20"/>
          <w:szCs w:val="20"/>
          <w:color w:val="auto"/>
        </w:rPr>
      </w:pPr>
    </w:p>
    <w:p>
      <w:pPr>
        <w:ind w:left="3260"/>
        <w:spacing w:after="0" w:line="258" w:lineRule="auto"/>
        <w:rPr>
          <w:sz w:val="20"/>
          <w:szCs w:val="20"/>
          <w:color w:val="auto"/>
        </w:rPr>
      </w:pPr>
      <w:r>
        <w:rPr>
          <w:rFonts w:ascii="Arial" w:cs="Arial" w:eastAsia="Arial" w:hAnsi="Arial"/>
          <w:sz w:val="17"/>
          <w:szCs w:val="17"/>
          <w:color w:val="auto"/>
        </w:rPr>
        <w:t>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We expect the sales prices of our SAPS tools generally to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-1066800</wp:posOffset>
            </wp:positionV>
            <wp:extent cx="1216660" cy="12166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16660" cy="12166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SAPS II was released in 2011. Its key features include:</w:t>
      </w:r>
    </w:p>
    <w:p>
      <w:pPr>
        <w:spacing w:after="0" w:line="130" w:lineRule="exact"/>
        <w:rPr>
          <w:sz w:val="20"/>
          <w:szCs w:val="20"/>
          <w:color w:val="auto"/>
        </w:rPr>
      </w:pPr>
    </w:p>
    <w:p>
      <w:pPr>
        <w:ind w:left="3680" w:hanging="356"/>
        <w:spacing w:after="0"/>
        <w:tabs>
          <w:tab w:leader="none" w:pos="3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41" w:lineRule="exact"/>
        <w:rPr>
          <w:rFonts w:ascii="Arial" w:cs="Arial" w:eastAsia="Arial" w:hAnsi="Arial"/>
          <w:sz w:val="16"/>
          <w:szCs w:val="16"/>
          <w:color w:val="auto"/>
        </w:rPr>
      </w:pPr>
    </w:p>
    <w:p>
      <w:pPr>
        <w:ind w:left="3680" w:hanging="356"/>
        <w:spacing w:after="0"/>
        <w:tabs>
          <w:tab w:leader="none" w:pos="3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 to 8 chambers, providing throughput of up to 225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double-sided cleaning capability, with up to 5 cleaning chemicals for process flexibility;</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2-chemical recycling capability for reduced chemical consumption;</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image wafer detection method for lowering wafer breakage rates; and</w:t>
      </w:r>
    </w:p>
    <w:p>
      <w:pPr>
        <w:spacing w:after="0" w:line="143" w:lineRule="exact"/>
        <w:rPr>
          <w:rFonts w:ascii="Arial" w:cs="Arial" w:eastAsia="Arial" w:hAnsi="Arial"/>
          <w:sz w:val="17"/>
          <w:szCs w:val="17"/>
          <w:color w:val="auto"/>
        </w:rPr>
      </w:pPr>
    </w:p>
    <w:p>
      <w:pPr>
        <w:ind w:left="3680" w:right="180" w:hanging="356"/>
        <w:spacing w:after="0" w:line="287" w:lineRule="auto"/>
        <w:tabs>
          <w:tab w:leader="none" w:pos="3697" w:val="left"/>
        </w:tabs>
        <w:numPr>
          <w:ilvl w:val="0"/>
          <w:numId w:val="86"/>
        </w:numPr>
        <w:rPr>
          <w:rFonts w:ascii="Arial" w:cs="Arial" w:eastAsia="Arial" w:hAnsi="Arial"/>
          <w:sz w:val="17"/>
          <w:szCs w:val="17"/>
          <w:color w:val="auto"/>
        </w:rPr>
      </w:pPr>
      <w:r>
        <w:rPr>
          <w:rFonts w:ascii="Arial" w:cs="Arial" w:eastAsia="Arial" w:hAnsi="Arial"/>
          <w:sz w:val="17"/>
          <w:szCs w:val="17"/>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-1248410</wp:posOffset>
            </wp:positionV>
            <wp:extent cx="1233170" cy="1125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3170" cy="1125855"/>
                    </a:xfrm>
                    <a:prstGeom prst="rect">
                      <a:avLst/>
                    </a:prstGeom>
                    <a:noFill/>
                  </pic:spPr>
                </pic:pic>
              </a:graphicData>
            </a:graphic>
          </wp:anchor>
        </w:drawing>
      </w:r>
    </w:p>
    <w:p>
      <w:pPr>
        <w:spacing w:after="0" w:line="151"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SAPS V, which was released in 2014, offers increased productivity for chip manufacturers moving to advanced nodes. SAPS V provides all of the features and functionality of SAPS II, upgraded as follows:</w:t>
      </w:r>
    </w:p>
    <w:p>
      <w:pPr>
        <w:spacing w:after="0" w:line="67" w:lineRule="exact"/>
        <w:rPr>
          <w:sz w:val="20"/>
          <w:szCs w:val="20"/>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compact design, with footprint of 2.55m x 5.1m x 2.85m (WxDxH);</w:t>
      </w:r>
    </w:p>
    <w:p>
      <w:pPr>
        <w:spacing w:after="0" w:line="130"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12 chambers, providing throughput of up to 375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chemical supply system integrated into mainframe;</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inline mixing method replaces tank auto-changing, reducing process time; and</w:t>
      </w:r>
    </w:p>
    <w:p>
      <w:pPr>
        <w:spacing w:after="0" w:line="156"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-976630</wp:posOffset>
            </wp:positionV>
            <wp:extent cx="1216660" cy="1076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16660" cy="107632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8"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Timely Energized Bubble Oscillation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Technology</w:t>
      </w:r>
    </w:p>
    <w:p>
      <w:pPr>
        <w:spacing w:after="0" w:line="117"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72"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63"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architectures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Applications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85" w:lineRule="exact"/>
        <w:rPr>
          <w:sz w:val="20"/>
          <w:szCs w:val="20"/>
          <w:color w:val="auto"/>
        </w:rPr>
      </w:pPr>
    </w:p>
    <w:p>
      <w:pPr>
        <w:jc w:val="both"/>
        <w:ind w:left="900" w:right="80" w:hanging="439"/>
        <w:spacing w:after="0" w:line="271"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Memory Chips: </w:t>
      </w:r>
      <w:r>
        <w:rPr>
          <w:rFonts w:ascii="Arial" w:cs="Arial" w:eastAsia="Arial" w:hAnsi="Arial"/>
          <w:sz w:val="17"/>
          <w:szCs w:val="17"/>
          <w:color w:val="auto"/>
        </w:rPr>
        <w:t>TEBO technology can be applied in up to a total of 47 steps in the fabrication of a dynamic random-access memory, or DRAM, chip,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8 steps in cleaning ISO structures, 19 steps in cleaning buried gates, and 20 steps in cleaning high aspect-ratio storage nodes and stacked films.</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Logic Chips: </w:t>
      </w:r>
      <w:r>
        <w:rPr>
          <w:rFonts w:ascii="Arial" w:cs="Arial" w:eastAsia="Arial" w:hAnsi="Arial"/>
          <w:sz w:val="17"/>
          <w:szCs w:val="17"/>
          <w:color w:val="auto"/>
        </w:rPr>
        <w:t>In the fabrication process for a logic chip with a FinFET structure, TEBO technology can be used in 15 or more cleaning steps.</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For purposes of solving inside pattern surface conditions for memory or logic chips, TEBO technology uses environmentally friendly dilute chemicals such as RCA SC-1 and hydrogen gas doped functional water.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8"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Equipment</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We expect the sales prices of our TEBO tools generally to range between $3.5 million and $6.5 million, although the sales price of a particular tool will vary depending upon the required specifications.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model of TEBO equipment includes:</w:t>
      </w:r>
    </w:p>
    <w:p>
      <w:pPr>
        <w:spacing w:after="0" w:line="156" w:lineRule="exact"/>
        <w:rPr>
          <w:sz w:val="20"/>
          <w:szCs w:val="20"/>
          <w:color w:val="auto"/>
        </w:rPr>
      </w:pPr>
    </w:p>
    <w:p>
      <w:pPr>
        <w:ind w:left="4600" w:hanging="363"/>
        <w:spacing w:after="0"/>
        <w:tabs>
          <w:tab w:leader="none" w:pos="46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equipment front-end module, or EFEM, which moves wafers from chamber to chamber;</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one or more chamber modules, each equipped with a TEBO megasonic generator system;</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electrical module to provide power for the tool; and</w:t>
      </w:r>
    </w:p>
    <w:p>
      <w:pPr>
        <w:spacing w:after="0" w:line="130" w:lineRule="exact"/>
        <w:rPr>
          <w:rFonts w:ascii="Arial" w:cs="Arial" w:eastAsia="Arial" w:hAnsi="Arial"/>
          <w:sz w:val="17"/>
          <w:szCs w:val="17"/>
          <w:color w:val="auto"/>
        </w:rPr>
      </w:pPr>
    </w:p>
    <w:p>
      <w:pPr>
        <w:ind w:left="4600" w:hanging="363"/>
        <w:spacing w:after="0"/>
        <w:tabs>
          <w:tab w:leader="none" w:pos="4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-736600</wp:posOffset>
            </wp:positionV>
            <wp:extent cx="1125855" cy="11258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25855"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115570</wp:posOffset>
            </wp:positionV>
            <wp:extent cx="1291590" cy="11423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1590" cy="1142365"/>
                    </a:xfrm>
                    <a:prstGeom prst="rect">
                      <a:avLst/>
                    </a:prstGeom>
                    <a:noFill/>
                  </pic:spPr>
                </pic:pic>
              </a:graphicData>
            </a:graphic>
          </wp:anchor>
        </w:drawing>
      </w:r>
    </w:p>
    <w:p>
      <w:pPr>
        <w:spacing w:after="0" w:line="163" w:lineRule="exact"/>
        <w:rPr>
          <w:sz w:val="20"/>
          <w:szCs w:val="20"/>
          <w:color w:val="auto"/>
        </w:rPr>
      </w:pPr>
    </w:p>
    <w:p>
      <w:pPr>
        <w:ind w:left="4600" w:hanging="363"/>
        <w:spacing w:after="0"/>
        <w:tabs>
          <w:tab w:leader="none" w:pos="4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compact design, with footprint of 2.25m x 2.25m x 2.85m (WxDxH);</w:t>
      </w:r>
    </w:p>
    <w:p>
      <w:pPr>
        <w:spacing w:after="0" w:line="182" w:lineRule="exact"/>
        <w:rPr>
          <w:rFonts w:ascii="Arial" w:cs="Arial" w:eastAsia="Arial" w:hAnsi="Arial"/>
          <w:sz w:val="17"/>
          <w:szCs w:val="17"/>
          <w:color w:val="auto"/>
        </w:rPr>
      </w:pPr>
    </w:p>
    <w:p>
      <w:pPr>
        <w:ind w:left="4580" w:right="100" w:hanging="343"/>
        <w:spacing w:after="0" w:line="287" w:lineRule="auto"/>
        <w:tabs>
          <w:tab w:leader="none" w:pos="4597" w:val="left"/>
        </w:tabs>
        <w:numPr>
          <w:ilvl w:val="0"/>
          <w:numId w:val="90"/>
        </w:numPr>
        <w:rPr>
          <w:rFonts w:ascii="Arial" w:cs="Arial" w:eastAsia="Arial" w:hAnsi="Arial"/>
          <w:sz w:val="17"/>
          <w:szCs w:val="17"/>
          <w:color w:val="auto"/>
        </w:rPr>
      </w:pPr>
      <w:r>
        <w:rPr>
          <w:rFonts w:ascii="Arial" w:cs="Arial" w:eastAsia="Arial" w:hAnsi="Arial"/>
          <w:sz w:val="17"/>
          <w:szCs w:val="17"/>
          <w:color w:val="auto"/>
        </w:rPr>
        <w:t>up to 8 chambers with an upgraded transport system and optimized robotic scheduler, providing throughput of up to 300 wafers per hour;</w:t>
      </w:r>
    </w:p>
    <w:p>
      <w:pPr>
        <w:spacing w:after="0" w:line="119" w:lineRule="exact"/>
        <w:rPr>
          <w:rFonts w:ascii="Arial" w:cs="Arial" w:eastAsia="Arial" w:hAnsi="Arial"/>
          <w:sz w:val="17"/>
          <w:szCs w:val="17"/>
          <w:color w:val="auto"/>
        </w:rPr>
      </w:pPr>
    </w:p>
    <w:p>
      <w:pPr>
        <w:ind w:left="4600" w:hanging="363"/>
        <w:spacing w:after="0"/>
        <w:tabs>
          <w:tab w:leader="none" w:pos="4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EFEM module consisting of 4 load ports, transfer robot and 1 process robot; and</w:t>
      </w:r>
    </w:p>
    <w:p>
      <w:pPr>
        <w:spacing w:after="0" w:line="195" w:lineRule="exact"/>
        <w:rPr>
          <w:rFonts w:ascii="Arial" w:cs="Arial" w:eastAsia="Arial" w:hAnsi="Arial"/>
          <w:sz w:val="17"/>
          <w:szCs w:val="17"/>
          <w:color w:val="auto"/>
        </w:rPr>
      </w:pPr>
    </w:p>
    <w:p>
      <w:pPr>
        <w:ind w:left="4580" w:right="740" w:hanging="343"/>
        <w:spacing w:after="0" w:line="287" w:lineRule="auto"/>
        <w:tabs>
          <w:tab w:leader="none" w:pos="4597"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focus on dilute chemicals contributes to environmental sustainability and lower cost of ownership.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107315</wp:posOffset>
            </wp:positionV>
            <wp:extent cx="1622425" cy="1349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2425" cy="1349375"/>
                    </a:xfrm>
                    <a:prstGeom prst="rect">
                      <a:avLst/>
                    </a:prstGeom>
                    <a:noFill/>
                  </pic:spPr>
                </pic:pic>
              </a:graphicData>
            </a:graphic>
          </wp:anchor>
        </w:drawing>
      </w:r>
    </w:p>
    <w:p>
      <w:pPr>
        <w:spacing w:after="0" w:line="228" w:lineRule="exact"/>
        <w:rPr>
          <w:sz w:val="20"/>
          <w:szCs w:val="20"/>
          <w:color w:val="auto"/>
        </w:rPr>
      </w:pPr>
    </w:p>
    <w:p>
      <w:pPr>
        <w:ind w:left="4600" w:hanging="363"/>
        <w:spacing w:after="0"/>
        <w:tabs>
          <w:tab w:leader="none" w:pos="4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footprint of 2.45m x 5.30m x 2.85m (WxDxH);</w:t>
      </w:r>
    </w:p>
    <w:p>
      <w:pPr>
        <w:spacing w:after="0" w:line="299" w:lineRule="exact"/>
        <w:rPr>
          <w:rFonts w:ascii="Arial" w:cs="Arial" w:eastAsia="Arial" w:hAnsi="Arial"/>
          <w:sz w:val="17"/>
          <w:szCs w:val="17"/>
          <w:color w:val="auto"/>
        </w:rPr>
      </w:pPr>
    </w:p>
    <w:p>
      <w:pPr>
        <w:ind w:left="4600" w:hanging="363"/>
        <w:spacing w:after="0"/>
        <w:tabs>
          <w:tab w:leader="none" w:pos="4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 to 12 chamber modules, providing throughput of up to 300 wafers per hour;</w:t>
      </w:r>
    </w:p>
    <w:p>
      <w:pPr>
        <w:spacing w:after="0" w:line="312" w:lineRule="exact"/>
        <w:rPr>
          <w:rFonts w:ascii="Arial" w:cs="Arial" w:eastAsia="Arial" w:hAnsi="Arial"/>
          <w:sz w:val="17"/>
          <w:szCs w:val="17"/>
          <w:color w:val="auto"/>
        </w:rPr>
      </w:pPr>
    </w:p>
    <w:p>
      <w:pPr>
        <w:ind w:left="4600" w:hanging="363"/>
        <w:spacing w:after="0"/>
        <w:tabs>
          <w:tab w:leader="none" w:pos="4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EFEM module consisting of 4 load ports, 1 transfer robot and 1 process robot; and</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4580" w:right="80" w:hanging="343"/>
        <w:spacing w:after="0" w:line="287" w:lineRule="auto"/>
        <w:tabs>
          <w:tab w:leader="none" w:pos="45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chemical delivery module for delivery of isopropyl alcohol, dilute hydrofluoric acid, RCA SC-1 solution, functional de-ionized water and carbon dioxide to each of the chambers.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Custom-Made Wafer Assembly and Packaging Equipment</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We leverage our technology and expertise to provide a range of single-wafer tools for back-end wafer assembly and packaging factories, principally in the PRC. We focus on providing custom-made, differentiated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60"/>
          </w:cols>
          <w:pgMar w:left="240" w:top="448" w:right="29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equipment that incorporates customer-requested features, at a competitive price. The sales prices for these tools generally range between $500,000 and $1.0 million, and these offerings generated $5.7 million, or 20.9%, of our revenue in 2016 and $4.2 million, or 13.5%, of our revenue in 2015.</w:t>
      </w:r>
    </w:p>
    <w:p>
      <w:pPr>
        <w:spacing w:after="0" w:line="184" w:lineRule="exact"/>
        <w:rPr>
          <w:sz w:val="20"/>
          <w:szCs w:val="20"/>
          <w:color w:val="auto"/>
        </w:rPr>
      </w:pPr>
    </w:p>
    <w:p>
      <w:pPr>
        <w:ind w:right="3000" w:firstLine="348"/>
        <w:spacing w:after="0" w:line="261" w:lineRule="auto"/>
        <w:rPr>
          <w:sz w:val="20"/>
          <w:szCs w:val="20"/>
          <w:color w:val="auto"/>
        </w:rPr>
      </w:pPr>
      <w:r>
        <w:rPr>
          <w:rFonts w:ascii="Arial" w:cs="Arial" w:eastAsia="Arial" w:hAnsi="Arial"/>
          <w:sz w:val="17"/>
          <w:szCs w:val="17"/>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-936625</wp:posOffset>
            </wp:positionV>
            <wp:extent cx="1233170" cy="1134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3170" cy="113411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As of June 30, 2017, customers had purchased and deployed more than 30 Ultra C SAPS and TEBO cleaning tools. All of our sales in 2015, 2016 and the first half of 2017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76"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generate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accounted for 33.7% of our revenue; Semiconductor Manufacturing International Corporation, a leading PRC foundry that accounted for 25.0% of our revenue; SK Hynix Inc.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6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8"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80" w:lineRule="exact"/>
        <w:rPr>
          <w:sz w:val="20"/>
          <w:szCs w:val="20"/>
          <w:color w:val="auto"/>
        </w:rPr>
      </w:pPr>
    </w:p>
    <w:p>
      <w:pPr>
        <w:ind w:right="560" w:firstLine="457"/>
        <w:spacing w:after="0" w:line="271" w:lineRule="auto"/>
        <w:rPr>
          <w:sz w:val="20"/>
          <w:szCs w:val="20"/>
          <w:color w:val="auto"/>
        </w:rPr>
      </w:pPr>
      <w:r>
        <w:rPr>
          <w:rFonts w:ascii="Arial" w:cs="Arial" w:eastAsia="Arial" w:hAnsi="Arial"/>
          <w:sz w:val="17"/>
          <w:szCs w:val="17"/>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72"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three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6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63"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In each of 2015, 2016 and the first half of 2017, we sourced approximately one-third of the parts and components (by value) for our products from Chinese suppliers and the remaining parts and components were sourced from suppliers in the United States and, to a lesser extent, Japan and Korea. We employ sub-contractors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7"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to make certain sub-systems and software algorithms. Depending upon the nature of a customer’s specifications, the lead time for production of a tool generally will extend from two to four months, but can be as long as six months. We plan our production capacity to be about twice the average orders to ensure we can respond to demand fluctuations. Currently we estimate that our production capacity is close to plan, namely sufficient to produce two tools for each tool shipped to a customer.</w:t>
      </w:r>
    </w:p>
    <w:p>
      <w:pPr>
        <w:spacing w:after="0" w:line="17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September 30, 2017, approximately one half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53"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44" w:lineRule="exact"/>
        <w:rPr>
          <w:sz w:val="20"/>
          <w:szCs w:val="20"/>
          <w:color w:val="auto"/>
        </w:rPr>
      </w:pPr>
    </w:p>
    <w:p>
      <w:pPr>
        <w:ind w:left="900" w:hanging="439"/>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41" w:lineRule="exact"/>
        <w:rPr>
          <w:rFonts w:ascii="Arial" w:cs="Arial" w:eastAsia="Arial" w:hAnsi="Arial"/>
          <w:sz w:val="16"/>
          <w:szCs w:val="16"/>
          <w:color w:val="auto"/>
        </w:rPr>
      </w:pPr>
    </w:p>
    <w:p>
      <w:pPr>
        <w:ind w:left="900" w:right="580" w:hanging="439"/>
        <w:spacing w:after="0" w:line="287"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new cleaning steps for Ultra C TEBO cleaners for FinFET in logic chips, gates in DRAM, and deep vias in both 3D NAND and 3D cross point memory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new hardware, including new system platforms, new chamber structures and new chemical blending systems;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new software to integrate new functionalities to improve tool performance.</w:t>
      </w:r>
    </w:p>
    <w:p>
      <w:pPr>
        <w:spacing w:after="0" w:line="22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research and development expense was $1.9 million, or 13.0% of revenue, in the first half of 2017, $3.3 million, or 11.9% of revenue, in 2016 and</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 million, or 9.0% of revenue, in 2015. Without reduction by grant amounts received from PRC governmental authorities (see “—Key Components of Results of Operations—PRC Government Research and Development Funding”), our gross research and development expense totaled $5.0 million, or 34.8% of revenue, in the first half of 2017, $7.5 million, or 27.4% of revenue, in 2016 and $6.6 million, or 21.0% of revenue, in 2015. We intend to continue to invest in research and development to support and enhance our existing cleaning products and to develop future product offerings to build and maintain our technology leadership position.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8"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6"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As of September 30, 2017, we had 20 issued patents and numerous pending applications in the United States. These patents carry expiration dates from 2018 through 2027. Many of the US patents and applications have also been filed internationally, in one or more of the European Union, PRC, Japan, Korea, Singapore and Taiwan.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233"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have 22 patents granted internationally protecting our SAPS technologies. We also have filed four international patent applications for key TEBO technologies in accordance with the Patent Cooperation Treaty, in anticipation of filing in the U.S. national phase.</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76" w:lineRule="exact"/>
        <w:rPr>
          <w:sz w:val="20"/>
          <w:szCs w:val="20"/>
          <w:color w:val="auto"/>
        </w:rPr>
      </w:pPr>
    </w:p>
    <w:p>
      <w:pPr>
        <w:jc w:val="both"/>
        <w:ind w:right="260" w:firstLine="457"/>
        <w:spacing w:after="0" w:line="29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5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8"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6"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about the risks relating to our intellectual property is provided under “Risk Factors—Risks Relating to Our Intellectual Property.”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Compared to our company, our current and potential competitors may have:</w:t>
      </w:r>
    </w:p>
    <w:p>
      <w:pPr>
        <w:spacing w:after="0" w:line="130" w:lineRule="exact"/>
        <w:rPr>
          <w:sz w:val="20"/>
          <w:szCs w:val="20"/>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better established credibility and market reputations, longer operating histories, and broader product offerings;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significantly greater financial, technical, marketing and other resources, which may allow them to pursue design, development, manufacturing, sales, marketing, distribution and service support of their products;</w:t>
      </w:r>
    </w:p>
    <w:p>
      <w:pPr>
        <w:spacing w:after="0" w:line="66"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more extensive customer and partner relationships, which may position them to identify and respond more successfully to market developments and changes in customer demands; and</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multiple product offerings, which may enable them to offer bundled discounts for customers purchasing multiple products or other incentives that we cannot match or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30" w:lineRule="exact"/>
        <w:rPr>
          <w:sz w:val="20"/>
          <w:szCs w:val="20"/>
          <w:color w:val="auto"/>
        </w:rPr>
      </w:pPr>
    </w:p>
    <w:p>
      <w:pPr>
        <w:ind w:left="900" w:right="500" w:hanging="439"/>
        <w:spacing w:after="0" w:line="287"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service support capability and spare parts delivery 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00"/>
          </w:cols>
          <w:pgMar w:left="240" w:top="448" w:right="2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innovation and development of functionality and features that are must-haves for advanced fabrication nodes;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ability to anticipate customer requirements, especially for advanced process nodes of less than 45nm;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ability to identify new process applications;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brand recognition and reputation;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33" w:lineRule="exact"/>
        <w:rPr>
          <w:sz w:val="20"/>
          <w:szCs w:val="20"/>
          <w:color w:val="auto"/>
        </w:rPr>
      </w:pPr>
    </w:p>
    <w:p>
      <w:pPr>
        <w:ind w:right="140" w:firstLine="457"/>
        <w:spacing w:after="0" w:line="301" w:lineRule="auto"/>
        <w:rPr>
          <w:sz w:val="20"/>
          <w:szCs w:val="20"/>
          <w:color w:val="auto"/>
        </w:rPr>
      </w:pPr>
      <w:r>
        <w:rPr>
          <w:rFonts w:ascii="Arial" w:cs="Arial" w:eastAsia="Arial" w:hAnsi="Arial"/>
          <w:sz w:val="15"/>
          <w:szCs w:val="15"/>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As of September 30, 2017, we had 187 full-time employees, of whom 23 were in administration, 46 were in manufacturing, 80 were in research and development, and 38 were in sales and marketing and customer services. Of these employees, 179 were located in the PRC, 4 were located in Korea and 4 were based in the United States.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never had a work stoppage, and none of our employees are represented by a labor organization or subject to any collective bargaining arrangements.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consider our employee relations to be good.</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occupied our current corporate headquarters in Fremont, California, since February 2008, under a lease that, as amended in March 2017, extends through March 2018. We conduct our research and development and manufacturing and service support operations in a facility of approximately 60,000 square feet, of which 36,000 square feet is dedicated to manufacturing, located in the Zhangjiang Hi-Tech Park in Shanghai, PRC; we have leased this facility since 2007, and our lease, as amended in September 2016, expires in December 2017. In addition, we provide sales support and customer service operations from leased office space in Jiangying, PRC, Wuxi, PRC, and Icheon, Korea.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8"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20"/>
          </w:cols>
          <w:pgMar w:left="240" w:top="448" w:right="3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Directors, Director-Elect and Key Advisors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directors, director-elect and key advisors, and their ages and positions as of September 30, 2017, are set forth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Age</w:t>
            </w:r>
          </w:p>
        </w:tc>
        <w:tc>
          <w:tcPr>
            <w:tcW w:w="706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Executive officers: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David H. Wang</w:t>
            </w:r>
          </w:p>
        </w:tc>
        <w:tc>
          <w:tcPr>
            <w:tcW w:w="460" w:type="dxa"/>
            <w:vAlign w:val="bottom"/>
          </w:tcPr>
          <w:p>
            <w:pPr>
              <w:jc w:val="right"/>
              <w:spacing w:after="0"/>
              <w:rPr>
                <w:sz w:val="20"/>
                <w:szCs w:val="20"/>
                <w:color w:val="auto"/>
              </w:rPr>
            </w:pPr>
            <w:r>
              <w:rPr>
                <w:rFonts w:ascii="Arial" w:cs="Arial" w:eastAsia="Arial" w:hAnsi="Arial"/>
                <w:sz w:val="17"/>
                <w:szCs w:val="17"/>
                <w:color w:val="auto"/>
              </w:rPr>
              <w:t>55</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Chair of the Board, Chief Executive Officer and President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 Xu</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460" w:type="dxa"/>
            <w:vAlign w:val="bottom"/>
          </w:tcPr>
          <w:p>
            <w:pPr>
              <w:jc w:val="right"/>
              <w:spacing w:after="0"/>
              <w:rPr>
                <w:sz w:val="20"/>
                <w:szCs w:val="20"/>
                <w:color w:val="auto"/>
              </w:rPr>
            </w:pPr>
            <w:r>
              <w:rPr>
                <w:rFonts w:ascii="Arial" w:cs="Arial" w:eastAsia="Arial" w:hAnsi="Arial"/>
                <w:sz w:val="17"/>
                <w:szCs w:val="17"/>
                <w:color w:val="auto"/>
              </w:rPr>
              <w:t>56</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Vice President, Sale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Jian Wang</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Vice President, Research and Development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Sotheara Cheav</w:t>
            </w:r>
          </w:p>
        </w:tc>
        <w:tc>
          <w:tcPr>
            <w:tcW w:w="460" w:type="dxa"/>
            <w:vAlign w:val="bottom"/>
          </w:tcPr>
          <w:p>
            <w:pPr>
              <w:jc w:val="right"/>
              <w:spacing w:after="0"/>
              <w:rPr>
                <w:sz w:val="20"/>
                <w:szCs w:val="20"/>
                <w:color w:val="auto"/>
              </w:rPr>
            </w:pPr>
            <w:r>
              <w:rPr>
                <w:rFonts w:ascii="Arial" w:cs="Arial" w:eastAsia="Arial" w:hAnsi="Arial"/>
                <w:sz w:val="17"/>
                <w:szCs w:val="17"/>
                <w:color w:val="auto"/>
              </w:rPr>
              <w:t>65</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Vice President, Manufacturing</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Non-employee directors: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Haiping Dun(2)(3)</w:t>
            </w:r>
          </w:p>
        </w:tc>
        <w:tc>
          <w:tcPr>
            <w:tcW w:w="460" w:type="dxa"/>
            <w:vAlign w:val="bottom"/>
          </w:tcPr>
          <w:p>
            <w:pPr>
              <w:jc w:val="right"/>
              <w:spacing w:after="0"/>
              <w:rPr>
                <w:sz w:val="20"/>
                <w:szCs w:val="20"/>
                <w:color w:val="auto"/>
              </w:rPr>
            </w:pPr>
            <w:r>
              <w:rPr>
                <w:rFonts w:ascii="Arial" w:cs="Arial" w:eastAsia="Arial" w:hAnsi="Arial"/>
                <w:sz w:val="17"/>
                <w:szCs w:val="17"/>
                <w:color w:val="auto"/>
              </w:rPr>
              <w:t>67</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Lead Director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Chenming Hu(1)(3)</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Tracy Liu (1)(2)</w:t>
            </w:r>
          </w:p>
        </w:tc>
        <w:tc>
          <w:tcPr>
            <w:tcW w:w="460" w:type="dxa"/>
            <w:vAlign w:val="bottom"/>
          </w:tcPr>
          <w:p>
            <w:pPr>
              <w:jc w:val="right"/>
              <w:spacing w:after="0"/>
              <w:rPr>
                <w:sz w:val="20"/>
                <w:szCs w:val="20"/>
                <w:color w:val="auto"/>
              </w:rPr>
            </w:pPr>
            <w:r>
              <w:rPr>
                <w:rFonts w:ascii="Arial" w:cs="Arial" w:eastAsia="Arial" w:hAnsi="Arial"/>
                <w:sz w:val="17"/>
                <w:szCs w:val="17"/>
                <w:color w:val="auto"/>
              </w:rPr>
              <w:t>52</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Director-elect: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Yinan Xiang(4)</w:t>
            </w:r>
          </w:p>
        </w:tc>
        <w:tc>
          <w:tcPr>
            <w:tcW w:w="460" w:type="dxa"/>
            <w:vAlign w:val="bottom"/>
          </w:tcPr>
          <w:p>
            <w:pPr>
              <w:jc w:val="right"/>
              <w:spacing w:after="0"/>
              <w:rPr>
                <w:sz w:val="20"/>
                <w:szCs w:val="20"/>
                <w:color w:val="auto"/>
              </w:rPr>
            </w:pPr>
            <w:r>
              <w:rPr>
                <w:rFonts w:ascii="Arial" w:cs="Arial" w:eastAsia="Arial" w:hAnsi="Arial"/>
                <w:sz w:val="17"/>
                <w:szCs w:val="17"/>
                <w:color w:val="auto"/>
              </w:rPr>
              <w:t>42</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Director-Elect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Key advisors: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Stephen Chiao</w:t>
            </w:r>
          </w:p>
        </w:tc>
        <w:tc>
          <w:tcPr>
            <w:tcW w:w="460" w:type="dxa"/>
            <w:vAlign w:val="bottom"/>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Chenming Hu(1)(3)</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Srini Raghavan</w:t>
            </w:r>
          </w:p>
        </w:tc>
        <w:tc>
          <w:tcPr>
            <w:tcW w:w="460" w:type="dxa"/>
            <w:vAlign w:val="bottom"/>
          </w:tcPr>
          <w:p>
            <w:pPr>
              <w:jc w:val="right"/>
              <w:spacing w:after="0"/>
              <w:rPr>
                <w:sz w:val="20"/>
                <w:szCs w:val="20"/>
                <w:color w:val="auto"/>
              </w:rPr>
            </w:pPr>
            <w:r>
              <w:rPr>
                <w:rFonts w:ascii="Arial" w:cs="Arial" w:eastAsia="Arial" w:hAnsi="Arial"/>
                <w:sz w:val="17"/>
                <w:szCs w:val="17"/>
                <w:color w:val="auto"/>
              </w:rPr>
              <w:t>69</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Lip-Bu Tan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Chiang Yang</w:t>
            </w:r>
          </w:p>
        </w:tc>
        <w:tc>
          <w:tcPr>
            <w:tcW w:w="460" w:type="dxa"/>
            <w:vAlign w:val="bottom"/>
          </w:tcPr>
          <w:p>
            <w:pPr>
              <w:jc w:val="right"/>
              <w:spacing w:after="0"/>
              <w:rPr>
                <w:sz w:val="20"/>
                <w:szCs w:val="20"/>
                <w:color w:val="auto"/>
              </w:rPr>
            </w:pPr>
            <w:r>
              <w:rPr>
                <w:rFonts w:ascii="Arial" w:cs="Arial" w:eastAsia="Arial" w:hAnsi="Arial"/>
                <w:sz w:val="17"/>
                <w:szCs w:val="17"/>
                <w:color w:val="auto"/>
              </w:rPr>
              <w:t>57</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bl>
    <w:p>
      <w:pPr>
        <w:ind w:left="460" w:hanging="456"/>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Member of Nominating and Governance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Yinan Xiang has been appointed as a member of our board of directors effective upon the earlier of the completion of this offering and November 15, 2017.</w:t>
      </w:r>
    </w:p>
    <w:p>
      <w:pPr>
        <w:spacing w:after="0" w:line="32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Executive Officers</w:t>
      </w:r>
    </w:p>
    <w:p>
      <w:pPr>
        <w:spacing w:after="0" w:line="117"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Each executive officer serves at the discretion of the board of directors and holds office until his successor is duly elected and qualified or until his earlier resignation or removal. Jian Wang, the Vice President, Research and Development of ACM Shanghai is the brother of David H. Wang, our Chair of the Board, Chief Executive Officer and President.</w:t>
      </w:r>
    </w:p>
    <w:p>
      <w:pPr>
        <w:spacing w:after="0" w:line="172"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i w:val="1"/>
          <w:iCs w:val="1"/>
          <w:color w:val="auto"/>
        </w:rPr>
        <w:t xml:space="preserve">David H. Wang </w:t>
      </w:r>
      <w:r>
        <w:rPr>
          <w:rFonts w:ascii="Arial" w:cs="Arial" w:eastAsia="Arial" w:hAnsi="Arial"/>
          <w:sz w:val="16"/>
          <w:szCs w:val="16"/>
          <w:color w:val="auto"/>
        </w:rPr>
        <w:t>is our founder and has served as Chief Executive Officer, President and one of our directors since 1998. Dr. Wang has served as the Chair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since October 2017. Dr. Wang received a Ph.D. and a Master of Engineering from Osaka University in precision engineering and a Bachelor of Science in precision instruments from Tsinghua University. We believe 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63" w:lineRule="exact"/>
        <w:rPr>
          <w:sz w:val="20"/>
          <w:szCs w:val="20"/>
          <w:color w:val="auto"/>
        </w:rPr>
      </w:pPr>
    </w:p>
    <w:p>
      <w:pPr>
        <w:ind w:right="280" w:firstLine="457"/>
        <w:spacing w:after="0" w:line="266" w:lineRule="auto"/>
        <w:rPr>
          <w:sz w:val="20"/>
          <w:szCs w:val="20"/>
          <w:color w:val="auto"/>
        </w:rPr>
      </w:pPr>
      <w:r>
        <w:rPr>
          <w:rFonts w:ascii="Arial" w:cs="Arial" w:eastAsia="Arial" w:hAnsi="Arial"/>
          <w:sz w:val="17"/>
          <w:szCs w:val="17"/>
          <w:i w:val="1"/>
          <w:iCs w:val="1"/>
          <w:color w:val="auto"/>
        </w:rPr>
        <w:t xml:space="preserve">Min Xu </w:t>
      </w:r>
      <w:r>
        <w:rPr>
          <w:rFonts w:ascii="Arial" w:cs="Arial" w:eastAsia="Arial" w:hAnsi="Arial"/>
          <w:sz w:val="17"/>
          <w:szCs w:val="17"/>
          <w:color w:val="auto"/>
        </w:rPr>
        <w:t>has served as our Chief Financial Officer and Treasurer since November 2016. From August 2014 to November 2016 Mr. Xu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8"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from 2010 to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72"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i w:val="1"/>
          <w:iCs w:val="1"/>
          <w:color w:val="auto"/>
        </w:rPr>
        <w:t xml:space="preserve">Fufa Chen </w:t>
      </w:r>
      <w:r>
        <w:rPr>
          <w:rFonts w:ascii="Arial" w:cs="Arial" w:eastAsia="Arial" w:hAnsi="Arial"/>
          <w:sz w:val="17"/>
          <w:szCs w:val="17"/>
          <w:color w:val="auto"/>
        </w:rPr>
        <w:t>has served as the Vice President, Sales of ACM Shanghai since 2007. Dr. Chen received a Ph.D. in electrical engineering from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of New York, Stony Brook.</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 xml:space="preserve">Jian Wang </w:t>
      </w:r>
      <w:r>
        <w:rPr>
          <w:rFonts w:ascii="Arial" w:cs="Arial" w:eastAsia="Arial" w:hAnsi="Arial"/>
          <w:sz w:val="16"/>
          <w:szCs w:val="16"/>
          <w:color w:val="auto"/>
        </w:rPr>
        <w:t>has served as the Vice President, Research and Development of ACM Shanghai since January 2015. From January 2011 to January 2015,</w:t>
      </w:r>
    </w:p>
    <w:p>
      <w:pPr>
        <w:spacing w:after="0" w:line="3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Mr. Wang was the Director of Research and Development of ACM Shanghai, focusing on the research and development of SFP 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77"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i w:val="1"/>
          <w:iCs w:val="1"/>
          <w:color w:val="auto"/>
        </w:rPr>
        <w:t xml:space="preserve">Sotheara Cheav </w:t>
      </w:r>
      <w:r>
        <w:rPr>
          <w:rFonts w:ascii="Arial" w:cs="Arial" w:eastAsia="Arial" w:hAnsi="Arial"/>
          <w:sz w:val="17"/>
          <w:szCs w:val="17"/>
          <w:color w:val="auto"/>
        </w:rPr>
        <w:t>has served as the Vice President, Manufacturing of ACM Shanghai since January 2015. From 2011 to December 2014, Mr. Cheav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 of Manufacturing of ACM Shanghai. Mr. Cheav received a Bachelor of Science in science and technology from the University of Cambodia and an Associate of Science in electronics from Bay Valley Technical Institute.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i w:val="1"/>
          <w:iCs w:val="1"/>
          <w:color w:val="auto"/>
        </w:rPr>
        <w:t xml:space="preserve">Haiping Dun </w:t>
      </w:r>
      <w:r>
        <w:rPr>
          <w:rFonts w:ascii="Arial" w:cs="Arial" w:eastAsia="Arial" w:hAnsi="Arial"/>
          <w:sz w:val="17"/>
          <w:szCs w:val="17"/>
          <w:color w:val="auto"/>
        </w:rPr>
        <w:t>has served as one of our directors since 2003 and Lead Director since October 2017. Dr. Dun retired as a Senior Director from Intel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in 2004, where he had been employed since 1983. In April 2016, Dr. Dun was appointed as the President of Champion Microelectronic Corp, a public company in Taiwan. Dr. Dun has served as a member of the executive board of directors of Champion Microelectronic Corp. since 2004. Dr. Dun received his Ph.D. in material science and engineering from Stanford University, a Master of Science in physics from the University of Washington and a Bachelor of Science in physics from National Taiwan University. We believe Dr. Dun is qualified to serve as a director due to his extensive experience with technology companies, his deep knowledge of our company, and his academic background in physics and material science.</w:t>
      </w:r>
    </w:p>
    <w:p>
      <w:pPr>
        <w:spacing w:after="0" w:line="180"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one of our directors since January 2017. Dr. Hu has also served as a member of the board of advisors since May 2016.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1976, Dr. Hu has 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8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Tracy Liu </w:t>
      </w:r>
      <w:r>
        <w:rPr>
          <w:rFonts w:ascii="Arial" w:cs="Arial" w:eastAsia="Arial" w:hAnsi="Arial"/>
          <w:sz w:val="17"/>
          <w:szCs w:val="17"/>
          <w:color w:val="auto"/>
        </w:rPr>
        <w:t>has served as one of our directors since September 2016. Ms. Liu has been the founder and owner of H&amp;M Financial Consulting since 2006, where</w:t>
      </w:r>
      <w:r>
        <w:rPr>
          <w:rFonts w:ascii="Arial" w:cs="Arial" w:eastAsia="Arial" w:hAnsi="Arial"/>
          <w:sz w:val="17"/>
          <w:szCs w:val="17"/>
          <w:i w:val="1"/>
          <w:iCs w:val="1"/>
          <w:color w:val="auto"/>
        </w:rPr>
        <w:t xml:space="preserve"> </w:t>
      </w:r>
      <w:r>
        <w:rPr>
          <w:rFonts w:ascii="Arial" w:cs="Arial" w:eastAsia="Arial" w:hAnsi="Arial"/>
          <w:sz w:val="17"/>
          <w:szCs w:val="17"/>
          <w:color w:val="auto"/>
        </w:rPr>
        <w:t>she provides 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8"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Director-Elect</w:t>
      </w:r>
    </w:p>
    <w:p>
      <w:pPr>
        <w:spacing w:after="0" w:line="117" w:lineRule="exact"/>
        <w:rPr>
          <w:sz w:val="20"/>
          <w:szCs w:val="20"/>
          <w:color w:val="auto"/>
        </w:rPr>
      </w:pPr>
    </w:p>
    <w:p>
      <w:pPr>
        <w:ind w:right="200" w:firstLine="457"/>
        <w:spacing w:after="0" w:line="284" w:lineRule="auto"/>
        <w:rPr>
          <w:sz w:val="20"/>
          <w:szCs w:val="20"/>
          <w:color w:val="auto"/>
        </w:rPr>
      </w:pPr>
      <w:r>
        <w:rPr>
          <w:rFonts w:ascii="Arial" w:cs="Arial" w:eastAsia="Arial" w:hAnsi="Arial"/>
          <w:sz w:val="16"/>
          <w:szCs w:val="16"/>
          <w:color w:val="auto"/>
        </w:rPr>
        <w:t>Pursuant to a voting agreement with SSTVC, SSTVC designated Yinan Xiang to our board of directors. Yinan Xiang was appointed as a member of our board effective upon the earlier of the completion of this offering and November 15, 2017. Ms. Xiang has been a General Manager of Shanghai S&amp;T Venture Capital (Group) Co. Ltd. since October 2016, after serving as Manager of the Project Investment Department of Shanghai S&amp;T Venture Capital (Group) Co. Ltd. from September 2014 to September 2016. From February 2012 to August 2014, Ms. Xiang was a Manager of Invest Department II of Shanghai Science and Technology Venture Capital Co., Ltd. Ms. Xiang received a Bachelor degree from Shanghai University of Finance and Economics.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Advisory Board</w:t>
      </w:r>
    </w:p>
    <w:p>
      <w:pPr>
        <w:spacing w:after="0" w:line="117"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Our Advisory Board provides management with advice on strategy, industrial trends, organization policies, fundraising, technologies and its related applications.</w:t>
      </w:r>
    </w:p>
    <w:p>
      <w:pPr>
        <w:spacing w:after="0" w:line="158"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i w:val="1"/>
          <w:iCs w:val="1"/>
          <w:color w:val="auto"/>
        </w:rPr>
        <w:t xml:space="preserve">Stephen Chiao </w:t>
      </w:r>
      <w:r>
        <w:rPr>
          <w:rFonts w:ascii="Arial" w:cs="Arial" w:eastAsia="Arial" w:hAnsi="Arial"/>
          <w:sz w:val="17"/>
          <w:szCs w:val="17"/>
          <w:color w:val="auto"/>
        </w:rPr>
        <w:t>has served as a member of our Advisory Board since December 2016. Since 2009, Dr. Chiao has served as Managing Partner at Sycamore</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Inc. Dr. Chiao has a Bachelor of Science degree from the National Cheng Kung University, a Masters in Science from the University of Southern California and a Ph.D. in Materials Science and Engineering from Stanford University.</w:t>
      </w:r>
    </w:p>
    <w:p>
      <w:pPr>
        <w:spacing w:after="0" w:line="172"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a member of our Advisory Board since May 2016. For biographical information regarding Dr. Hu, see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above.</w:t>
      </w:r>
    </w:p>
    <w:p>
      <w:pPr>
        <w:spacing w:after="0" w:line="158"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i w:val="1"/>
          <w:iCs w:val="1"/>
          <w:color w:val="auto"/>
        </w:rPr>
        <w:t xml:space="preserve">Srini Raghavan </w:t>
      </w:r>
      <w:r>
        <w:rPr>
          <w:rFonts w:ascii="Arial" w:cs="Arial" w:eastAsia="Arial" w:hAnsi="Arial"/>
          <w:sz w:val="16"/>
          <w:szCs w:val="16"/>
          <w:color w:val="auto"/>
        </w:rPr>
        <w:t>has served as a member of our Advisory Board since May 2016. Since 1988 Dr. Raghavan has been a Professor of Materials Science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at the 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 of Science degree in Materials Science and Mineral Engineering from the University of California, Berkeley and a Ph.D. from the University of California, Berkeley.</w:t>
      </w:r>
    </w:p>
    <w:p>
      <w:pPr>
        <w:spacing w:after="0" w:line="168"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i w:val="1"/>
          <w:iCs w:val="1"/>
          <w:color w:val="auto"/>
        </w:rPr>
        <w:t xml:space="preserve">Lip-Bu Tan </w:t>
      </w:r>
      <w:r>
        <w:rPr>
          <w:rFonts w:ascii="Arial" w:cs="Arial" w:eastAsia="Arial" w:hAnsi="Arial"/>
          <w:sz w:val="17"/>
          <w:szCs w:val="17"/>
          <w:color w:val="auto"/>
        </w:rPr>
        <w:t>has served as a member of our Advisory Board since January 2017. Since 1987 Mr. Tan has served as the founder and Chairman of Walden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an international venture capital firm. He has also served as President and Chief Executive Officer of Cadence Design Systems, Inc., an electronic design automation software and engineering services company, since 2009. Mr. Tan currently serves on the boards of directors of Cadence Design Systems, Inc., Hewlett Packard Enterprise Company, an information technology enterprise company, Semiconductor Manufacturing International Corporation, a semiconductor manufacturer, and Quantenna Communications, Inc., a wireless communication designer, developer and manufacturer. Mr. Tan holds a B.S. in physics from Nanyang University in Singapore, an M.S. in nuclear engineering from the Massachusetts Institute of Technology, and an M.B.A. from the University of San Francisco.</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Chiang Yang </w:t>
      </w:r>
      <w:r>
        <w:rPr>
          <w:rFonts w:ascii="Arial" w:cs="Arial" w:eastAsia="Arial" w:hAnsi="Arial"/>
          <w:sz w:val="17"/>
          <w:szCs w:val="17"/>
          <w:color w:val="auto"/>
        </w:rPr>
        <w:t>has served as a member of our Advisory Board since August 2017, after having served as Senior Strategic Adviser to the President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2015. Dr. Yang has worked in the semiconductor industry for 32 years and has significant experience in semiconductor equipment, process development, manufacturing, fab operation, technology transfer and general management. Dr. Yang retired as the General Manager of Intel Mask Operation and Vice President of Technology &amp; Manufacturing Group of Intel Corporation in 2014, where he had been employed since 1984. Dr. Yang’s prior experience included semiconductor equipment development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448"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color w:val="auto"/>
        </w:rPr>
        <w:t>at Applied Materials, Inc. and research on energy storage devices at Brookhaven National Laboratory. He received a Ph.D. in materials science from Massachusetts Institute of Technology, a Master of Science in physics from Northwestern University, and a Bachelor of Science in physics from the National Taiwan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 Nomination Rights</w:t>
      </w:r>
    </w:p>
    <w:p>
      <w:pPr>
        <w:spacing w:after="0" w:line="117"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connection with our sale and issuance of capital stock described in “Management’s Discussion and Analysis of Financial Condition and Results of Operations—Recent Equity Transactions—Acquisition of Outstanding Minority Interests in Our Operating Company” and our sale and issuance of Class A common stock in the concurrent private placement described in “Concurrent Private Placement,” we, and certain other shareholders, have entered into (a) a voting agreement with SSTVC and (b) a nomination and voting agreement with Xinxin (Hongkong) Capital Co., Limited, which agreements will remain in effect after the completion of this offering. Pursuant to these agreements, each of SSTVC and Xinxin (Hongkong) Capital Co., Limited will have the right to designate one individual for nomination to our board of directors. In addition, holders who will have 51.2% of the voting power of common stock immediately after this offering and the concurrent private placement, including David H. Wang, our Chair of the Board, Chief Executive Officer and President, and Haiping Dun, our Lead Director, have agreed to vote their shares for the election of the nominee designated by Xinxin (Hongkong) Capital Co. Limited.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rights and obligations of the parties under the agreement with:</w:t>
      </w:r>
    </w:p>
    <w:p>
      <w:pPr>
        <w:spacing w:after="0" w:line="130" w:lineRule="exact"/>
        <w:rPr>
          <w:sz w:val="20"/>
          <w:szCs w:val="20"/>
          <w:color w:val="auto"/>
        </w:rPr>
      </w:pPr>
    </w:p>
    <w:p>
      <w:pPr>
        <w:ind w:left="900" w:hanging="439"/>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SSTVC will be in effect as long as SSTVC continues to beneficially own all of the 1,666,170 shares of Class A common stock issued to SSTVC; and</w:t>
      </w:r>
    </w:p>
    <w:p>
      <w:pPr>
        <w:spacing w:after="0" w:line="141" w:lineRule="exact"/>
        <w:rPr>
          <w:rFonts w:ascii="Arial" w:cs="Arial" w:eastAsia="Arial" w:hAnsi="Arial"/>
          <w:sz w:val="16"/>
          <w:szCs w:val="16"/>
          <w:color w:val="auto"/>
        </w:rPr>
      </w:pPr>
    </w:p>
    <w:p>
      <w:pPr>
        <w:ind w:left="900" w:right="700" w:hanging="439"/>
        <w:spacing w:after="0" w:line="287"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Xinxin (Hongkong) Capital Co., Limited and its affiliates continue to hold at least 625,000 shares of Class A common stock issued to Xinxin (Hongkong) Capital Co., Limited in the concurrent private placement.</w:t>
      </w:r>
    </w:p>
    <w:p>
      <w:pPr>
        <w:spacing w:after="0" w:line="158"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SSTVC designated Yinan Xiang, who has been appointed as a member of our board of directors effective upon the earlier of the completion of this offering and November 15, 2017. We expect Xinxin (Hongkong) Capital Co., Limited to designate an individual for nomination to our board shortly after the consummation of this offering and the concurrent private placement.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have applied to list Class A common stock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(a) accept, directly or indirectly, any consulting, advisory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8"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other compensatory fee from the listed company or any of its subsidiaries, other than compensation for board service; or (b) be an affiliated person of the listed company or any of its subsidiaries. In order to be considered independent for purposes of Rule 10C-1 under the Securities Exchange Act, each member of the compensation 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(x) the source of compensation of a member of the board of a listed company, including any consulting, advisory or other compensatory fee paid by the listed company to such member of the board; and (y) whether a member of the board of a listed company is affiliated with the listed company, a subsidiary of the listed company or an affiliate of a subsidiary of the listed company.</w:t>
      </w:r>
    </w:p>
    <w:p>
      <w:pPr>
        <w:spacing w:after="0" w:line="18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In October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 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7"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we will not have a classified board of directors, and all directors will be elected for annual terms. If outstanding shares of Class B common stock represent less than a majority of the combined voting power of common stock at any time, we thereafter would have a classified board consisting of three classes of approximately equal size, each serving staggered three-year terms. Our directors would be assigned by the then-current board of directors to a class.</w:t>
      </w:r>
    </w:p>
    <w:p>
      <w:pPr>
        <w:spacing w:after="0" w:line="176"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If and when the board is classified, upon expiration of the term of a class of directors, directors for that class would be elected for three-year terms at the annual meeting of stockholders in the year in which that term expires. As a result, only one class of directors would be elected at each annual meeting of our stockholders, with the other classes continuing for the remainder of their respective three-year terms. Each director’s term would continue until the election and qualification of his or her successor or his or her earlier death, resignation, or removal. Our restated charter provides that our directors may be removed with or without cause only by the affirmative vote of the holders of at least two-thirds of the votes that all of the stockholders would be entitled to cast in any annual election of directors.</w:t>
      </w:r>
    </w:p>
    <w:p>
      <w:pPr>
        <w:spacing w:after="0" w:line="180"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So long as the board is classified, only the board could fill vacancies on the board. Any additional directorships resulting from an increase in the number of directors would be distributed among the three classes so that, as nearly as possible, each class would consist of one-third of the total number of directors.</w:t>
      </w:r>
    </w:p>
    <w:p>
      <w:pPr>
        <w:spacing w:after="0" w:line="135"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classification of the board might have the effect of delaying or preventing changes in our control or management. See “Description of Capital Stock— Anti-Takeover Provisions—Restated Charter and Bylaw Provisions.”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17"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8" w:right="2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80"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12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23" w:lineRule="exact"/>
        <w:rPr>
          <w:sz w:val="20"/>
          <w:szCs w:val="20"/>
          <w:color w:val="auto"/>
        </w:rPr>
      </w:pPr>
    </w:p>
    <w:p>
      <w:pPr>
        <w:ind w:right="40" w:firstLine="457"/>
        <w:spacing w:after="0" w:line="320" w:lineRule="auto"/>
        <w:rPr>
          <w:sz w:val="20"/>
          <w:szCs w:val="20"/>
          <w:color w:val="auto"/>
        </w:rPr>
      </w:pPr>
      <w:r>
        <w:rPr>
          <w:rFonts w:ascii="Arial" w:cs="Arial" w:eastAsia="Arial" w:hAnsi="Arial"/>
          <w:sz w:val="16"/>
          <w:szCs w:val="16"/>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44" w:lineRule="exact"/>
        <w:rPr>
          <w:sz w:val="20"/>
          <w:szCs w:val="20"/>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8"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protection and proper use of company assets;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reporting illegal and unethical behavior.</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www.acmrcsh.com. Any waiver of the code of business conduct for an executive officer or director may be granted only by the board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www.acmrcsh.com.</w:t>
      </w:r>
    </w:p>
    <w:p>
      <w:pPr>
        <w:spacing w:after="0" w:line="180"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3" w:lineRule="exact"/>
        <w:rPr>
          <w:sz w:val="20"/>
          <w:szCs w:val="20"/>
          <w:color w:val="auto"/>
        </w:rPr>
      </w:pPr>
    </w:p>
    <w:p>
      <w:pPr>
        <w:ind w:right="200" w:firstLine="457"/>
        <w:spacing w:after="0" w:line="323" w:lineRule="auto"/>
        <w:rPr>
          <w:sz w:val="20"/>
          <w:szCs w:val="20"/>
          <w:color w:val="auto"/>
        </w:rPr>
      </w:pPr>
      <w:r>
        <w:rPr>
          <w:rFonts w:ascii="Arial" w:cs="Arial" w:eastAsia="Arial" w:hAnsi="Arial"/>
          <w:sz w:val="15"/>
          <w:szCs w:val="15"/>
          <w:color w:val="auto"/>
        </w:rPr>
        <w:t>We have established an audit committee, a compensation committee and a nominating and governance committee. Prior to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3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Each committee operates under a charter that has been approved by the board of directors. Prior to the completion of this offering, copies of each committee’s charter will be posted on the Investor Relations section of our website, which is located at www.acmrcsh.com. Each committee has the composition and responsibilities described below. The board may from time to time establish other committees.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The members of the audit committee are Chenming Hu and Tracy Liu, each of whom is a non-employee member of the board of directors. Tracy Liu serves as the chair of the audit committee. It is expected that Yinan Xiang may be elected to the audit committee upon joining the board. The audit committee’s main function is to oversee our accounting and financial reporting processes, internal systems of control, independent registered public accounting firm relationships and the audits of our consolidated financial statements. Pursuant to the audit committee charter, the functions of the committee include, among other things:</w:t>
      </w:r>
    </w:p>
    <w:p>
      <w:pPr>
        <w:spacing w:after="0" w:line="55" w:lineRule="exact"/>
        <w:rPr>
          <w:sz w:val="20"/>
          <w:szCs w:val="20"/>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30" w:lineRule="exact"/>
        <w:rPr>
          <w:rFonts w:ascii="Arial" w:cs="Arial" w:eastAsia="Arial" w:hAnsi="Arial"/>
          <w:sz w:val="17"/>
          <w:szCs w:val="17"/>
          <w:color w:val="auto"/>
        </w:rPr>
      </w:pPr>
    </w:p>
    <w:p>
      <w:pPr>
        <w:ind w:left="900" w:right="540" w:hanging="439"/>
        <w:spacing w:after="0" w:line="287"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meeting independently with our registered public accounting firm and management;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and reassessing the adequacy of our conflict of interest policy;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380"/>
          </w:cols>
          <w:pgMar w:left="240" w:top="448" w:right="2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220" w:firstLine="457"/>
        <w:spacing w:after="0" w:line="271" w:lineRule="auto"/>
        <w:rPr>
          <w:sz w:val="20"/>
          <w:szCs w:val="20"/>
          <w:color w:val="auto"/>
        </w:rPr>
      </w:pPr>
      <w:r>
        <w:rPr>
          <w:rFonts w:ascii="Arial" w:cs="Arial" w:eastAsia="Arial" w:hAnsi="Arial"/>
          <w:sz w:val="17"/>
          <w:szCs w:val="17"/>
          <w:color w:val="auto"/>
        </w:rPr>
        <w:t>All members of the audit committee meet the requirements for financial literacy under the applicable rules and regulations of the SEC and NASDAQ. The board has determined that Tracy Liu is an “audit committee financial expert” as defined by applicable SEC rules and has the requisite financial sophistication as defined under the applicable NASDAQ rules and regulations.</w:t>
      </w:r>
    </w:p>
    <w:p>
      <w:pPr>
        <w:spacing w:after="0" w:line="172"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board has determined that each of Chenming Hu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right="380" w:firstLine="457"/>
        <w:spacing w:after="0" w:line="271" w:lineRule="auto"/>
        <w:rPr>
          <w:sz w:val="20"/>
          <w:szCs w:val="20"/>
          <w:color w:val="auto"/>
        </w:rPr>
      </w:pPr>
      <w:r>
        <w:rPr>
          <w:rFonts w:ascii="Arial" w:cs="Arial" w:eastAsia="Arial" w:hAnsi="Arial"/>
          <w:sz w:val="17"/>
          <w:szCs w:val="17"/>
          <w:color w:val="auto"/>
        </w:rPr>
        <w:t>The members of the compensation committee are Haiping Dun and Tracy Liu. Haiping Dun serves as the chair of the compensation committee. The compensation committee reviews and recommends policies relating to compensation and benefits of our officers and employees. Pursuant to the compensation committee charter, the functions of this committee include, among other things:</w:t>
      </w:r>
    </w:p>
    <w:p>
      <w:pPr>
        <w:spacing w:after="0" w:line="81" w:lineRule="exact"/>
        <w:rPr>
          <w:sz w:val="20"/>
          <w:szCs w:val="20"/>
          <w:color w:val="auto"/>
        </w:rPr>
      </w:pPr>
    </w:p>
    <w:p>
      <w:pPr>
        <w:ind w:left="900" w:right="200" w:hanging="439"/>
        <w:spacing w:after="0" w:line="287"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director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reviewing and approving the terms of certain material agreements;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30" w:lineRule="exact"/>
        <w:rPr>
          <w:rFonts w:ascii="Arial" w:cs="Arial" w:eastAsia="Arial" w:hAnsi="Arial"/>
          <w:sz w:val="17"/>
          <w:szCs w:val="17"/>
          <w:color w:val="auto"/>
        </w:rPr>
      </w:pPr>
    </w:p>
    <w:p>
      <w:pPr>
        <w:ind w:left="900" w:right="20" w:hanging="439"/>
        <w:spacing w:after="0" w:line="287"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accordance with NASDAQ listing standards, the board has granted the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17" w:lineRule="exact"/>
        <w:rPr>
          <w:sz w:val="20"/>
          <w:szCs w:val="20"/>
          <w:color w:val="auto"/>
        </w:rPr>
      </w:pPr>
    </w:p>
    <w:p>
      <w:pPr>
        <w:ind w:right="340" w:firstLine="457"/>
        <w:spacing w:after="0" w:line="320" w:lineRule="auto"/>
        <w:rPr>
          <w:sz w:val="20"/>
          <w:szCs w:val="20"/>
          <w:color w:val="auto"/>
        </w:rPr>
      </w:pPr>
      <w:r>
        <w:rPr>
          <w:rFonts w:ascii="Arial" w:cs="Arial" w:eastAsia="Arial" w:hAnsi="Arial"/>
          <w:sz w:val="16"/>
          <w:szCs w:val="16"/>
          <w:color w:val="auto"/>
        </w:rPr>
        <w:t>The members of the nominating and governance committee are Chenming Hu and Haiping Dun. Chenming Hu serves as the chair of the nominating and governance committee. Pursuant to the nominating and governance committee charter, the functions of this committee include, among other things:</w:t>
      </w:r>
    </w:p>
    <w:p>
      <w:pPr>
        <w:spacing w:after="0" w:line="44" w:lineRule="exact"/>
        <w:rPr>
          <w:sz w:val="20"/>
          <w:szCs w:val="20"/>
          <w:color w:val="auto"/>
        </w:rPr>
      </w:pPr>
    </w:p>
    <w:p>
      <w:pPr>
        <w:ind w:left="900" w:right="100" w:hanging="439"/>
        <w:spacing w:after="0" w:line="287"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the board of directors and our stockholders concerning nominees for election to the board, to each of the board’s committees and as committee chairs;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8"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the board and developing and overseeing a performance evaluation process;</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providing reports to the board regarding the committee’s nominations for election to the board and its committees.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3" w:lineRule="exact"/>
        <w:rPr>
          <w:sz w:val="20"/>
          <w:szCs w:val="20"/>
          <w:color w:val="auto"/>
        </w:rPr>
      </w:pPr>
    </w:p>
    <w:p>
      <w:pPr>
        <w:ind w:right="340" w:firstLine="457"/>
        <w:spacing w:after="0" w:line="32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380"/>
          </w:cols>
          <w:pgMar w:left="240" w:top="448" w:right="27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2016 Director Compensation</w:t>
      </w:r>
    </w:p>
    <w:p>
      <w:pPr>
        <w:spacing w:after="0" w:line="123"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2016 we did not have an established policy with regard to cash or equity-based compensation of non-employee members of the board of directors.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w:t>
      </w:r>
    </w:p>
    <w:p>
      <w:pPr>
        <w:spacing w:after="0" w:line="176"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During 2016, our non-employee directors did not receive any cash compensation or stock awards for their service on the board or committees of the board, except that Tracy Liu was granted the option to purchase 50,000 shares of the Class A common stock in December 2016. The following table presents certain information with respect to the compensation of our non-employee directors in 2016:</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Option </w:t>
            </w: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)(1)</w:t>
            </w:r>
          </w:p>
        </w:tc>
        <w:tc>
          <w:tcPr>
            <w:tcW w:w="12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7"/>
              </w:rPr>
              <w:t>Total($</w:t>
            </w:r>
            <w:r>
              <w:rPr>
                <w:rFonts w:ascii="Arial" w:cs="Arial" w:eastAsia="Arial" w:hAnsi="Arial"/>
                <w:sz w:val="14"/>
                <w:szCs w:val="14"/>
                <w:b w:val="1"/>
                <w:bCs w:val="1"/>
                <w:color w:val="auto"/>
                <w:w w:val="97"/>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Haiping Dun</w:t>
            </w:r>
          </w:p>
        </w:tc>
        <w:tc>
          <w:tcPr>
            <w:tcW w:w="2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Tracy Liu</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114,000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114,000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60" w:hanging="456"/>
        <w:spacing w:after="0" w:line="271"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7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David H. Wang, our sole executive officer who served as a member of the board during 2016, did not receive any additional compensation for such service as a director.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Compensation Policy</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In October 2017 we adopted a policy with respect to the compensation payable to certain of our non-employee directors, which will become effective upon the completion of this offering. Under this policy, each qualifying non-employee director will be eligible to receive compensation for his or her board and committee service consisting of annual cash retainers and equity awards. Our qualifying non-employee directors will receive the following annual retainers for their service:</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0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Retainer</w:t>
            </w:r>
          </w:p>
        </w:tc>
      </w:tr>
      <w:tr>
        <w:trPr>
          <w:trHeight w:val="202"/>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Lead</w:t>
            </w: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c>
          <w:tcPr>
            <w:tcW w:w="20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Directors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Audit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Compensation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Nominating and Governance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21"/>
        </w:trPr>
        <w:tc>
          <w:tcPr>
            <w:tcW w:w="6000" w:type="dxa"/>
            <w:vAlign w:val="bottom"/>
            <w:gridSpan w:val="2"/>
          </w:tcPr>
          <w:p>
            <w:pPr>
              <w:spacing w:after="0"/>
              <w:rPr>
                <w:sz w:val="20"/>
                <w:szCs w:val="20"/>
                <w:color w:val="auto"/>
              </w:rPr>
            </w:pPr>
            <w:r>
              <w:rPr>
                <w:rFonts w:ascii="Arial" w:cs="Arial" w:eastAsia="Arial" w:hAnsi="Arial"/>
                <w:sz w:val="17"/>
                <w:szCs w:val="17"/>
                <w:color w:val="auto"/>
              </w:rPr>
              <w:t>Other Nominating and Governance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9"/>
                <w:szCs w:val="19"/>
                <w:color w:val="auto"/>
              </w:rPr>
            </w:pPr>
          </w:p>
        </w:tc>
      </w:tr>
    </w:tbl>
    <w:p>
      <w:pPr>
        <w:spacing w:after="0" w:line="184"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Equity awards for qualifying non-employee directors will consist of (i) an initial equity award with a value of $75,000, upon initial election to our board of directors, subject to vesting and to such director’s continued service on our board of directors, and (ii) annual equity awards with a value of $35,000, subject to vesting and to such director’s continued service on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Directors may be reimbursed for reasonable out-of-pocket expenses incurred in attending board and committee meetings.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8"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right="140" w:firstLine="457"/>
        <w:spacing w:after="0" w:line="320" w:lineRule="auto"/>
        <w:rPr>
          <w:sz w:val="20"/>
          <w:szCs w:val="20"/>
          <w:color w:val="auto"/>
        </w:rPr>
      </w:pPr>
      <w:r>
        <w:rPr>
          <w:rFonts w:ascii="Arial" w:cs="Arial" w:eastAsia="Arial" w:hAnsi="Arial"/>
          <w:sz w:val="16"/>
          <w:szCs w:val="16"/>
          <w:color w:val="auto"/>
        </w:rPr>
        <w:t>The following table provides information concerning the compensation paid for 2016 and 2015 to our “named executive officers,” who consist of our Chief Executive Officer and President, our Treasurer and Chief Financial Officer and Treasurer and our other most highly compensated executive officer during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($)(1)(3)</w:t>
            </w:r>
          </w:p>
        </w:tc>
        <w:tc>
          <w:tcPr>
            <w:tcW w:w="14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7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David H. Wang</w:t>
            </w:r>
          </w:p>
        </w:tc>
        <w:tc>
          <w:tcPr>
            <w:tcW w:w="47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2016</w:t>
            </w:r>
          </w:p>
        </w:tc>
        <w:tc>
          <w:tcPr>
            <w:tcW w:w="160" w:type="dxa"/>
            <w:vAlign w:val="bottom"/>
            <w:vMerge w:val="continue"/>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$171,364(4)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$ 7,837</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$760,000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w:t>
            </w:r>
          </w:p>
        </w:tc>
        <w:tc>
          <w:tcPr>
            <w:tcW w:w="1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$950,041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 and President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176,008(5)</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51,974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835,689</w:t>
            </w:r>
          </w:p>
        </w:tc>
        <w:tc>
          <w:tcPr>
            <w:tcW w:w="0" w:type="dxa"/>
            <w:vAlign w:val="bottom"/>
          </w:tcPr>
          <w:p>
            <w:pPr>
              <w:spacing w:after="0"/>
              <w:rPr>
                <w:sz w:val="1"/>
                <w:szCs w:val="1"/>
                <w:color w:val="auto"/>
              </w:rPr>
            </w:pPr>
          </w:p>
        </w:tc>
      </w:tr>
      <w:tr>
        <w:trPr>
          <w:trHeight w:val="300"/>
        </w:trPr>
        <w:tc>
          <w:tcPr>
            <w:tcW w:w="6480" w:type="dxa"/>
            <w:vAlign w:val="bottom"/>
            <w:gridSpan w:val="3"/>
          </w:tcPr>
          <w:p>
            <w:pPr>
              <w:spacing w:after="0"/>
              <w:rPr>
                <w:sz w:val="20"/>
                <w:szCs w:val="20"/>
                <w:color w:val="auto"/>
              </w:rPr>
            </w:pPr>
            <w:r>
              <w:rPr>
                <w:rFonts w:ascii="Arial" w:cs="Arial" w:eastAsia="Arial" w:hAnsi="Arial"/>
                <w:sz w:val="17"/>
                <w:szCs w:val="17"/>
                <w:color w:val="auto"/>
              </w:rPr>
              <w:t>Min Xu(6)</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19,696</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228,000</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13,555</w:t>
            </w:r>
          </w:p>
        </w:tc>
        <w:tc>
          <w:tcPr>
            <w:tcW w:w="720" w:type="dxa"/>
            <w:vAlign w:val="bottom"/>
          </w:tcPr>
          <w:p>
            <w:pPr>
              <w:jc w:val="right"/>
              <w:spacing w:after="0"/>
              <w:rPr>
                <w:sz w:val="20"/>
                <w:szCs w:val="20"/>
                <w:color w:val="auto"/>
              </w:rPr>
            </w:pPr>
            <w:r>
              <w:rPr>
                <w:rFonts w:ascii="Arial" w:cs="Arial" w:eastAsia="Arial" w:hAnsi="Arial"/>
                <w:sz w:val="17"/>
                <w:szCs w:val="17"/>
                <w:color w:val="auto"/>
              </w:rPr>
              <w:t>261,251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 and Treasurer</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153,600(7)</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7,516</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10,840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Vice President, Sales of ACM Shanghai</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160,339(8)</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25,530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243,276</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280" w:hanging="456"/>
        <w:spacing w:after="0" w:line="263"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60" w:right="560" w:hanging="456"/>
        <w:spacing w:after="0" w:line="256"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option awards granted during 2016 and 2015, computed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See note 2 to our consolidated financial statements included at the end of this prospectus for a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we made in determining the grant date fair value of our equity awards.</w:t>
      </w: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Amounts reflect a housing subsidy paid by us.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Reflects a base salary of 1,138,248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Reflects a base salary of 1,096,248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Mr. Xu was appointed effective November 14, 2016.</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Reflects a base salary of 1,020,252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Reflects a base salary of 998,652 RMB.</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paid to our named executive officers consists of the following components:</w:t>
      </w:r>
    </w:p>
    <w:p>
      <w:pPr>
        <w:spacing w:after="0" w:line="130" w:lineRule="exact"/>
        <w:rPr>
          <w:sz w:val="20"/>
          <w:szCs w:val="20"/>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performance-based cash bonuses;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long-term incentive compensation in the form of stock options;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benefits consisting of housing subsidies paid by us.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Salaries</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Annual base salaries of our named executive officers in 2017 were as follows: David H. Wang, $169,192 (1,156,260 RMB); Fufa Chen, $151,879 (1,038,264 RMB); and Min Xu, $150,000. Annual base salaries of our named executive officers in 2016 were as follows: David H. Wang, $171,364 (1,138,248 RMB); Fufa Chen, $153,600 (1,020,252 RMB); and Min Xu, $115,000. For 2015, the annual base salaries for our named executive officers were as follows: David H. Wang, $176,008 (1,096,248 RMB); and Fufa Chen, $160,339 (998,652 RMB).</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8"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Bonuses</w:t>
      </w:r>
    </w:p>
    <w:p>
      <w:pPr>
        <w:spacing w:after="0" w:line="11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2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table sets forth information regarding grants of compensation in the form of plan-based awards made during 2016 to our named executive officers who were granted plan-based awards in 2016:</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Option</w:t>
            </w:r>
          </w:p>
        </w:tc>
        <w:tc>
          <w:tcPr>
            <w:tcW w:w="1800" w:type="dxa"/>
            <w:vAlign w:val="bottom"/>
            <w:gridSpan w:val="3"/>
            <w:vMerge w:val="restart"/>
          </w:tcPr>
          <w:p>
            <w:pPr>
              <w:jc w:val="center"/>
              <w:ind w:left="731"/>
              <w:spacing w:after="0"/>
              <w:rPr>
                <w:sz w:val="20"/>
                <w:szCs w:val="20"/>
                <w:color w:val="auto"/>
              </w:rPr>
            </w:pPr>
            <w:r>
              <w:rPr>
                <w:rFonts w:ascii="Arial" w:cs="Arial" w:eastAsia="Arial" w:hAnsi="Arial"/>
                <w:sz w:val="14"/>
                <w:szCs w:val="14"/>
                <w:b w:val="1"/>
                <w:bCs w:val="1"/>
                <w:color w:val="auto"/>
                <w:w w:val="85"/>
              </w:rPr>
              <w:t>Exercise or Base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1"/>
              </w:rPr>
              <w:t>Awards: Number</w:t>
            </w:r>
          </w:p>
        </w:tc>
        <w:tc>
          <w:tcPr>
            <w:tcW w:w="1800" w:type="dxa"/>
            <w:vAlign w:val="bottom"/>
            <w:gridSpan w:val="3"/>
            <w:vMerge w:val="continue"/>
          </w:tcPr>
          <w:p>
            <w:pPr>
              <w:spacing w:after="0"/>
              <w:rPr>
                <w:sz w:val="12"/>
                <w:szCs w:val="12"/>
                <w:color w:val="auto"/>
              </w:rPr>
            </w:pPr>
          </w:p>
        </w:tc>
        <w:tc>
          <w:tcPr>
            <w:tcW w:w="18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of Securities</w:t>
            </w:r>
          </w:p>
        </w:tc>
        <w:tc>
          <w:tcPr>
            <w:tcW w:w="8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Price of Option</w:t>
            </w: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2"/>
              <w:spacing w:after="0" w:line="143"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spacing w:after="0"/>
              <w:rPr>
                <w:sz w:val="12"/>
                <w:szCs w:val="12"/>
                <w:color w:val="auto"/>
              </w:rPr>
            </w:pPr>
          </w:p>
        </w:tc>
        <w:tc>
          <w:tcPr>
            <w:tcW w:w="100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w w:val="88"/>
              </w:rPr>
              <w:t>Value of Option</w:t>
            </w:r>
          </w:p>
        </w:tc>
        <w:tc>
          <w:tcPr>
            <w:tcW w:w="0" w:type="dxa"/>
            <w:vAlign w:val="bottom"/>
          </w:tcPr>
          <w:p>
            <w:pPr>
              <w:spacing w:after="0"/>
              <w:rPr>
                <w:sz w:val="1"/>
                <w:szCs w:val="1"/>
                <w:color w:val="auto"/>
              </w:rPr>
            </w:pPr>
          </w:p>
        </w:tc>
      </w:tr>
      <w:tr>
        <w:trPr>
          <w:trHeight w:val="166"/>
        </w:trPr>
        <w:tc>
          <w:tcPr>
            <w:tcW w:w="416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38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12/28/2016</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Min Xu</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12/28/2016</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2016 Fiscal Year-End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20" w:type="dxa"/>
            <w:vAlign w:val="bottom"/>
            <w:gridSpan w:val="3"/>
          </w:tcPr>
          <w:p>
            <w:pPr>
              <w:jc w:val="right"/>
              <w:ind w:right="293"/>
              <w:spacing w:after="0" w:line="114" w:lineRule="exact"/>
              <w:rPr>
                <w:sz w:val="20"/>
                <w:szCs w:val="20"/>
                <w:color w:val="auto"/>
              </w:rPr>
            </w:pPr>
            <w:r>
              <w:rPr>
                <w:rFonts w:ascii="Arial" w:cs="Arial" w:eastAsia="Arial" w:hAnsi="Arial"/>
                <w:sz w:val="13"/>
                <w:szCs w:val="13"/>
                <w:b w:val="1"/>
                <w:bCs w:val="1"/>
                <w:color w:val="auto"/>
              </w:rPr>
              <w:t>Number of Securities Underlying</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6"/>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4"/>
                <w:szCs w:val="14"/>
                <w:color w:val="auto"/>
              </w:rPr>
            </w:pPr>
          </w:p>
        </w:tc>
        <w:tc>
          <w:tcPr>
            <w:tcW w:w="272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Unexercised Options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6"/>
              </w:rPr>
              <w:t>Exercisable(#)</w:t>
            </w:r>
          </w:p>
        </w:tc>
        <w:tc>
          <w:tcPr>
            <w:tcW w:w="18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Unexercisable(#)</w:t>
            </w:r>
          </w:p>
        </w:tc>
        <w:tc>
          <w:tcPr>
            <w:tcW w:w="86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6"/>
              </w:rPr>
              <w:t xml:space="preserve">Exercise </w:t>
            </w:r>
            <w:r>
              <w:rPr>
                <w:rFonts w:ascii="Arial" w:cs="Arial" w:eastAsia="Arial" w:hAnsi="Arial"/>
                <w:sz w:val="14"/>
                <w:szCs w:val="14"/>
                <w:b w:val="1"/>
                <w:bCs w:val="1"/>
                <w:u w:val="single" w:color="auto"/>
                <w:color w:val="auto"/>
                <w:w w:val="86"/>
              </w:rPr>
              <w:t>Price($</w:t>
            </w:r>
            <w:r>
              <w:rPr>
                <w:rFonts w:ascii="Arial" w:cs="Arial" w:eastAsia="Arial" w:hAnsi="Arial"/>
                <w:sz w:val="14"/>
                <w:szCs w:val="14"/>
                <w:b w:val="1"/>
                <w:bCs w:val="1"/>
                <w:color w:val="auto"/>
                <w:w w:val="86"/>
              </w:rPr>
              <w:t>)</w:t>
            </w:r>
          </w:p>
        </w:tc>
        <w:tc>
          <w:tcPr>
            <w:tcW w:w="18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2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09/21/2017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241,667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12/27/2026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7"/>
                <w:szCs w:val="17"/>
                <w:color w:val="auto"/>
              </w:rPr>
              <w:t>Min Xu</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11/14/2026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20,139</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123"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We do not provide our named executive officers with perquisites or other personal benefits.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240" w:top="448" w:right="4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Retention Agreement</w:t>
      </w:r>
    </w:p>
    <w:p>
      <w:pPr>
        <w:spacing w:after="0" w:line="12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entered into an executive retention agreement with Min Xu upon his hiring in November 2016. The executive retention agreement generally provides that if we terminate Mr. Xu’s employment without cause or if he terminates his employment for good reason, he will be entitled to receive, within thirty days after the date of termination, a cash payment equal to the sum of:</w:t>
      </w:r>
    </w:p>
    <w:p>
      <w:pPr>
        <w:spacing w:after="0" w:line="81" w:lineRule="exact"/>
        <w:rPr>
          <w:sz w:val="20"/>
          <w:szCs w:val="20"/>
          <w:color w:val="auto"/>
        </w:rPr>
      </w:pPr>
    </w:p>
    <w:p>
      <w:pPr>
        <w:ind w:left="900" w:hanging="439"/>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accrued base salary, commission and vacation pay;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 amount equal to his then-current annual base salary.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retention agreement provides that Mr. Xu will be entitled to continue to receive specified benefits for 12 months after the termination date.</w:t>
      </w:r>
    </w:p>
    <w:p>
      <w:pPr>
        <w:spacing w:after="0" w:line="222"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 executive retention agreement contains provisions applicable in the event payments due under the agreement would result in tax penalties under Sections 280G and 4999 of the U.S. Internal Revenue Code. Those sections may impose tax penalties on our company or Mr. Xu if the amount of severance payments due to him following a Change in Ownership or Control (as defined in the Internal Revenue Code) exceeds certain limits. Under the provisions of the executive retention agreement, the amount of the benefits that Mr. Xu will be entitled to receive under the executive retention agreement will be reduced by an amount necessary to avoid triggering any penalty taxes if, and only if, the reduction would result in greater net after-tax benefits to Mr. Xu.</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2016 Omnibus Incentive Plan</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58" w:lineRule="exact"/>
        <w:rPr>
          <w:sz w:val="20"/>
          <w:szCs w:val="20"/>
          <w:color w:val="auto"/>
        </w:rPr>
      </w:pPr>
    </w:p>
    <w:p>
      <w:pPr>
        <w:ind w:right="80" w:firstLine="457"/>
        <w:spacing w:after="0" w:line="307"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Initially a total of 2,333,334 shares of Class A common stock were available for issuance under the 2016 Plan. As of September 30, 2017,</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exercisable for an aggregate of 1,606,064 shares of Class A common stock had been granted under the 2016 Plan and were outstanding, 21,887 shares of Class A common stock had been issued upon exercises of options granted under the 2016 Plan, and 705,383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57" w:lineRule="exact"/>
        <w:rPr>
          <w:sz w:val="20"/>
          <w:szCs w:val="20"/>
          <w:color w:val="auto"/>
        </w:rPr>
      </w:pPr>
    </w:p>
    <w:p>
      <w:pPr>
        <w:ind w:left="900" w:hanging="439"/>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4% of the number of shares of Class A and Class B common stock outstanding on December 31 of the prior year;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number of shares Class A common stock determined by the board.</w:t>
      </w:r>
    </w:p>
    <w:p>
      <w:pPr>
        <w:spacing w:after="0" w:line="22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general, to the extent that any awards under the 2016 Plan are settled in cash or are forfeited, terminate, expire or lapse without the issuance of shares, or if we repurchase the shares subject to awards granted under the 2016 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160"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2016 Plan may be administered by the board or its compensation committee. The compensation committee, in its discretion, selects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to whom awards may be granted, the time or times at which such awards are granted, and the terms of such awards.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48"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920" w:firstLine="457"/>
        <w:spacing w:after="0" w:line="32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under the 2016 Plan to officers, employees, consultants and advisors of our company and our affiliates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of our company. Incentive stock options may be granted only to employees of our company or our subsidiaries.</w:t>
      </w:r>
    </w:p>
    <w:p>
      <w:pPr>
        <w:spacing w:after="0" w:line="13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including any 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2016 Plan permits the granting of any or all of the following types of awards:</w:t>
      </w:r>
    </w:p>
    <w:p>
      <w:pPr>
        <w:spacing w:after="0" w:line="130" w:lineRule="exact"/>
        <w:rPr>
          <w:sz w:val="20"/>
          <w:szCs w:val="20"/>
          <w:color w:val="auto"/>
        </w:rPr>
      </w:pPr>
    </w:p>
    <w:p>
      <w:pPr>
        <w:ind w:left="900" w:hanging="439"/>
        <w:spacing w:after="0" w:line="278"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Class A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80" w:lineRule="exact"/>
        <w:rPr>
          <w:rFonts w:ascii="Arial" w:cs="Arial" w:eastAsia="Arial" w:hAnsi="Arial"/>
          <w:sz w:val="16"/>
          <w:szCs w:val="16"/>
          <w:color w:val="auto"/>
        </w:rPr>
      </w:pPr>
    </w:p>
    <w:p>
      <w:pPr>
        <w:ind w:left="900" w:hanging="439"/>
        <w:spacing w:after="0" w:line="280"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compensation committee may grant SARs, as a right in tandem with the number of shares underlying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74" w:lineRule="exact"/>
        <w:rPr>
          <w:rFonts w:ascii="Arial" w:cs="Arial" w:eastAsia="Arial" w:hAnsi="Arial"/>
          <w:sz w:val="16"/>
          <w:szCs w:val="16"/>
          <w:color w:val="auto"/>
        </w:rPr>
      </w:pPr>
    </w:p>
    <w:p>
      <w:pPr>
        <w:ind w:left="900" w:right="60" w:hanging="439"/>
        <w:spacing w:after="0" w:line="261"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Restricted Stock, RSUs and Other Stock-Based Awards</w:t>
      </w:r>
      <w:r>
        <w:rPr>
          <w:rFonts w:ascii="Arial" w:cs="Arial" w:eastAsia="Arial" w:hAnsi="Arial"/>
          <w:sz w:val="17"/>
          <w:szCs w:val="17"/>
          <w:color w:val="auto"/>
        </w:rPr>
        <w:t>. The compensation committee may grant awards of restricted stock, which are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 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81"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 The compensation committee may grant performance awards, which entitle participants to receive a payment from us, the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based on the attainment of performance goals established by the compensation committee over a specified award period. Performance awards may be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8"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denominated in shares of Class A common stock or in cash, and may be paid in stock, cash, or a combination of stock and cash, as determined by the compensation committee. Cash-based performance awards include annual incentive awards.</w:t>
      </w:r>
    </w:p>
    <w:p>
      <w:pPr>
        <w:spacing w:after="0" w:line="158"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cash and equity awards granted under the 2016 Plan will be subject to the requirements of all applicable laws and any company policy</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recovery of 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8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i w:val="1"/>
          <w:iCs w:val="1"/>
          <w:color w:val="auto"/>
        </w:rPr>
        <w:t xml:space="preserve">Performance-Based Compensation Under Section 162(m). </w:t>
      </w:r>
      <w:r>
        <w:rPr>
          <w:rFonts w:ascii="Arial" w:cs="Arial" w:eastAsia="Arial" w:hAnsi="Arial"/>
          <w:sz w:val="16"/>
          <w:szCs w:val="16"/>
          <w:color w:val="auto"/>
        </w:rPr>
        <w:t>Under Internal Revenue Code Section 162(m), we generally are prohibited from deducting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paid to our principal 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80" w:lineRule="exact"/>
        <w:rPr>
          <w:sz w:val="20"/>
          <w:szCs w:val="20"/>
          <w:color w:val="auto"/>
        </w:rPr>
      </w:pPr>
    </w:p>
    <w:p>
      <w:pPr>
        <w:ind w:left="900" w:hanging="439"/>
        <w:spacing w:after="0" w:line="278"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compensation committee intends to qualify an award under the 2016 Plan as “performance-based” compensation under Internal Revenue Code Section 162(m), the performance goals selected by the compensation committee may be based on the attainment of specified levels of one, or any combination, of the following performance criteria: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 (o) 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93" w:lineRule="exact"/>
        <w:rPr>
          <w:rFonts w:ascii="Arial" w:cs="Arial" w:eastAsia="Arial" w:hAnsi="Arial"/>
          <w:sz w:val="16"/>
          <w:szCs w:val="16"/>
          <w:color w:val="auto"/>
        </w:rPr>
      </w:pPr>
    </w:p>
    <w:p>
      <w:pPr>
        <w:ind w:left="900" w:right="60" w:hanging="439"/>
        <w:spacing w:after="0" w:line="271"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98" w:lineRule="exact"/>
        <w:rPr>
          <w:rFonts w:ascii="Arial" w:cs="Arial" w:eastAsia="Arial" w:hAnsi="Arial"/>
          <w:sz w:val="17"/>
          <w:szCs w:val="17"/>
          <w:color w:val="auto"/>
        </w:rPr>
      </w:pPr>
    </w:p>
    <w:p>
      <w:pPr>
        <w:ind w:left="900" w:right="180" w:hanging="439"/>
        <w:spacing w:after="0" w:line="271"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98" w:lineRule="exact"/>
        <w:rPr>
          <w:rFonts w:ascii="Arial" w:cs="Arial" w:eastAsia="Arial" w:hAnsi="Arial"/>
          <w:sz w:val="17"/>
          <w:szCs w:val="17"/>
          <w:color w:val="auto"/>
        </w:rPr>
      </w:pPr>
    </w:p>
    <w:p>
      <w:pPr>
        <w:ind w:left="900" w:right="100" w:hanging="439"/>
        <w:spacing w:after="0" w:line="312" w:lineRule="auto"/>
        <w:tabs>
          <w:tab w:leader="none" w:pos="9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 addition, compensation realized from the exercise of options and SARs granted under the 2016 Plan is intended to meet the requirements of the performance-based compensation exception under Internal Revenue 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146"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Awards are not transferable other than by will or the laws of descent and distribution, except that in certain instances transfers may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to or for the benefit of designated family members of the participant for no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48"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i w:val="1"/>
          <w:iCs w:val="1"/>
          <w:color w:val="auto"/>
        </w:rPr>
        <w:t xml:space="preserve">Changes in Control. </w:t>
      </w:r>
      <w:r>
        <w:rPr>
          <w:rFonts w:ascii="Arial" w:cs="Arial" w:eastAsia="Arial" w:hAnsi="Arial"/>
          <w:sz w:val="17"/>
          <w:szCs w:val="17"/>
          <w:color w:val="auto"/>
        </w:rPr>
        <w:t>Under the 2016 Plan, in the event of a change in control, except as provided for in an individual award agreement,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provide for any one or more of the following actions, which may not be the same for all participants:</w:t>
      </w:r>
    </w:p>
    <w:p>
      <w:pPr>
        <w:spacing w:after="0" w:line="67" w:lineRule="exact"/>
        <w:rPr>
          <w:sz w:val="20"/>
          <w:szCs w:val="20"/>
          <w:color w:val="auto"/>
        </w:rPr>
      </w:pPr>
    </w:p>
    <w:p>
      <w:pPr>
        <w:ind w:left="900" w:right="160" w:hanging="439"/>
        <w:spacing w:after="0" w:line="271"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80" w:lineRule="exact"/>
        <w:rPr>
          <w:rFonts w:ascii="Arial" w:cs="Arial" w:eastAsia="Arial" w:hAnsi="Arial"/>
          <w:sz w:val="17"/>
          <w:szCs w:val="17"/>
          <w:color w:val="auto"/>
        </w:rPr>
      </w:pPr>
    </w:p>
    <w:p>
      <w:pPr>
        <w:ind w:left="900" w:right="40" w:hanging="439"/>
        <w:spacing w:after="0" w:line="296"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62" w:lineRule="exact"/>
        <w:rPr>
          <w:rFonts w:ascii="Arial" w:cs="Arial" w:eastAsia="Arial" w:hAnsi="Arial"/>
          <w:sz w:val="16"/>
          <w:szCs w:val="16"/>
          <w:color w:val="auto"/>
        </w:rPr>
      </w:pPr>
    </w:p>
    <w:p>
      <w:pPr>
        <w:ind w:left="900" w:right="180" w:hanging="439"/>
        <w:spacing w:after="0" w:line="288"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is defined under the 2016 Plan and requires consummation of the applicable transaction.</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Term, Termination and Amendment of 2016 Plan. </w:t>
      </w:r>
      <w:r>
        <w:rPr>
          <w:rFonts w:ascii="Arial" w:cs="Arial" w:eastAsia="Arial" w:hAnsi="Arial"/>
          <w:sz w:val="17"/>
          <w:szCs w:val="17"/>
          <w:color w:val="auto"/>
        </w:rPr>
        <w:t>Unless terminated earlier by the board of directors, the 2016 Plan will terminate, and no further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be granted, ten 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23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Shares Issued. </w:t>
      </w:r>
      <w:r>
        <w:rPr>
          <w:rFonts w:ascii="Arial" w:cs="Arial" w:eastAsia="Arial" w:hAnsi="Arial"/>
          <w:sz w:val="17"/>
          <w:szCs w:val="17"/>
          <w:color w:val="auto"/>
        </w:rPr>
        <w:t>As of September 30, 2017, options to purchase 1,603,342 shares of Class A common stock were outstanding pursuant to such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agreements.</w:t>
      </w:r>
    </w:p>
    <w:p>
      <w:pPr>
        <w:spacing w:after="0" w:line="158"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board of directors or its compensation committee selected the individuals to whom options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were granted, the time or times at which such options were granted, and the terms of such options.</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pursuant to such non-qualified stock option agreements.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certain 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8"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board of directors or its compensation committee set the terms of such non-qualified stock option agreements, including the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vesting periods, term (which does not exceed ten years) and other conditions on exercise.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Nonqualified stock options may be transferred pursuant to a qualified domestic relations order.</w:t>
      </w:r>
    </w:p>
    <w:p>
      <w:pPr>
        <w:spacing w:after="0" w:line="222"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(such as a merger, consolidation, or a sale or transfer of all or substantially all of our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amendment of an outstanding non-qualified stock option generally may not, without a participant’s consent, alter or impair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under an outstanding option.</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1998 Stock Option Plan</w:t>
      </w:r>
    </w:p>
    <w:p>
      <w:pPr>
        <w:spacing w:after="0" w:line="117"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76"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At the time of the 1998 Plan’s expiration, a total of 766,667 shares of common stock had been authorized. As of September 30, 2017,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66,668 shares of Class A common stock remained outstanding under the 1998 Plan.</w:t>
      </w:r>
    </w:p>
    <w:p>
      <w:pPr>
        <w:spacing w:after="0" w:line="158"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1998 Plan may be administered by the board of directors or its compensation committee (the plan administrator). The plan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in its discretion, selected the individuals to whom options may be granted, the time or times at which such options are granted, and the terms of such options.</w:t>
      </w:r>
    </w:p>
    <w:p>
      <w:pPr>
        <w:spacing w:after="0" w:line="113"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under the 1998 Plan.</w:t>
      </w:r>
    </w:p>
    <w:p>
      <w:pPr>
        <w:spacing w:after="0" w:line="158"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the 1998 Plan if certain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1998 Plan permits the granting of stock options, which entitle the holder to purchase a specified number of shares of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specified price (the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Incentive stock options are not transferable other than by will or the laws of descent and distribution. Nonqualified stock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pursuant to a qualified domestic relations order.</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Under the 1998 Plan, in the event of a corporate transaction (such as a merger, consolidation, or a sale or transfer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assets), the surviving company must assume or substitute new awards for any outstanding options. If the surviving company refuses to do so, outstanding options shall terminate if not exercised before the corporate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8"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that time. The 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8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00"/>
          </w:cols>
          <w:pgMar w:left="240" w:top="448" w:right="5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RELATED-PARTY TRANSACTIONS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transactions since January 1, 2014 to which we have been a party, in which the amount involved exceeded or will exceed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$120,000, and in which any of our directors, executive officers or beneficial owners of more than 5% of any series or class of our preferred or common stock, or 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affiliate or immediate family member thereof, had or will have a direct or indirect material interest, other than compensation, termination and change-in-control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arrangements.</w:t>
      </w:r>
    </w:p>
    <w:p>
      <w:pPr>
        <w:spacing w:after="0" w:line="209"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Warrant</w:t>
      </w:r>
    </w:p>
    <w:p>
      <w:pPr>
        <w:spacing w:after="0" w:line="12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our Vice President, Research and Development and the brother of our Chief Executive Officer and President, David H. Wang, and other employees of ACM Shanghai. Jian Wang is also the general partner of SMC.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 For more information, see “Management’s Discussion and Analysis of Financial Condition and Results of Operations—Recent Equity Transactions—Issuance of Warrant,” “Principal Stockholders,” and “Description of Capital Stock—Warrant.”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Stock Issuances</w:t>
      </w:r>
    </w:p>
    <w:p>
      <w:pPr>
        <w:spacing w:after="0" w:line="12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In December 2016 we issued (a) 285,221 shares of Class A common stock to David H. Wang, who is our Chair of the Board, Chief Executive Officer and President, and a 5% stockholder, as well as certain immediate family members of Dr. Wang and certain trusts of which Dr. Wang is a trustee, pursuant to the conversion of convertible promissory notes with an aggregate value of $417,722 issued to such parties in 2003, 2004, 2005 and 2006 and (b) 419,728 shares of Class A common stock to H.L. Hsieh, a 5% stockholder, pursuant to the conversion of convertible promissory notes with an aggregate value of $574,735 issued to Mr. Hsieh in 2004, 2005 and 2006.</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Executive Compensation</w:t>
      </w:r>
    </w:p>
    <w:p>
      <w:pPr>
        <w:spacing w:after="0" w:line="123"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Please see “Director Compensation” and “Executive Compensation” for a discussion regarding the compensation of our non-employee directors and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380"/>
          </w:cols>
          <w:pgMar w:left="240" w:top="448" w:right="2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Related-Party Transactions</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October 2017 the board of directors adopted a conflict of interest policy which covers related-party transactions and will become effective upon the completion of this offering. Among other things, this policy requires each director and executive officer, including their immediate family members, to provide written notice of any potential related-party transaction, defined by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of directors may approve the transaction if they determine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directors and officers questionnaire in connection with each of our annual proxy statements, in which they are asked to disclose family relationships and other related-party transactions.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00"/>
          </w:cols>
          <w:pgMar w:left="240" w:top="448" w:right="3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following table provides information concerning beneficial ownership of our capital stock as of September 30, 2017, and as adjusted to reflect the sale of the Class A common stock being sold in this offering, by:</w:t>
      </w:r>
    </w:p>
    <w:p>
      <w:pPr>
        <w:spacing w:after="0" w:line="67" w:lineRule="exact"/>
        <w:rPr>
          <w:sz w:val="20"/>
          <w:szCs w:val="20"/>
          <w:color w:val="auto"/>
        </w:rPr>
      </w:pPr>
    </w:p>
    <w:p>
      <w:pPr>
        <w:ind w:left="900" w:right="160" w:hanging="439"/>
        <w:spacing w:after="0" w:line="287"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five percent of the outstanding Class A common stock (on an as-converted basis) or the outstanding Class B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22"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Beneficial ownership is determined in accordance with the rules of the SEC, and thus it represents sole or shared voting or investment power with respect to our securities. Shares of common stock subject to options currently exercisable or exercisable by November 29, 2017 (sixty days after September 30, 2017)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80"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The following table lists the percentage of shares beneficially owned before this offering and the concurrent private placement based on 9,369,212 shares of Class A common stock outstanding, which includes (a) 4,627,577 shares of Class A common stock issuable upon the automatic conversion of all shares of convertible preferred stock upon completion of this offering, as if the conversion had occurred as of September 30, 2017, and (b) 2,409,738 shares of Class B common stock outstanding as of September 30, 2017.</w:t>
      </w:r>
    </w:p>
    <w:p>
      <w:pPr>
        <w:spacing w:after="0" w:line="176"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table also lists the percentage of shares beneficially owned after this offering and the concurrent private placement based on 12,702,546 shares of Class A common stock outstanding immediately after the completion of this offering, assuming no exercise of the underwriters’ over-allotment option to purchase up to an additional 300,000 shares of Class A common stock.</w:t>
      </w:r>
    </w:p>
    <w:p>
      <w:pPr>
        <w:spacing w:after="0" w:line="172"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Unless otherwise indicated, the principal address of each of the stockholders below is c/o ACM Research, Inc., 42307 Osgood Road, Suite I, Fremont, California 94539.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1"/>
              </w:rPr>
              <w:t>Shares Beneficially Owned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8"/>
              </w:rPr>
              <w:t>Shares Beneficially Owned</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Before the Offering</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151"/>
              <w:spacing w:after="0"/>
              <w:rPr>
                <w:sz w:val="20"/>
                <w:szCs w:val="20"/>
                <w:color w:val="auto"/>
              </w:rPr>
            </w:pPr>
            <w:r>
              <w:rPr>
                <w:rFonts w:ascii="Arial" w:cs="Arial" w:eastAsia="Arial" w:hAnsi="Arial"/>
                <w:sz w:val="14"/>
                <w:szCs w:val="14"/>
                <w:b w:val="1"/>
                <w:bCs w:val="1"/>
                <w:color w:val="auto"/>
                <w:w w:val="93"/>
              </w:rPr>
              <w:t>After the Offering</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5"/>
              </w:rPr>
              <w:t>Class A</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5"/>
              </w:rPr>
              <w:t>Class B</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9"/>
              </w:rPr>
              <w:t>% Total</w:t>
            </w:r>
          </w:p>
        </w:tc>
        <w:tc>
          <w:tcPr>
            <w:tcW w:w="14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7"/>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 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560" w:type="dxa"/>
            <w:vAlign w:val="bottom"/>
          </w:tcPr>
          <w:p>
            <w:pPr>
              <w:spacing w:after="0"/>
              <w:rPr>
                <w:sz w:val="7"/>
                <w:szCs w:val="7"/>
                <w:color w:val="auto"/>
              </w:rPr>
            </w:pPr>
          </w:p>
        </w:tc>
        <w:tc>
          <w:tcPr>
            <w:tcW w:w="3560" w:type="dxa"/>
            <w:vAlign w:val="bottom"/>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center"/>
              <w:ind w:right="140"/>
              <w:spacing w:after="0" w:line="143" w:lineRule="exact"/>
              <w:rPr>
                <w:sz w:val="20"/>
                <w:szCs w:val="20"/>
                <w:color w:val="auto"/>
              </w:rPr>
            </w:pPr>
            <w:r>
              <w:rPr>
                <w:rFonts w:ascii="Arial" w:cs="Arial" w:eastAsia="Arial" w:hAnsi="Arial"/>
                <w:sz w:val="14"/>
                <w:szCs w:val="14"/>
                <w:b w:val="1"/>
                <w:bCs w:val="1"/>
                <w:color w:val="auto"/>
                <w:w w:val="87"/>
              </w:rPr>
              <w:t>Voting</w:t>
            </w: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restart"/>
          </w:tcPr>
          <w:p>
            <w:pPr>
              <w:jc w:val="center"/>
              <w:ind w:right="40"/>
              <w:spacing w:after="0" w:line="143"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36"/>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Power(1)</w:t>
            </w:r>
          </w:p>
        </w:tc>
        <w:tc>
          <w:tcPr>
            <w:tcW w:w="7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Power(1)</w:t>
            </w: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i w:val="1"/>
                <w:iCs w:val="1"/>
                <w:color w:val="auto"/>
                <w:w w:val="92"/>
              </w:rPr>
              <w:t>Named Executive Officers,</w:t>
            </w:r>
          </w:p>
        </w:tc>
        <w:tc>
          <w:tcPr>
            <w:tcW w:w="35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i w:val="1"/>
                <w:iCs w:val="1"/>
                <w:color w:val="auto"/>
              </w:rPr>
              <w:t>Directors and Director-Elect</w:t>
            </w: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David H. Wang(2)</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2,415,281</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21.3</w:t>
            </w:r>
          </w:p>
        </w:tc>
        <w:tc>
          <w:tcPr>
            <w:tcW w:w="7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9"/>
              </w:rPr>
              <w:t>1,422,270</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59.0</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50.6</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w w:val="99"/>
              </w:rPr>
              <w:t>2,415,281</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16.4</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1,422,270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7"/>
              </w:rPr>
              <w:t>59.0</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Haiping Dun(3)</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517,857</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5.4</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517,857</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4.0</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Yinan Xiang(4)</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1,666,170</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2.9</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w w:val="99"/>
              </w:rPr>
              <w:t>1,666,170</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13.1</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Fufa Chen(5)</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127,501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127,501</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Chenming Hu(6)</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39,584</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39,584</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Tracy Liu(7)</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28,095</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28,095</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Min Xu(8)</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33,333</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33,333</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All executive officers, directors and director-elect as a group (9 persons)(9)</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5,468,044</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44.6</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9"/>
              </w:rPr>
              <w:t>1,572,271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65.2</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60.0</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5,468,044</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35.1</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1,572,271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87"/>
              </w:rPr>
              <w:t>65.2</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i w:val="1"/>
                <w:iCs w:val="1"/>
                <w:color w:val="auto"/>
              </w:rPr>
              <w:t>Other 5% Stockholders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Shanghai Science and Technology Venture Capital Co., Ltd.(10)</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1,666,170</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17.8</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2.9</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1,666,170</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13.1</w:t>
            </w: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Pudong Science and Technology (Cayman) Co., Ltd.(11)</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1,119,576</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11.9</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1.9</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1,119,576</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8.8</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H.L. Hsieh(12)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1,019,211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133,334</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1,019,211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7.9</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133,334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Zhangjiang AJ Company Limited(13)</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787,098</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8.4</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787,098</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6.2</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Jian Wang(14)</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552,722</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5.6</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50,001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2.6</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552,722</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4.3</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50,001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6"/>
        </w:trPr>
        <w:tc>
          <w:tcPr>
            <w:tcW w:w="5120" w:type="dxa"/>
            <w:vAlign w:val="bottom"/>
            <w:gridSpan w:val="2"/>
          </w:tcPr>
          <w:p>
            <w:pPr>
              <w:spacing w:after="0"/>
              <w:rPr>
                <w:sz w:val="20"/>
                <w:szCs w:val="20"/>
                <w:color w:val="auto"/>
              </w:rPr>
            </w:pPr>
            <w:r>
              <w:rPr>
                <w:rFonts w:ascii="Arial" w:cs="Arial" w:eastAsia="Arial" w:hAnsi="Arial"/>
                <w:sz w:val="14"/>
                <w:szCs w:val="14"/>
                <w:color w:val="auto"/>
              </w:rPr>
              <w:t>Xinxin (Hongkong) Capital Co., Limited(15)</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833,334</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[footnotes appear on following page]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8"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284480</wp:posOffset>
            </wp:positionV>
            <wp:extent cx="7283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60" w:hanging="456"/>
        <w:spacing w:after="0"/>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Less than 1%.</w:t>
      </w:r>
    </w:p>
    <w:p>
      <w:pPr>
        <w:ind w:left="460" w:right="4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 For more information about the voting rights of Class A and Class B common stock, see “Description of Capital Stock —Common Stock.”</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 s daughter, Sophia Wang, 33,334 are held by Dr. Wang’s spouse, Jing Chen, and 7,334 are held by Dr. Wang and Jing Chen, as Trustees for The David Hui Wang and Jing Chen Family Irrevocable Trust for Wang Children; and (d) 559,677 shares of Class A common stock issuable upon the exercise of options exercisable by November 29, 2017, including 9,676 shares of Class A common stock issuable upon the exercise of an option issued to Dr. Wang’s daughter, Sophia Wang.</w:t>
      </w:r>
    </w:p>
    <w:p>
      <w:pPr>
        <w:spacing w:after="0" w:line="3" w:lineRule="exact"/>
        <w:rPr>
          <w:rFonts w:ascii="Arial" w:cs="Arial" w:eastAsia="Arial" w:hAnsi="Arial"/>
          <w:sz w:val="14"/>
          <w:szCs w:val="14"/>
          <w:color w:val="auto"/>
        </w:rPr>
      </w:pPr>
    </w:p>
    <w:p>
      <w:pPr>
        <w:ind w:left="460" w:right="5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100,000 shares of Class A common stock issuable upon conversion of Class B common stock and 104,166 shares of Class A common stock issuable under options exercisable by November 29, 2017.</w:t>
      </w:r>
    </w:p>
    <w:p>
      <w:pPr>
        <w:spacing w:after="0" w:line="1" w:lineRule="exact"/>
        <w:rPr>
          <w:rFonts w:ascii="Arial" w:cs="Arial" w:eastAsia="Arial" w:hAnsi="Arial"/>
          <w:sz w:val="14"/>
          <w:szCs w:val="14"/>
          <w:color w:val="auto"/>
        </w:rPr>
      </w:pPr>
    </w:p>
    <w:p>
      <w:pPr>
        <w:ind w:left="460" w:right="10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shares owned by Shanghai Science and Technology Venture Co., Ltd., or SSTVC (see note (10) below). As described under “Management—Board of Directors—Director Nomination Rights,” SSTVC has exercised a contractual right by designating Ms. Xiang for nomination to the board of directors and the board has elected Ms. Xiang to the board effective upon the earlier of the consummation of the offering made hereby and November 15, 2017. Ms. Xiang disclaims beneficial ownership of the shares owned by SSTVC except to the extent of her pecuniary interest therein.</w:t>
      </w:r>
    </w:p>
    <w:p>
      <w:pPr>
        <w:spacing w:after="0" w:line="2"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54,167 shares of Class A common stock issuable under options exercisable by November 29, 2017.</w:t>
      </w: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shares issuable under options exercisable by November 29, 2017.</w:t>
      </w: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25,695 shares of Class A common stock issuable under options exercisable by November 29, 2017.</w:t>
      </w: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shares issuable under options exercisable by November 29, 2017.</w:t>
      </w:r>
    </w:p>
    <w:p>
      <w:pPr>
        <w:ind w:left="460" w:right="280" w:hanging="456"/>
        <w:spacing w:after="0" w:line="230"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Includes (a) 1,597,938 shares of Class A common stock issuable upon conversion of Class B common stock, (b) 891,622 shares of Class A common stock issuable under options exercisable by November 29, 2017, and (c) 397,502 shares of Class A common stock issuable upon the exercise of an outstanding warrant. See notes (2) through (8).</w:t>
      </w:r>
    </w:p>
    <w:p>
      <w:pPr>
        <w:ind w:left="460" w:right="2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Weiguo Shen is the Chairman and General Manager of SSTVC and may be deemed to beneficially own the shares held by SSTVC. The address of SSTVC and Mr. Shen is 1634 Huaihai Road, Shanghai, PRC.</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Pudong Science and Technology (Cayman) Co., Ltd., or PST, is a wholly owned subsidiary of Shanghai Pudong High-TechInvestment Co., Ltd. Long Ji is the Corporate Representative of Shanghai Pudong High-Tech Investment Co., Ltd. and may be deemed to beneficially own the shares held by PST. The address of PST, its parent and Mr. Ji is 1158 Zhangdong Road, Building 3, 8th Floor, Zhangjiang Hi-tech Park, Pudong District, Shanghai, PRC.</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133,334 shares of Class A common stock issuable upon conversion of Class B common stock.</w:t>
      </w:r>
    </w:p>
    <w:p>
      <w:pPr>
        <w:ind w:left="460" w:right="200" w:hanging="456"/>
        <w:spacing w:after="0" w:line="249" w:lineRule="auto"/>
        <w:tabs>
          <w:tab w:leader="none" w:pos="4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ind w:left="460" w:right="100" w:hanging="456"/>
        <w:spacing w:after="0" w:line="230"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Includes (a) 50,001 shares of Class A common stock issuable upon conversion of Class B common stock, (b) 20,833 shares of Class A common stock issuable under options exercisable by November 29, 2017 and (c) 397,502 shares of Class A common stock issuable upon the exercise of an outstanding warrant held by Shengxin (Shanghai) Management Consulting Limited Partnership, or SMC. Mr. Wang is the general partner of SMC and may be deemed to beneficially own the warrant and any shares of Class A common stock acquired by SMC upon exercise of the warrant. Mr. Wang is our Vice President, Research and Development and the brother of David H. Wang, our Chair of the Board, Chief Executive Officer and President.</w:t>
      </w:r>
    </w:p>
    <w:p>
      <w:pPr>
        <w:ind w:left="460" w:right="20" w:hanging="456"/>
        <w:spacing w:after="0" w:line="218" w:lineRule="auto"/>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Xinxin (Hongkong) Capital Co., Limited has, but has not yet exercised, a right to designate one individual for nomination and election to the board of directors, as described under “Management— Board of Directors—Director Nomination Rights.” 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 P. R. China.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8"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DESCRIPTION OF CAPITAL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Following completion of this offering, our authorized capital stock will consist of 50,000,000 shares of Class A common stock, $0.0001 par value per share, 2,409,738 shares of Class B common stock, $0.0001 par value per share, and 10,000,000 shares of preferred stock, $0.0001 par value per share. The following description summarizes some of the terms of our restated charter and restated bylaws that will be in effect upon completion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80" w:lineRule="exact"/>
        <w:rPr>
          <w:sz w:val="20"/>
          <w:szCs w:val="20"/>
          <w:color w:val="auto"/>
        </w:rPr>
      </w:pPr>
    </w:p>
    <w:p>
      <w:pPr>
        <w:ind w:right="400" w:firstLine="457"/>
        <w:spacing w:after="0" w:line="287" w:lineRule="auto"/>
        <w:rPr>
          <w:sz w:val="20"/>
          <w:szCs w:val="20"/>
          <w:color w:val="auto"/>
        </w:rPr>
      </w:pPr>
      <w:r>
        <w:rPr>
          <w:rFonts w:ascii="Arial" w:cs="Arial" w:eastAsia="Arial" w:hAnsi="Arial"/>
          <w:sz w:val="17"/>
          <w:szCs w:val="17"/>
          <w:color w:val="auto"/>
        </w:rPr>
        <w:t>As of September 30, 2017, assuming conversion of all outstanding shares of preferred stock into shares of Class A common stock immediately prior to completion of this offering there were outstanding:</w:t>
      </w:r>
    </w:p>
    <w:p>
      <w:pPr>
        <w:spacing w:after="0" w:line="67" w:lineRule="exact"/>
        <w:rPr>
          <w:sz w:val="20"/>
          <w:szCs w:val="20"/>
          <w:color w:val="auto"/>
        </w:rPr>
      </w:pPr>
    </w:p>
    <w:p>
      <w:pPr>
        <w:ind w:left="900" w:hanging="439"/>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9,369,212 shares of Class A common stock outstanding, held of record by 136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2,409,738 shares of Class B common stock outstanding, held of record by 62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exercise of an outstanding warrant;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3,276,074 shares of Class A common stock issuable upon exercise of outstanding stock options.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as otherwise required by Delaware law, at every annual or special meeting of stockholders, holders of Class B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twenty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5" w:lineRule="exact"/>
        <w:rPr>
          <w:sz w:val="20"/>
          <w:szCs w:val="20"/>
          <w:color w:val="auto"/>
        </w:rPr>
      </w:pPr>
    </w:p>
    <w:p>
      <w:pPr>
        <w:ind w:left="900" w:right="280" w:hanging="439"/>
        <w:spacing w:after="0" w:line="287"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6" w:lineRule="exact"/>
        <w:rPr>
          <w:rFonts w:ascii="Arial" w:cs="Arial" w:eastAsia="Arial" w:hAnsi="Arial"/>
          <w:sz w:val="17"/>
          <w:szCs w:val="17"/>
          <w:color w:val="auto"/>
        </w:rPr>
      </w:pPr>
    </w:p>
    <w:p>
      <w:pPr>
        <w:ind w:left="900" w:right="20" w:hanging="439"/>
        <w:spacing w:after="0" w:line="320"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43" w:lineRule="exact"/>
        <w:rPr>
          <w:rFonts w:ascii="Arial" w:cs="Arial" w:eastAsia="Arial" w:hAnsi="Arial"/>
          <w:sz w:val="16"/>
          <w:szCs w:val="16"/>
          <w:color w:val="auto"/>
        </w:rPr>
      </w:pPr>
    </w:p>
    <w:p>
      <w:pPr>
        <w:ind w:left="900" w:hanging="439"/>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we were to seek to declare a dividend or distribution that would be disparate as between the two classes.</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Stockholders do not have the ability to cumulate votes for the election of directors. Our restated charter and restated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80"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applicable to any then outstanding preferred stock, the holders of our outstanding shares of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340"/>
          </w:cols>
          <w:pgMar w:left="240" w:top="448" w:right="31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affirmative vote of the holders of a majority of the outstanding shares of Class A common stock and Class B common stock, each voting separately as a class. At present, we have no plans to issue dividends. See “Dividend Policy.”</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our liquidation, dissolution or winding up, holders of common stock will be entitled to share ratably in the net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outstanding share of Class B common stock is convertible into one share of Class A common stock (a) at any time, at the 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or (b) upon any 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converted or transferred and converted into Class A common stock, the Class B common stock will not be reissued.</w:t>
      </w:r>
    </w:p>
    <w:p>
      <w:pPr>
        <w:spacing w:after="0" w:line="222"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Fully Paid and Nonassessable. </w:t>
      </w:r>
      <w:r>
        <w:rPr>
          <w:rFonts w:ascii="Arial" w:cs="Arial" w:eastAsia="Arial" w:hAnsi="Arial"/>
          <w:sz w:val="17"/>
          <w:szCs w:val="17"/>
          <w:color w:val="auto"/>
        </w:rPr>
        <w:t>All of our outstanding shares of common stock are, and the shares of Class A common stock to be issued in this offering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concurrent private placement will be, fully paid and nonassessable.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Upon completion of this offering, we will have no shares of preferred stock outstanding. Our shares of preferred stock outstanding immediately prior to the completion of this offering will convert automatically into 4,627,577 shares of Class A common stock.</w:t>
      </w:r>
    </w:p>
    <w:p>
      <w:pPr>
        <w:spacing w:after="0" w:line="158"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00"/>
          </w:cols>
          <w:pgMar w:left="240" w:top="447" w:right="25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23"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As of September 30, 2017, options to purchase 1,606,064 shares of Class A common stock were outstanding pursuant under the 2016 Plan at a weighted-average exercise price of $3.61 per share, of which 324,171 were vested and exercisable.</w:t>
      </w:r>
    </w:p>
    <w:p>
      <w:pPr>
        <w:spacing w:after="0" w:line="158"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As of September 30, 2017, options to purchase 66,668 shares of Class A common stock were outstanding under our 1998 Plan at an exercise price of $0.75 per share, all of which were vested and exercisable.</w:t>
      </w:r>
    </w:p>
    <w:p>
      <w:pPr>
        <w:spacing w:after="0" w:line="158" w:lineRule="exact"/>
        <w:rPr>
          <w:sz w:val="20"/>
          <w:szCs w:val="20"/>
          <w:color w:val="auto"/>
        </w:rPr>
      </w:pPr>
    </w:p>
    <w:p>
      <w:pPr>
        <w:ind w:right="760" w:firstLine="457"/>
        <w:spacing w:after="0" w:line="287" w:lineRule="auto"/>
        <w:rPr>
          <w:sz w:val="20"/>
          <w:szCs w:val="20"/>
          <w:color w:val="auto"/>
        </w:rPr>
      </w:pPr>
      <w:r>
        <w:rPr>
          <w:rFonts w:ascii="Arial" w:cs="Arial" w:eastAsia="Arial" w:hAnsi="Arial"/>
          <w:sz w:val="17"/>
          <w:szCs w:val="17"/>
          <w:color w:val="auto"/>
        </w:rPr>
        <w:t>As of September 30, 2017, options to purchase 1,603,342 shares of Class A common stock were outstanding pursuant to certain stand-alone option agreements at a weighted-average exercise price of $1.23 per share, of which 1,150,275 were vested and exercisable.</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In total, as of September 30, 2017, options to purchase 3,276,074 shares of Class A common stock were outstanding at a weighted-average exercise price of $2.39 per share, of which 1,541,114 were vested and exercisable at a weighted-average exercise price of $1.51 per share.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123"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In March 2017, we, ACM Shanghai and SMC entered into a securities purchase agreement pursuant to which, in exchange for the SMC Investment, we issued to SMC a warrant exercisable, for cash or on a cashless basis, to purchase, at any time on or before May 17, 2023, all, but not less than all, of 397,502 shares of Class A common stock at a price of $2.50 per share, for a total exercise price of approximately $3.0 million. Under the securities purchase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 We have granted SMC certain registration rights with respect to Class A common stock issued upon exercise of the warrant, as described under “—Registration Rights”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entered into a registration rights agreement with the following holders:</w:t>
      </w:r>
    </w:p>
    <w:p>
      <w:pPr>
        <w:spacing w:after="0" w:line="130" w:lineRule="exact"/>
        <w:rPr>
          <w:sz w:val="20"/>
          <w:szCs w:val="20"/>
          <w:color w:val="auto"/>
        </w:rPr>
      </w:pPr>
    </w:p>
    <w:p>
      <w:pPr>
        <w:ind w:left="900" w:hanging="439"/>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SMC in connection with the warrant described in “—Warrant” above;</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Ninebell Co., Ltd. in connection with its purchase of 133,334 shares of Class A common stock described in “Management’s Discussion and Analysis of Financial Condition and Results of Operations—Recent Equity Transactions—Strategic Investment in Key Supplier”;</w:t>
      </w:r>
    </w:p>
    <w:p>
      <w:pPr>
        <w:spacing w:after="0" w:line="66" w:lineRule="exact"/>
        <w:rPr>
          <w:rFonts w:ascii="Arial" w:cs="Arial" w:eastAsia="Arial" w:hAnsi="Arial"/>
          <w:sz w:val="17"/>
          <w:szCs w:val="17"/>
          <w:color w:val="auto"/>
        </w:rPr>
      </w:pPr>
    </w:p>
    <w:p>
      <w:pPr>
        <w:ind w:left="900" w:right="100" w:hanging="439"/>
        <w:spacing w:after="0" w:line="271"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Shanghai Science and Technology Venture Capital Co., Ltd., Shanghai Pudong High-Tech Investment Co., Ltd. and Zhangjiang AJ Company Limited in connection with the agreements described in “Management’s Discussion and Analysis of Financial Condition and Results of Operations—Recent Equity Transactions —Acquisition of Outstanding Minority Interests in Our Operating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20"/>
          </w:cols>
          <w:pgMar w:left="240" w:top="448"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160" w:hanging="439"/>
        <w:spacing w:after="0" w:line="287"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Xinxin (Hongkong) Capital Co., Limited and Victorious Way Limited in connection with the concurrent private placement described in “Concurrent Private Placement”;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holders of convertible preferred stock, convertible into 4,627,577 shares of Class A common stock.</w:t>
      </w:r>
    </w:p>
    <w:p>
      <w:pPr>
        <w:spacing w:after="0" w:line="22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In total, all of the intended parties to the registration rights agreement would have the right, under specified circumstances, to require us to register from time to time under the Securities Act up to 8,398,421 shares of Class A common stock.</w:t>
      </w:r>
    </w:p>
    <w:p>
      <w:pPr>
        <w:spacing w:after="0" w:line="158"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184" w:lineRule="exact"/>
        <w:rPr>
          <w:sz w:val="20"/>
          <w:szCs w:val="20"/>
          <w:color w:val="auto"/>
        </w:rPr>
      </w:pPr>
    </w:p>
    <w:p>
      <w:pPr>
        <w:ind w:left="900" w:right="20" w:hanging="439"/>
        <w:spacing w:after="0" w:line="278"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Any time after at least 180 days after the contractual 180-day lockup period described under “Shares Eligible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Sale—Lock-up Agreements”, on no more than four occasions and no more than one occasion in any six-month period, the private placement investors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a private placement investor or (b) on a registration statement on Form S-3, (i) all or a portion of the shares registrable under the registration rights agreement reasonably anticipated to have an aggregate offering price of at least $3,750,000 or (ii) all of the registrable shares then held by a private placement investor. Following such a request, the other holders of registrable shares will have the right to request that we include in such registration statement all or a portion of their registrable shares. Such demand registration rights are held by the private placement investors and granting demand registration rights to any other holders will require the consent of the private placement investors.</w:t>
      </w:r>
    </w:p>
    <w:p>
      <w:pPr>
        <w:spacing w:after="0" w:line="76" w:lineRule="exact"/>
        <w:rPr>
          <w:rFonts w:ascii="Arial" w:cs="Arial" w:eastAsia="Arial" w:hAnsi="Arial"/>
          <w:sz w:val="16"/>
          <w:szCs w:val="16"/>
          <w:color w:val="auto"/>
        </w:rPr>
      </w:pPr>
    </w:p>
    <w:p>
      <w:pPr>
        <w:ind w:left="900" w:right="120" w:hanging="439"/>
        <w:spacing w:after="0" w:line="320"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Incidental Registration Rights</w:t>
      </w:r>
      <w:r>
        <w:rPr>
          <w:rFonts w:ascii="Arial" w:cs="Arial" w:eastAsia="Arial" w:hAnsi="Arial"/>
          <w:sz w:val="16"/>
          <w:szCs w:val="16"/>
          <w:color w:val="auto"/>
        </w:rPr>
        <w:t>. If we propose to register shares of Class A common stock under the Securities Act on a form that may be used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of eligible shares, the holders may request that we register all or a portion of the eligible shares they held by them.</w:t>
      </w:r>
    </w:p>
    <w:p>
      <w:pPr>
        <w:spacing w:after="0" w:line="135"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w:t>
      </w:r>
    </w:p>
    <w:p>
      <w:pPr>
        <w:spacing w:after="0" w:line="12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2"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80"/>
          </w:cols>
          <w:pgMar w:left="240" w:top="448" w:right="2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85" w:lineRule="exact"/>
        <w:rPr>
          <w:sz w:val="20"/>
          <w:szCs w:val="20"/>
          <w:color w:val="auto"/>
        </w:rPr>
      </w:pPr>
    </w:p>
    <w:p>
      <w:pPr>
        <w:ind w:left="900" w:hanging="439"/>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80" w:lineRule="exact"/>
        <w:rPr>
          <w:rFonts w:ascii="Arial" w:cs="Arial" w:eastAsia="Arial" w:hAnsi="Arial"/>
          <w:sz w:val="17"/>
          <w:szCs w:val="17"/>
          <w:color w:val="auto"/>
        </w:rPr>
      </w:pPr>
    </w:p>
    <w:p>
      <w:pPr>
        <w:ind w:left="900" w:right="60" w:hanging="439"/>
        <w:spacing w:after="0" w:line="357" w:lineRule="auto"/>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Charter and Bylaw Provisions</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1" w:lineRule="exact"/>
        <w:rPr>
          <w:sz w:val="20"/>
          <w:szCs w:val="20"/>
          <w:color w:val="auto"/>
        </w:rPr>
      </w:pPr>
    </w:p>
    <w:p>
      <w:pPr>
        <w:jc w:val="both"/>
        <w:ind w:left="900" w:hanging="439"/>
        <w:spacing w:after="0" w:line="312" w:lineRule="auto"/>
        <w:tabs>
          <w:tab w:leader="none" w:pos="900" w:val="left"/>
        </w:tabs>
        <w:numPr>
          <w:ilvl w:val="0"/>
          <w:numId w:val="121"/>
        </w:numPr>
        <w:rPr>
          <w:rFonts w:ascii="Arial" w:cs="Arial" w:eastAsia="Arial" w:hAnsi="Arial"/>
          <w:sz w:val="15"/>
          <w:szCs w:val="15"/>
          <w:color w:val="auto"/>
        </w:rPr>
      </w:pPr>
      <w:r>
        <w:rPr>
          <w:rFonts w:ascii="Arial" w:cs="Arial" w:eastAsia="Arial" w:hAnsi="Arial"/>
          <w:sz w:val="15"/>
          <w:szCs w:val="15"/>
          <w:i w:val="1"/>
          <w:iCs w:val="1"/>
          <w:color w:val="auto"/>
        </w:rPr>
        <w:t xml:space="preserve">Separate Class B Vote for Certain Transactions. </w:t>
      </w:r>
      <w:r>
        <w:rPr>
          <w:rFonts w:ascii="Arial" w:cs="Arial" w:eastAsia="Arial" w:hAnsi="Arial"/>
          <w:sz w:val="15"/>
          <w:szCs w:val="15"/>
          <w:color w:val="auto"/>
        </w:rPr>
        <w:t>Until the first date on which the outstanding shares of Class B common stock represent less than 35%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4" w:lineRule="exact"/>
        <w:rPr>
          <w:rFonts w:ascii="Arial" w:cs="Arial" w:eastAsia="Arial" w:hAnsi="Arial"/>
          <w:sz w:val="15"/>
          <w:szCs w:val="15"/>
          <w:color w:val="auto"/>
        </w:rPr>
      </w:pPr>
    </w:p>
    <w:p>
      <w:pPr>
        <w:jc w:val="both"/>
        <w:ind w:left="900" w:right="160" w:hanging="439"/>
        <w:spacing w:after="0" w:line="288"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68" w:lineRule="exact"/>
        <w:rPr>
          <w:rFonts w:ascii="Arial" w:cs="Arial" w:eastAsia="Arial" w:hAnsi="Arial"/>
          <w:sz w:val="16"/>
          <w:szCs w:val="16"/>
          <w:color w:val="auto"/>
        </w:rPr>
      </w:pPr>
    </w:p>
    <w:p>
      <w:pPr>
        <w:ind w:left="900" w:right="60" w:hanging="439"/>
        <w:spacing w:after="0" w:line="262"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restated charter and restated bylaws do not provide that amendments to our restated charter or restated bylaws by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will require 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8"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charter and restated bylaws provide that stockholders may fill vacant directorships.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00"/>
          </w:cols>
          <w:pgMar w:left="240" w:top="448" w:right="2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line="262" w:lineRule="auto"/>
        <w:rPr>
          <w:sz w:val="20"/>
          <w:szCs w:val="20"/>
          <w:color w:val="auto"/>
        </w:rPr>
      </w:pPr>
      <w:r>
        <w:rPr>
          <w:rFonts w:ascii="Arial" w:cs="Arial" w:eastAsia="Arial" w:hAnsi="Arial"/>
          <w:sz w:val="17"/>
          <w:szCs w:val="17"/>
          <w:color w:val="auto"/>
        </w:rPr>
        <w:t>majority of the combined voting power of common stock, our restated charter and restated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88" w:lineRule="exact"/>
        <w:rPr>
          <w:sz w:val="20"/>
          <w:szCs w:val="20"/>
          <w:color w:val="auto"/>
        </w:rPr>
      </w:pPr>
    </w:p>
    <w:p>
      <w:pPr>
        <w:ind w:left="900" w:right="80" w:hanging="439"/>
        <w:spacing w:after="0" w:line="262"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board of directors will not initially be classified. Our restated charter and restated bylaws provide that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88" w:lineRule="exact"/>
        <w:rPr>
          <w:rFonts w:ascii="Arial" w:cs="Arial" w:eastAsia="Arial" w:hAnsi="Arial"/>
          <w:sz w:val="17"/>
          <w:szCs w:val="17"/>
          <w:color w:val="auto"/>
        </w:rPr>
      </w:pPr>
    </w:p>
    <w:p>
      <w:pPr>
        <w:ind w:left="900" w:right="200" w:hanging="439"/>
        <w:spacing w:after="0" w:line="278"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restated charter provides that stockholders will be able to take action by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0" w:lineRule="exact"/>
        <w:rPr>
          <w:rFonts w:ascii="Arial" w:cs="Arial" w:eastAsia="Arial" w:hAnsi="Arial"/>
          <w:sz w:val="16"/>
          <w:szCs w:val="16"/>
          <w:color w:val="auto"/>
        </w:rPr>
      </w:pPr>
    </w:p>
    <w:p>
      <w:pPr>
        <w:ind w:left="900" w:right="20" w:hanging="439"/>
        <w:spacing w:after="0" w:line="263"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9" w:lineRule="exact"/>
        <w:rPr>
          <w:rFonts w:ascii="Arial" w:cs="Arial" w:eastAsia="Arial" w:hAnsi="Arial"/>
          <w:sz w:val="17"/>
          <w:szCs w:val="17"/>
          <w:color w:val="auto"/>
        </w:rPr>
      </w:pPr>
    </w:p>
    <w:p>
      <w:pPr>
        <w:ind w:left="900" w:right="420" w:hanging="439"/>
        <w:spacing w:after="0" w:line="266"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The board of directors has the authority, without further action by the stockholders, to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80"/>
          </w:cols>
          <w:pgMar w:left="240" w:top="448" w:right="2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 agent and registrar for the Class A common stock will be Computershare Trust Company, N.A.</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123" w:lineRule="exact"/>
        <w:rPr>
          <w:sz w:val="20"/>
          <w:szCs w:val="20"/>
          <w:color w:val="auto"/>
        </w:rPr>
      </w:pPr>
    </w:p>
    <w:p>
      <w:pPr>
        <w:ind w:left="5580" w:right="1959" w:hanging="5122"/>
        <w:spacing w:after="0" w:line="463" w:lineRule="auto"/>
        <w:rPr>
          <w:sz w:val="20"/>
          <w:szCs w:val="20"/>
          <w:color w:val="auto"/>
        </w:rPr>
      </w:pPr>
      <w:r>
        <w:rPr>
          <w:rFonts w:ascii="Arial" w:cs="Arial" w:eastAsia="Arial" w:hAnsi="Arial"/>
          <w:sz w:val="17"/>
          <w:szCs w:val="17"/>
          <w:color w:val="auto"/>
        </w:rPr>
        <w:t>We have applied to list the Class A common stock on the NASDAQ Global Market under the symbol “ACMR.” 134</w:t>
      </w:r>
    </w:p>
    <w:p>
      <w:pPr>
        <w:sectPr>
          <w:pgSz w:w="11900" w:h="16838" w:orient="portrait"/>
          <w:cols w:equalWidth="0" w:num="1">
            <w:col w:w="10219"/>
          </w:cols>
          <w:pgMar w:left="240" w:top="448" w:right="1440"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72"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After this offering and the concurrent private placement, we will have outstanding 12,702,546 shares of Class A common stock and 2,409,738 shares of Class B common stock, based on the number of shares outstanding as of September 30, 2017 and 1,333,334 shares we are selling in the concurrent private placement. This includes 2,000,000 shares of Class A common stock that we are selling in this offering, which shares may be resold 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6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The 13,112,284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under the Securities Act, which are summarized below.</w:t>
      </w:r>
    </w:p>
    <w:p>
      <w:pPr>
        <w:spacing w:after="0" w:line="172"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As a result of the contractual 180-day lock-up period described below and the provisions of Rule 144, these shares will be available for sale in the public market as follows:</w:t>
      </w:r>
    </w:p>
    <w:p>
      <w:pPr>
        <w:spacing w:after="0" w:line="67" w:lineRule="exact"/>
        <w:rPr>
          <w:sz w:val="20"/>
          <w:szCs w:val="20"/>
          <w:color w:val="auto"/>
        </w:rPr>
      </w:pPr>
    </w:p>
    <w:p>
      <w:pPr>
        <w:ind w:left="900" w:hanging="439"/>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453,206 restricted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right="80" w:hanging="439"/>
        <w:spacing w:after="0" w:line="320"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up to 12,659,078 shares will be eligible for sale in the public market beginning 180 days from the date of this prospectus, 8,770,975 of which are held by directors, executive officers and other affiliates and will be subject to volume and other limitations under Rule 144 under the Securities Act.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jc w:val="both"/>
        <w:ind w:right="100" w:firstLine="457"/>
        <w:spacing w:after="0" w:line="266" w:lineRule="auto"/>
        <w:rPr>
          <w:sz w:val="20"/>
          <w:szCs w:val="20"/>
          <w:color w:val="auto"/>
        </w:rPr>
      </w:pPr>
      <w:r>
        <w:rPr>
          <w:rFonts w:ascii="Arial" w:cs="Arial" w:eastAsia="Arial" w:hAnsi="Arial"/>
          <w:sz w:val="17"/>
          <w:szCs w:val="17"/>
          <w:color w:val="auto"/>
        </w:rPr>
        <w:t>We, all of our directors and officers, the purchasers of Class A common stock in the private placement and certain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(a) such person is not deemed to have been one of our affiliates at the time of, or at any time during the ninety days preceding, a sale, and (b)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completion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00"/>
          </w:cols>
          <w:pgMar w:left="240" w:top="448" w:right="25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within any three-month period only a number of shares that does not exceed the greater of either of the following:</w:t>
      </w:r>
    </w:p>
    <w:p>
      <w:pPr>
        <w:spacing w:after="0" w:line="130" w:lineRule="exact"/>
        <w:rPr>
          <w:sz w:val="20"/>
          <w:szCs w:val="20"/>
          <w:color w:val="auto"/>
        </w:rPr>
      </w:pPr>
    </w:p>
    <w:p>
      <w:pPr>
        <w:ind w:left="900" w:right="640" w:hanging="439"/>
        <w:spacing w:after="0" w:line="271"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one percent of the number of common shares then outstanding, which will equal approximately 151,122 shares immediately after this offering assuming no exercise of the underwriters’ option to purchase additional shares, based on the number of common shares outstanding as of September 30, 2017; or</w:t>
      </w:r>
    </w:p>
    <w:p>
      <w:pPr>
        <w:spacing w:after="0" w:line="80"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average weekly trading volume of common shares during the four calendar weeks preceding the filing of a notice on Form 144 with respect to the sale;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In general, Rule 701 permits resales of shares in reliance upon Rule 144 but without compliance with certain restrictions, including the holding period requirement, of Rule 144. Any employee, officer or director of or consultant to us who purchased shares under a written compensatory plan or contract before the date of this prospectus may be entitled to rely on the resale provisions of Rule 701. Rule 701 permits affiliates to sell their shares acquired pursuant to Rule 701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shares issued under Rule 701 are required to wait until ninety days after the date of this prospectus before selling such shares. All Rule 701 shares are, however, subject to lock-up agreements and will only become eligible for sale upon the expiration of the lock-up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Upon completion of this offering, certain holders of shares of Class A common stock (including shares of Class A common stock issuable upon conversion of Class B common stock) will be entitled to incidental, or piggyback, rights with respect to the registration of the sale of these shares under the Securities Act. Upon completion of the private placement, the private placement investors, in addition to the piggyback, registration rights, will have the right, under certain circumstances, to require us to file a registration statement under the Securities Act to register the shares of Class A common stock sold in the private placement.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23" w:lineRule="exact"/>
        <w:rPr>
          <w:sz w:val="20"/>
          <w:szCs w:val="20"/>
          <w:color w:val="auto"/>
        </w:rPr>
      </w:pPr>
    </w:p>
    <w:p>
      <w:pPr>
        <w:ind w:right="180" w:firstLine="457"/>
        <w:spacing w:after="0" w:line="288"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48"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28" w:lineRule="exact"/>
        <w:rPr>
          <w:sz w:val="20"/>
          <w:szCs w:val="20"/>
          <w:color w:val="auto"/>
        </w:rPr>
      </w:pPr>
    </w:p>
    <w:p>
      <w:pPr>
        <w:jc w:val="both"/>
        <w:ind w:right="180" w:firstLine="457"/>
        <w:spacing w:after="0" w:line="295" w:lineRule="auto"/>
        <w:rPr>
          <w:sz w:val="20"/>
          <w:szCs w:val="20"/>
          <w:color w:val="auto"/>
        </w:rPr>
      </w:pPr>
      <w:r>
        <w:rPr>
          <w:rFonts w:ascii="Arial" w:cs="Arial" w:eastAsia="Arial" w:hAnsi="Arial"/>
          <w:sz w:val="15"/>
          <w:szCs w:val="15"/>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w:t>
      </w:r>
    </w:p>
    <w:p>
      <w:pPr>
        <w:spacing w:after="0" w:line="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66"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1" w:lineRule="exact"/>
        <w:rPr>
          <w:sz w:val="20"/>
          <w:szCs w:val="20"/>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persons subject to the alternative minimum or net investment income tax;</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the common stock (except to the extent specifically set forth below);</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persons who hold Class A common stock as a position in a “hedging transaction,” “straddle” “conversion transaction” or other risk reduction transaction;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persons who do not hold Class A common stock as a capital asset within the meaning of Internal Revenue Code Section 1221; or</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persons deemed to sell Class A common stock under the constructive sale provisions of the Internal Revenue Code.</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66"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340"/>
          </w:cols>
          <w:pgMar w:left="240" w:top="448" w:right="31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23" w:lineRule="exact"/>
        <w:rPr>
          <w:sz w:val="20"/>
          <w:szCs w:val="20"/>
          <w:color w:val="auto"/>
        </w:rPr>
      </w:pPr>
    </w:p>
    <w:p>
      <w:pPr>
        <w:ind w:right="500" w:firstLine="457"/>
        <w:spacing w:after="0" w:line="357" w:lineRule="auto"/>
        <w:rPr>
          <w:sz w:val="20"/>
          <w:szCs w:val="20"/>
          <w:color w:val="auto"/>
        </w:rPr>
      </w:pPr>
      <w:r>
        <w:rPr>
          <w:rFonts w:ascii="Arial" w:cs="Arial" w:eastAsia="Arial" w:hAnsi="Arial"/>
          <w:sz w:val="15"/>
          <w:szCs w:val="15"/>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21" w:lineRule="exact"/>
        <w:rPr>
          <w:sz w:val="20"/>
          <w:szCs w:val="20"/>
          <w:color w:val="auto"/>
        </w:rPr>
      </w:pPr>
    </w:p>
    <w:p>
      <w:pPr>
        <w:ind w:left="900" w:hanging="439"/>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U.S. or under the laws of the U.S.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8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7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6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42" w:lineRule="exact"/>
        <w:rPr>
          <w:sz w:val="20"/>
          <w:szCs w:val="20"/>
          <w:color w:val="auto"/>
        </w:rPr>
      </w:pPr>
    </w:p>
    <w:p>
      <w:pPr>
        <w:ind w:left="900" w:right="600" w:hanging="439"/>
        <w:spacing w:after="0" w:line="287"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00"/>
          </w:cols>
          <w:pgMar w:left="240" w:top="448" w:right="2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360" w:hanging="439"/>
        <w:spacing w:after="0" w:line="287"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you are an individual who is present in the U.S. for a period or periods aggregating 183 days or more during the calendar year in which the sale or disposition occurs and certain other conditions are met; or</w:t>
      </w:r>
    </w:p>
    <w:p>
      <w:pPr>
        <w:spacing w:after="0" w:line="66" w:lineRule="exact"/>
        <w:rPr>
          <w:rFonts w:ascii="Arial" w:cs="Arial" w:eastAsia="Arial" w:hAnsi="Arial"/>
          <w:sz w:val="17"/>
          <w:szCs w:val="17"/>
          <w:color w:val="auto"/>
        </w:rPr>
      </w:pPr>
    </w:p>
    <w:p>
      <w:pPr>
        <w:ind w:left="900" w:right="160" w:hanging="439"/>
        <w:spacing w:after="0" w:line="271"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72"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Class A common stock.</w:t>
      </w:r>
    </w:p>
    <w:p>
      <w:pPr>
        <w:spacing w:after="0" w:line="181"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Taxes</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Withholding taxes may be imposed under Internal Revenue Code Sections 1471 to 1474, which are commonly referred to as the Foreign Account Tax Compliance Act or FATCA, on certain types of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48"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 (a) the foreign financial institution undertakes certain diligence and reporting obligations, (b) the non-financial foreign entity either certifies it does not have any “substantial United States owners” (as defined in the Internal Revenue Code) or furnishes identifying information regarding each substantial United States owner, or (c)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(a)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5"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35"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Class A common stock.</w:t>
      </w:r>
    </w:p>
    <w:p>
      <w:pPr>
        <w:spacing w:after="0" w:line="152" w:lineRule="exact"/>
        <w:rPr>
          <w:sz w:val="20"/>
          <w:szCs w:val="20"/>
          <w:color w:val="auto"/>
        </w:rPr>
      </w:pPr>
    </w:p>
    <w:p>
      <w:pPr>
        <w:ind w:right="120" w:firstLine="457"/>
        <w:spacing w:after="0" w:line="365"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340"/>
          </w:cols>
          <w:pgMar w:left="240" w:top="448" w:right="31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70" w:lineRule="exact"/>
        <w:rPr>
          <w:sz w:val="20"/>
          <w:szCs w:val="20"/>
          <w:color w:val="auto"/>
        </w:rPr>
      </w:pPr>
    </w:p>
    <w:p>
      <w:pPr>
        <w:ind w:left="1840"/>
        <w:spacing w:after="0"/>
        <w:tabs>
          <w:tab w:leader="none" w:pos="846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11430</wp:posOffset>
            </wp:positionV>
            <wp:extent cx="4925060" cy="132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Roth Capital Partners, LLC</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Craig-Hallum Capital Group LLC</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40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25060" cy="140970"/>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15875</wp:posOffset>
            </wp:positionV>
            <wp:extent cx="6870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7070" cy="825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33020</wp:posOffset>
            </wp:positionV>
            <wp:extent cx="6870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45"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2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have granted the underwriters an option, exercisable for thirty days from the date of this prospectus, to purchase up to an aggregate of 300,000 additional 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Commissions and Expenses</w:t>
      </w:r>
    </w:p>
    <w:p>
      <w:pPr>
        <w:spacing w:after="0" w:line="123"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share to certain brokers and dealers.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81"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Total Without</w:t>
            </w:r>
          </w:p>
        </w:tc>
        <w:tc>
          <w:tcPr>
            <w:tcW w:w="82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Total With</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0"/>
              </w:rPr>
              <w:t>Exercise of Over-</w:t>
            </w:r>
          </w:p>
        </w:tc>
        <w:tc>
          <w:tcPr>
            <w:tcW w:w="1900" w:type="dxa"/>
            <w:vAlign w:val="bottom"/>
            <w:gridSpan w:val="3"/>
          </w:tcPr>
          <w:p>
            <w:pPr>
              <w:jc w:val="center"/>
              <w:ind w:left="682"/>
              <w:spacing w:after="0" w:line="143" w:lineRule="exact"/>
              <w:rPr>
                <w:sz w:val="20"/>
                <w:szCs w:val="20"/>
                <w:color w:val="auto"/>
              </w:rPr>
            </w:pPr>
            <w:r>
              <w:rPr>
                <w:rFonts w:ascii="Arial" w:cs="Arial" w:eastAsia="Arial" w:hAnsi="Arial"/>
                <w:sz w:val="14"/>
                <w:szCs w:val="14"/>
                <w:b w:val="1"/>
                <w:bCs w:val="1"/>
                <w:color w:val="auto"/>
                <w:w w:val="88"/>
              </w:rPr>
              <w:t>Exercise of Over-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 Share</w:t>
            </w:r>
          </w:p>
        </w:tc>
        <w:tc>
          <w:tcPr>
            <w:tcW w:w="8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Allotment</w:t>
            </w:r>
          </w:p>
        </w:tc>
        <w:tc>
          <w:tcPr>
            <w:tcW w:w="820" w:type="dxa"/>
            <w:vAlign w:val="bottom"/>
          </w:tcPr>
          <w:p>
            <w:pPr>
              <w:spacing w:after="0"/>
              <w:rPr>
                <w:sz w:val="12"/>
                <w:szCs w:val="12"/>
                <w:color w:val="auto"/>
              </w:rPr>
            </w:pPr>
          </w:p>
        </w:tc>
        <w:tc>
          <w:tcPr>
            <w:tcW w:w="10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2"/>
              </w:rPr>
              <w:t>Allotment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0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2660" w:type="dxa"/>
            <w:vAlign w:val="bottom"/>
            <w:gridSpan w:val="2"/>
          </w:tcPr>
          <w:p>
            <w:pPr>
              <w:ind w:left="2040"/>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869"/>
              <w:spacing w:after="0"/>
              <w:rPr>
                <w:sz w:val="20"/>
                <w:szCs w:val="20"/>
                <w:color w:val="auto"/>
              </w:rPr>
            </w:pPr>
            <w:r>
              <w:rPr>
                <w:rFonts w:ascii="Arial" w:cs="Arial" w:eastAsia="Arial" w:hAnsi="Arial"/>
                <w:sz w:val="17"/>
                <w:szCs w:val="17"/>
                <w:color w:val="auto"/>
              </w:rPr>
              <w:t>$</w:t>
            </w:r>
          </w:p>
        </w:tc>
        <w:tc>
          <w:tcPr>
            <w:tcW w:w="1860" w:type="dxa"/>
            <w:vAlign w:val="bottom"/>
            <w:gridSpan w:val="2"/>
          </w:tcPr>
          <w:p>
            <w:pPr>
              <w:jc w:val="right"/>
              <w:ind w:right="889"/>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40" w:type="dxa"/>
            <w:vAlign w:val="bottom"/>
          </w:tcPr>
          <w:p>
            <w:pPr>
              <w:jc w:val="right"/>
              <w:ind w:right="673"/>
              <w:spacing w:after="0"/>
              <w:rPr>
                <w:sz w:val="20"/>
                <w:szCs w:val="20"/>
                <w:color w:val="auto"/>
              </w:rPr>
            </w:pPr>
            <w:r>
              <w:rPr>
                <w:rFonts w:ascii="Arial" w:cs="Arial" w:eastAsia="Arial" w:hAnsi="Arial"/>
                <w:sz w:val="17"/>
                <w:szCs w:val="17"/>
                <w:color w:val="auto"/>
              </w:rPr>
              <w:t>141</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hanging="456"/>
        <w:spacing w:after="0" w:line="320"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Does not include the warrants to purchase shares of Class A common stock equal to 4.0% of the number of shares sold in the offering, excluding any shares purchased by PRC-based investors identified by us and the option to purchase additional shares, to be issued to the underwriters at the closing.</w:t>
      </w:r>
    </w:p>
    <w:p>
      <w:pPr>
        <w:spacing w:after="0" w:line="135"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In addition, we have agreed to pay a placement fee of 3.5% of the gross proceeds of the concurrent private placement to the placement agents, who are the same firms as are serving as underwriters of the offering made hereby.</w:t>
      </w:r>
    </w:p>
    <w:p>
      <w:pPr>
        <w:spacing w:after="0" w:line="158"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We estimate that expenses payable by us in connection with this offering, other than the underwriting discounts and commissions referred to above, will be approximately $2.8 million. We have agreed to reimburse the underwriters at closing for (a) all reasonable attorneys’ fees and expenses not to exceed $100,000 and (b) all other reasonable out-of-pocket fees and expenses.</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addition, we have agreed to issue warrants to the underwriters to purchase a number of shares of Class A common stock equal to 4.0% of the number of shares sold in this offering, excluding any shares purchased by PRC-based investors identified by us and the option to purchase additional shares. These warrants will be exercisable upon issuance, will have an exercise price equal to 110% of the initial public offering price and will terminate on the fifth anniversary of the effective date of the registration statement of which this prospectus is a part. The warrants and the underlying shares of Class A common stock have been deemed compensation by the Financial Industry Regulatory Authority, Inc., or FINRA, and are therefore subject to FINRA Rule 5110(g)(1). In accordance with FINRA Rule 5110(g)(1), neither the underwriter warrants nor any of our shares issued upon exercise of the underwriter warrants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underwriter warrants are being issued, subject to certain exceptions.</w:t>
      </w:r>
    </w:p>
    <w:p>
      <w:pPr>
        <w:spacing w:after="0" w:line="16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67" w:lineRule="exact"/>
        <w:rPr>
          <w:sz w:val="20"/>
          <w:szCs w:val="20"/>
          <w:color w:val="auto"/>
        </w:rPr>
      </w:pPr>
    </w:p>
    <w:p>
      <w:pPr>
        <w:ind w:left="900" w:hanging="439"/>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5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142</w:t>
      </w:r>
    </w:p>
    <w:p>
      <w:pPr>
        <w:sectPr>
          <w:pgSz w:w="11900" w:h="16838" w:orient="portrait"/>
          <w:cols w:equalWidth="0" w:num="1">
            <w:col w:w="11420"/>
          </w:cols>
          <w:pgMar w:left="240" w:top="447"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84"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1" w:lineRule="exact"/>
        <w:rPr>
          <w:rFonts w:ascii="Arial" w:cs="Arial" w:eastAsia="Arial" w:hAnsi="Arial"/>
          <w:sz w:val="16"/>
          <w:szCs w:val="16"/>
          <w:color w:val="auto"/>
        </w:rPr>
      </w:pPr>
    </w:p>
    <w:p>
      <w:pPr>
        <w:ind w:left="900" w:right="20" w:hanging="439"/>
        <w:spacing w:after="0" w:line="261"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9" w:lineRule="exact"/>
        <w:rPr>
          <w:rFonts w:ascii="Arial" w:cs="Arial" w:eastAsia="Arial" w:hAnsi="Arial"/>
          <w:sz w:val="17"/>
          <w:szCs w:val="17"/>
          <w:color w:val="auto"/>
        </w:rPr>
      </w:pPr>
    </w:p>
    <w:p>
      <w:pPr>
        <w:ind w:left="900" w:right="180" w:hanging="439"/>
        <w:spacing w:after="0" w:line="320"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3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the Class A common stock on the Nasdaq Global Market under the symbol “ACMR.”</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23"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00"/>
          </w:cols>
          <w:pgMar w:left="240" w:top="448" w:right="2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57" w:lineRule="exact"/>
        <w:rPr>
          <w:sz w:val="20"/>
          <w:szCs w:val="20"/>
          <w:color w:val="auto"/>
        </w:rPr>
      </w:pPr>
    </w:p>
    <w:p>
      <w:pPr>
        <w:ind w:left="900" w:hanging="439"/>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any other circumstances which do not require any person to publish a prospectus pursuant to Article 3 of the Prospectus Directive.</w:t>
      </w:r>
    </w:p>
    <w:p>
      <w:pPr>
        <w:spacing w:after="0" w:line="22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Israel</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7"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This prospectus is not an approved prospectus for purposes of the UK Prospectus Rules, as implemented under the Prospectus Directive, and has not been approved under section 21 of the UK Financial Services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8"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Markets Act 2000, as amended, or FSMA, by a person authorized under FSMA. The financial promotions contained in this prospectus are directed at, and this prospectus is only being distributed to, (a) persons who receive this prospectus outside of the United Kingdom, (b) persons in the United Kingdom who fall within the exemptions under articles 19 (investment professionals) and 49(2)(a) to (d) (high net worth companies, unincorporated associations, etc.) of the Financial Services and Markets Act 2000 (Financial Promotion) Order 2005 (the “Order”), and (c) 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warranted and agreed that:</w:t>
      </w:r>
    </w:p>
    <w:p>
      <w:pPr>
        <w:spacing w:after="0" w:line="130" w:lineRule="exact"/>
        <w:rPr>
          <w:sz w:val="20"/>
          <w:szCs w:val="20"/>
          <w:color w:val="auto"/>
        </w:rPr>
      </w:pPr>
    </w:p>
    <w:p>
      <w:pPr>
        <w:ind w:left="900" w:right="20" w:hanging="439"/>
        <w:spacing w:after="0" w:line="271"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0"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of Class A common stock in, from or otherwise involving the United Kingdom.</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1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People’s Republic of China</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one or more of the underwriters, or by their affiliates. Other than this prospectus in electronic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448"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48"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BDO China Shu Lun Pan Certified Public Accountants LLP, our independent registered public accounting firm in the PRC, has audited our consolidated financial statements at, and for the years ended, December 31, 2016 and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7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8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8"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gridSpan w:val="4"/>
            <w:vMerge w:val="restart"/>
          </w:tcPr>
          <w:p>
            <w:pPr>
              <w:spacing w:after="0"/>
              <w:rPr>
                <w:rFonts w:ascii="Arial" w:cs="Arial" w:eastAsia="Arial" w:hAnsi="Arial"/>
                <w:sz w:val="17"/>
                <w:szCs w:val="17"/>
                <w:color w:val="0000EE"/>
                <w:w w:val="93"/>
              </w:rPr>
            </w:pPr>
            <w:hyperlink w:anchor="page152">
              <w:r>
                <w:rPr>
                  <w:rFonts w:ascii="Arial" w:cs="Arial" w:eastAsia="Arial" w:hAnsi="Arial"/>
                  <w:sz w:val="17"/>
                  <w:szCs w:val="17"/>
                  <w:color w:val="0000EE"/>
                  <w:w w:val="93"/>
                </w:rPr>
                <w:t>Report of Independent Registered Public Accounting Firm</w:t>
              </w:r>
            </w:hyperlink>
          </w:p>
        </w:tc>
        <w:tc>
          <w:tcPr>
            <w:tcW w:w="7000" w:type="dxa"/>
            <w:vAlign w:val="bottom"/>
            <w:gridSpan w:val="6"/>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0000EE"/>
            </w:tcBorders>
            <w:gridSpan w:val="4"/>
            <w:vMerge w:val="continue"/>
          </w:tcPr>
          <w:p>
            <w:pPr>
              <w:spacing w:after="0"/>
              <w:rPr>
                <w:sz w:val="14"/>
                <w:szCs w:val="14"/>
                <w:color w:val="auto"/>
              </w:rPr>
            </w:pPr>
          </w:p>
        </w:tc>
        <w:tc>
          <w:tcPr>
            <w:tcW w:w="7000" w:type="dxa"/>
            <w:vAlign w:val="bottom"/>
            <w:gridSpan w:val="6"/>
            <w:vMerge w:val="continue"/>
          </w:tcPr>
          <w:p>
            <w:pPr>
              <w:spacing w:after="0"/>
              <w:rPr>
                <w:sz w:val="14"/>
                <w:szCs w:val="14"/>
                <w:color w:val="auto"/>
              </w:rPr>
            </w:pPr>
          </w:p>
        </w:tc>
        <w:tc>
          <w:tcPr>
            <w:tcW w:w="30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7"/>
                <w:szCs w:val="17"/>
                <w:color w:val="auto"/>
                <w:w w:val="86"/>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53">
              <w:r>
                <w:rPr>
                  <w:rFonts w:ascii="Arial" w:cs="Arial" w:eastAsia="Arial" w:hAnsi="Arial"/>
                  <w:sz w:val="17"/>
                  <w:szCs w:val="17"/>
                  <w:color w:val="0000EE"/>
                </w:rPr>
                <w:t>Consolidated Balance Sheets as of June 30, 2017 (unaudited) and December 31, 2016 and 2015</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6"/>
              </w:rPr>
            </w:pPr>
            <w:hyperlink w:anchor="page154">
              <w:r>
                <w:rPr>
                  <w:rFonts w:ascii="Arial" w:cs="Arial" w:eastAsia="Arial" w:hAnsi="Arial"/>
                  <w:sz w:val="17"/>
                  <w:szCs w:val="17"/>
                  <w:color w:val="0000EE"/>
                  <w:w w:val="96"/>
                </w:rPr>
                <w:t>Consolidated Statements of Operations and Comprehensive Income (Loss) for the Six Months Ended June 30, 2017 and 2016 (unaudited) and the Years</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25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0"/>
              </w:rPr>
            </w:pPr>
            <w:hyperlink w:anchor="page154">
              <w:r>
                <w:rPr>
                  <w:rFonts w:ascii="Arial" w:cs="Arial" w:eastAsia="Arial" w:hAnsi="Arial"/>
                  <w:sz w:val="17"/>
                  <w:szCs w:val="17"/>
                  <w:color w:val="0000EE"/>
                  <w:w w:val="90"/>
                </w:rPr>
                <w:t>Ended December 31, 2016 and 2015</w:t>
              </w:r>
            </w:hyperlink>
          </w:p>
        </w:tc>
        <w:tc>
          <w:tcPr>
            <w:tcW w:w="7840" w:type="dxa"/>
            <w:vAlign w:val="bottom"/>
            <w:tcBorders>
              <w:top w:val="single" w:sz="8" w:color="0000EE"/>
            </w:tcBorders>
            <w:gridSpan w:val="6"/>
          </w:tcPr>
          <w:p>
            <w:pPr>
              <w:spacing w:after="0"/>
              <w:rPr>
                <w:sz w:val="16"/>
                <w:szCs w:val="16"/>
                <w:color w:val="auto"/>
              </w:rPr>
            </w:pPr>
          </w:p>
        </w:tc>
        <w:tc>
          <w:tcPr>
            <w:tcW w:w="520" w:type="dxa"/>
            <w:vAlign w:val="bottom"/>
            <w:gridSpan w:val="2"/>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7"/>
              </w:rPr>
            </w:pPr>
            <w:hyperlink w:anchor="page155">
              <w:r>
                <w:rPr>
                  <w:rFonts w:ascii="Arial" w:cs="Arial" w:eastAsia="Arial" w:hAnsi="Arial"/>
                  <w:sz w:val="17"/>
                  <w:szCs w:val="17"/>
                  <w:color w:val="0000EE"/>
                  <w:w w:val="97"/>
                </w:rPr>
                <w:t>Consolidated Statements of Changes in Redeemable Convertible Preferred Stock and Stockholders’ Equity (Deficit) for the Six Months Ended June 30,</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476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0"/>
              </w:rPr>
            </w:pPr>
            <w:hyperlink w:anchor="page155">
              <w:r>
                <w:rPr>
                  <w:rFonts w:ascii="Arial" w:cs="Arial" w:eastAsia="Arial" w:hAnsi="Arial"/>
                  <w:sz w:val="17"/>
                  <w:szCs w:val="17"/>
                  <w:color w:val="0000EE"/>
                  <w:w w:val="90"/>
                </w:rPr>
                <w:t>2017 (unaudited) and the Years Ended December 31, 2016 and 2015</w:t>
              </w:r>
            </w:hyperlink>
          </w:p>
        </w:tc>
        <w:tc>
          <w:tcPr>
            <w:tcW w:w="5600" w:type="dxa"/>
            <w:vAlign w:val="bottom"/>
            <w:tcBorders>
              <w:top w:val="single" w:sz="8" w:color="0000EE"/>
            </w:tcBorders>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189"/>
        </w:trPr>
        <w:tc>
          <w:tcPr>
            <w:tcW w:w="10720" w:type="dxa"/>
            <w:vAlign w:val="bottom"/>
            <w:tcBorders>
              <w:bottom w:val="single" w:sz="8" w:color="0000EE"/>
            </w:tcBorders>
            <w:gridSpan w:val="9"/>
          </w:tcPr>
          <w:p>
            <w:pPr>
              <w:spacing w:after="0" w:line="189" w:lineRule="exact"/>
              <w:rPr>
                <w:rFonts w:ascii="Arial" w:cs="Arial" w:eastAsia="Arial" w:hAnsi="Arial"/>
                <w:sz w:val="17"/>
                <w:szCs w:val="17"/>
                <w:color w:val="0000EE"/>
                <w:w w:val="91"/>
              </w:rPr>
            </w:pPr>
            <w:hyperlink w:anchor="page156">
              <w:r>
                <w:rPr>
                  <w:rFonts w:ascii="Arial" w:cs="Arial" w:eastAsia="Arial" w:hAnsi="Arial"/>
                  <w:sz w:val="17"/>
                  <w:szCs w:val="17"/>
                  <w:color w:val="0000EE"/>
                  <w:w w:val="91"/>
                </w:rPr>
                <w:t>Consolidated Statements of Cash Flows for the Six Months Ended June 30, 2017 and 2016 (unaudited) and the Years Ended December 31, 2016 and 2015</w:t>
              </w:r>
            </w:hyperlink>
          </w:p>
        </w:tc>
        <w:tc>
          <w:tcPr>
            <w:tcW w:w="360" w:type="dxa"/>
            <w:vAlign w:val="bottom"/>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Notes to Consolidated Financial Statements</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371"/>
        </w:trPr>
        <w:tc>
          <w:tcPr>
            <w:tcW w:w="18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40" w:type="dxa"/>
            <w:vAlign w:val="bottom"/>
            <w:gridSpan w:val="5"/>
          </w:tcPr>
          <w:p>
            <w:pPr>
              <w:ind w:left="66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0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have audited the accompanying consolidated balance sheets of ACM Research, Inc. and its subsidiaries (the “Company”) as of December 31, 2016 and 2015, and the related consolidated statements of operations and comprehensive income, changes in redeemable convertible preferred stock and stockholders’ equity (deficit), and cash flows for the years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at December 31, 2016 and 2015, and the results of its operations and its cash flows for the years then ended, in conformity with accounting principles generally accepted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2017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8"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 31,</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3"/>
            <w:vMerge w:val="restart"/>
          </w:tcPr>
          <w:p>
            <w:pPr>
              <w:jc w:val="right"/>
              <w:ind w:right="199"/>
              <w:spacing w:after="0" w:line="130" w:lineRule="exact"/>
              <w:rPr>
                <w:sz w:val="20"/>
                <w:szCs w:val="20"/>
                <w:color w:val="auto"/>
              </w:rPr>
            </w:pPr>
            <w:r>
              <w:rPr>
                <w:rFonts w:ascii="Arial" w:cs="Arial" w:eastAsia="Arial" w:hAnsi="Arial"/>
                <w:sz w:val="12"/>
                <w:szCs w:val="12"/>
                <w:b w:val="1"/>
                <w:bCs w:val="1"/>
                <w:color w:val="auto"/>
                <w:w w:val="87"/>
              </w:rPr>
              <w:t>June 30,</w:t>
            </w:r>
          </w:p>
        </w:tc>
        <w:tc>
          <w:tcPr>
            <w:tcW w:w="6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restart"/>
          </w:tcPr>
          <w:p>
            <w:pPr>
              <w:jc w:val="right"/>
              <w:ind w:right="140"/>
              <w:spacing w:after="0" w:line="130" w:lineRule="exact"/>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89"/>
              </w:rPr>
              <w:t>2015</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5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2"/>
              </w:rPr>
              <w:t>(unaudited)</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88"/>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7"/>
          </w:tcPr>
          <w:p>
            <w:pPr>
              <w:jc w:val="center"/>
              <w:ind w:right="20"/>
              <w:spacing w:after="0" w:line="130" w:lineRule="exact"/>
              <w:rPr>
                <w:sz w:val="20"/>
                <w:szCs w:val="20"/>
                <w:color w:val="auto"/>
              </w:rPr>
            </w:pPr>
            <w:r>
              <w:rPr>
                <w:rFonts w:ascii="Arial" w:cs="Arial" w:eastAsia="Arial" w:hAnsi="Arial"/>
                <w:sz w:val="12"/>
                <w:szCs w:val="12"/>
                <w:i w:val="1"/>
                <w:iCs w:val="1"/>
                <w:color w:val="auto"/>
                <w:w w:val="89"/>
              </w:rPr>
              <w:t>(in thousands, except share</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2"/>
                <w:szCs w:val="12"/>
                <w:i w:val="1"/>
                <w:iCs w:val="1"/>
                <w:color w:val="auto"/>
                <w:w w:val="91"/>
              </w:rPr>
              <w:t>and per share data)</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shd w:val="clear" w:color="auto" w:fill="CCEEFF"/>
          </w:tcPr>
          <w:p>
            <w:pPr>
              <w:ind w:left="4160"/>
              <w:spacing w:after="0" w:line="132"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13,206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10,119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w w:val="96"/>
              </w:rPr>
              <w:t>Accounts receivable, less allowance for doubtful accounts of $0 (unaudited), $0 and $116 as of June 30, 2017 and December 31, 2016 and 2015, respectively (note 3)</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12,310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16,026</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w w:val="92"/>
              </w:rPr>
              <w:t>12,070</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12,310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Other receivables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2,220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1,763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1,224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2,220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Inventory (note 4)</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14,106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11,666</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9,146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14,106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Prepaid expenses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1,382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720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Other current assets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816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53</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7</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current 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44,040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40,347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27,948</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44,040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Property, plant and equipment, net (note 5)</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2,233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2,262</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1,770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Deferred tax assets (note 17)</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1,123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1,841</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2,432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1,123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47,437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44,467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32,151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47,437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60"/>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Short-term borrowings (note 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4,584</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4,761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6,854</w:t>
            </w:r>
          </w:p>
        </w:tc>
        <w:tc>
          <w:tcPr>
            <w:tcW w:w="2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4,584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w w:val="98"/>
              </w:rPr>
              <w:t>Notes payable (including related-party notes of $4 (unaudited), $4 and $768 as of June 30, 2017 and December 31, 2016 and 2015, respectively (note 12)) (note 8)</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2,837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Investors’ deposits (note 9)</w:t>
            </w:r>
          </w:p>
        </w:tc>
        <w:tc>
          <w:tcPr>
            <w:tcW w:w="60" w:type="dxa"/>
            <w:vAlign w:val="bottom"/>
          </w:tcPr>
          <w:p>
            <w:pPr>
              <w:spacing w:after="0"/>
              <w:rPr>
                <w:sz w:val="11"/>
                <w:szCs w:val="11"/>
                <w:color w:val="auto"/>
              </w:rPr>
            </w:pPr>
          </w:p>
        </w:tc>
        <w:tc>
          <w:tcPr>
            <w:tcW w:w="700" w:type="dxa"/>
            <w:vAlign w:val="bottom"/>
            <w:gridSpan w:val="3"/>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2,902</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Warrant liability (note 10)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2,970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Accounts payable</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8,225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5,173</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2,094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8,225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Advances from customers</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4,635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Income taxes payable</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Other payables and accrued expenses (including amounts due to a related-party of $1,982 (unaudited), $1,883 and $2,070 as of June 30, 2017 and December 31, 2016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2015, respectively (note 12)) (note 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current liabilities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17,069</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20,567</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Other long-term liabilities (note 11)</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7,276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6,879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7,187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7,276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w:t>
            </w: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23,948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27,754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Commitments and contingencies (Note 18)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Redeemable convertible preferred stock, with par value $0.0001 as of June 30, 2017 and December 31, 2016 and without par value as of December 31, 2015:</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A: 385,000 shares authorized, issued and outstanding as of June 30, 2017 (unaudited) and December 31, 2016 and 2015 (liquidation value of $308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(unaudited) and December 31, 2016 and 2015); 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288</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4"/>
              </w:rPr>
              <w:t>Series B: 1,572,000 shares authorized, issued and outstanding as of June 30, 2017 (unaudited) and December 31, 2016 and 2015 (liquidation value of $1,572 at June 30,</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2017 (unaudited) and December 31, 2016 and 2015)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1,572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1,572</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7"/>
              </w:rPr>
              <w:t>Series C: 1,360,962 shares authorized, issued and outstanding as of June 30, 2017 (unaudited) and December 31, 2016 (liquidation value of $2,041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4"/>
              </w:rPr>
              <w:t>(unaudited) and December 31, 2016); 1,400,000 shares authorized and 1,360,962 shares issued and outstanding as of December 31, 2015 (liquidation value of $2,041);</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D: 2,659,975 shares authorized and 1,326,642 shares issued and outstanding as of June 30, 2017 (unaudited) and December 31, 2016 (liquidation value of $4,975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2"/>
              </w:rPr>
              <w:t>June 30, 2017 (unaudited) and December 31, 2016); 4,800,000 shares authorized and 1,326,642 shares issued and outstanding as of December 31, 2015 (liquidation value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of $4,975);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4,975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4,975</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4,975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E: 10,718,530 shares authorized and no shares issued or outstanding as of June 30, 2017 (unaudited) and December 31, 2016; and no shares authorized, issued or</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outstanding as of December 31, 2015 and pro forma as of June 30, 2017 (unaudited)</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F: 6,000,000 shares authorized and 3,663,254 shares issued and outstanding as of June 30, 2017 (unaudited) and December 31, 2016 (liquidation value of $9,158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7"/>
              </w:rPr>
              <w:t>June 30, 2017 (unaudited) and December 31, 2016); and no shares authorized, issued or outstanding as of December 31, 2015 and pro forma as of June 30, 2017</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(unaudited)</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9,158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9,158</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redeemable convertible preferred stock (note 15)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18,034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18,034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8,876</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8800" w:type="dxa"/>
            <w:vAlign w:val="bottom"/>
            <w:gridSpan w:val="2"/>
          </w:tcPr>
          <w:p>
            <w:pPr>
              <w:spacing w:after="0"/>
              <w:rPr>
                <w:sz w:val="20"/>
                <w:szCs w:val="20"/>
                <w:color w:val="auto"/>
              </w:rPr>
            </w:pPr>
            <w:r>
              <w:rPr>
                <w:rFonts w:ascii="Arial" w:cs="Arial" w:eastAsia="Arial" w:hAnsi="Arial"/>
                <w:sz w:val="12"/>
                <w:szCs w:val="12"/>
                <w:b w:val="1"/>
                <w:bCs w:val="1"/>
                <w:color w:val="auto"/>
              </w:rPr>
              <w:t>Stockholders’ equity (deficit):</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8" w:lineRule="exact"/>
              <w:rPr>
                <w:sz w:val="20"/>
                <w:szCs w:val="20"/>
                <w:color w:val="auto"/>
              </w:rPr>
            </w:pPr>
            <w:r>
              <w:rPr>
                <w:rFonts w:ascii="Arial" w:cs="Arial" w:eastAsia="Arial" w:hAnsi="Arial"/>
                <w:sz w:val="12"/>
                <w:szCs w:val="12"/>
                <w:color w:val="auto"/>
                <w:w w:val="99"/>
              </w:rPr>
              <w:t>Common stock (before redomestication), without par value: no shares authorized, issued or outstanding as of June 30, 2017 (unaudited) and December 31, 2016;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0"/>
              </w:rPr>
              <w:t>100,000,000 shares authorized and 2,047,403 shares issued and outstanding as of December 31, 2015; and no shares authorized, issued or outstanding pro forma as of June</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30, 2017 (unaudited) (note 14)</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Common stock – Class A (after redomestication), with par value $0.0001: 100,000,000 shares authorized and 2,627,293 shares issued and outstanding as of June 30, 2017</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5"/>
              </w:rPr>
              <w:t>(unaudited); 100,000,000 shares authorized and 2,228,740 shares issued and outstanding as of December 31, 2016; no shares authorized, issued or outstanding as of</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December 31, 2015; 100,000,000 shares authorized and 5,595,928 shares issued and outstanding pro forma as of June 30, 2017 (unaudited) (note 14)</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4"/>
              </w:rPr>
              <w:t>Common stock – Class B (after redomestication), with par value $0.0001: 7,303,533 shares authorized and 2,409,738 shares issued and outstanding as of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2"/>
              </w:rPr>
              <w:t>(unaudited) and December 31, 2016; no shares authorized, issued or outstanding as of December 31, 2015; and 7,303,533 shares authorized and 2,409,738 shares issued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outstanding pro forma as of June 30, 2017 (unaudited) (note 14)</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Additional paid in capital</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9,346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7,620</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2,243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27,380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(12,390)</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(9,643)</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89"/>
              </w:rPr>
              <w:t>(10,675)</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(12,390)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Accumulated other comprehensive loss</w:t>
            </w:r>
          </w:p>
        </w:tc>
        <w:tc>
          <w:tcPr>
            <w:tcW w:w="60" w:type="dxa"/>
            <w:vAlign w:val="bottom"/>
          </w:tcPr>
          <w:p>
            <w:pPr>
              <w:spacing w:after="0"/>
              <w:rPr>
                <w:sz w:val="11"/>
                <w:szCs w:val="11"/>
                <w:color w:val="auto"/>
              </w:rPr>
            </w:pPr>
          </w:p>
        </w:tc>
        <w:tc>
          <w:tcPr>
            <w:tcW w:w="700" w:type="dxa"/>
            <w:vAlign w:val="bottom"/>
            <w:gridSpan w:val="3"/>
          </w:tcPr>
          <w:p>
            <w:pPr>
              <w:jc w:val="right"/>
              <w:ind w:right="79"/>
              <w:spacing w:after="0" w:line="130" w:lineRule="exact"/>
              <w:rPr>
                <w:sz w:val="20"/>
                <w:szCs w:val="20"/>
                <w:color w:val="auto"/>
              </w:rPr>
            </w:pPr>
            <w:r>
              <w:rPr>
                <w:rFonts w:ascii="Arial" w:cs="Arial" w:eastAsia="Arial" w:hAnsi="Arial"/>
                <w:sz w:val="12"/>
                <w:szCs w:val="12"/>
                <w:color w:val="auto"/>
              </w:rPr>
              <w:t>(247)</w:t>
            </w:r>
          </w:p>
        </w:tc>
        <w:tc>
          <w:tcPr>
            <w:tcW w:w="60" w:type="dxa"/>
            <w:vAlign w:val="bottom"/>
          </w:tcPr>
          <w:p>
            <w:pPr>
              <w:spacing w:after="0"/>
              <w:rPr>
                <w:sz w:val="11"/>
                <w:szCs w:val="11"/>
                <w:color w:val="auto"/>
              </w:rPr>
            </w:pPr>
          </w:p>
        </w:tc>
        <w:tc>
          <w:tcPr>
            <w:tcW w:w="5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(413)</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(84)</w:t>
            </w:r>
          </w:p>
        </w:tc>
        <w:tc>
          <w:tcPr>
            <w:tcW w:w="60" w:type="dxa"/>
            <w:vAlign w:val="bottom"/>
          </w:tcPr>
          <w:p>
            <w:pPr>
              <w:spacing w:after="0"/>
              <w:rPr>
                <w:sz w:val="11"/>
                <w:szCs w:val="11"/>
                <w:color w:val="auto"/>
              </w:rPr>
            </w:pPr>
          </w:p>
        </w:tc>
        <w:tc>
          <w:tcPr>
            <w:tcW w:w="5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ACM Research, Inc. stockholders’ (deficit) equity</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(3,289)</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(2,434)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(8,236)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14,745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Non-controlling interests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4,809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4,919</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3,757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4,809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stockholders’ equity (deficit)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1,520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2,485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(4,479)</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19,554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 redeemable convertible preferred stock and stockholders’ equity</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44,467</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32,151</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8" w:right="2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right"/>
              <w:ind w:right="40"/>
              <w:spacing w:after="0" w:line="118" w:lineRule="exact"/>
              <w:rPr>
                <w:sz w:val="20"/>
                <w:szCs w:val="20"/>
                <w:color w:val="auto"/>
              </w:rPr>
            </w:pPr>
            <w:r>
              <w:rPr>
                <w:rFonts w:ascii="Arial" w:cs="Arial" w:eastAsia="Arial" w:hAnsi="Arial"/>
                <w:sz w:val="13"/>
                <w:szCs w:val="13"/>
                <w:i w:val="1"/>
                <w:iCs w:val="1"/>
                <w:color w:val="auto"/>
              </w:rPr>
              <w:t>(unaudited)</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7"/>
          </w:tcPr>
          <w:p>
            <w:pPr>
              <w:jc w:val="right"/>
              <w:ind w:right="200"/>
              <w:spacing w:after="0"/>
              <w:rPr>
                <w:sz w:val="20"/>
                <w:szCs w:val="20"/>
                <w:color w:val="auto"/>
              </w:rPr>
            </w:pPr>
            <w:r>
              <w:rPr>
                <w:rFonts w:ascii="Arial" w:cs="Arial" w:eastAsia="Arial" w:hAnsi="Arial"/>
                <w:sz w:val="14"/>
                <w:szCs w:val="14"/>
                <w:i w:val="1"/>
                <w:iCs w:val="1"/>
                <w:color w:val="auto"/>
                <w:w w:val="94"/>
              </w:rPr>
              <w:t>(in thousands, except share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14,423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27,371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8,570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5,292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14,042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Gross profit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3,259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1,089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Total operating expenses,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4,393</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9,839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(1,563)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Income tax (expense) benefit (note 17)</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Comprehensive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ind w:left="700"/>
              <w:spacing w:after="0" w:line="190" w:lineRule="exact"/>
              <w:rPr>
                <w:sz w:val="20"/>
                <w:szCs w:val="20"/>
                <w:color w:val="auto"/>
              </w:rPr>
            </w:pPr>
            <w:r>
              <w:rPr>
                <w:rFonts w:ascii="Arial" w:cs="Arial" w:eastAsia="Arial" w:hAnsi="Arial"/>
                <w:sz w:val="17"/>
                <w:szCs w:val="17"/>
                <w:b w:val="1"/>
                <w:bCs w:val="1"/>
                <w:color w:val="auto"/>
                <w:w w:val="97"/>
              </w:rPr>
              <w:t>Total comprehensive income (loss) attributable to ACM Research, Inc.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(2,581)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880"/>
              <w:spacing w:after="0"/>
              <w:rPr>
                <w:sz w:val="20"/>
                <w:szCs w:val="20"/>
                <w:color w:val="auto"/>
              </w:rPr>
            </w:pPr>
            <w:r>
              <w:rPr>
                <w:rFonts w:ascii="Arial" w:cs="Arial" w:eastAsia="Arial" w:hAnsi="Arial"/>
                <w:sz w:val="17"/>
                <w:szCs w:val="17"/>
                <w:b w:val="1"/>
                <w:bCs w:val="1"/>
                <w:color w:val="auto"/>
              </w:rPr>
              <w:t>(note 2)</w:t>
            </w:r>
          </w:p>
        </w:tc>
        <w:tc>
          <w:tcPr>
            <w:tcW w:w="1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Weighted-average common shares outstanding used in computing per share amounts</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2,176,315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3,792,137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Pro forma 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Pro forma weighted-average common shares outstanding used in computing per share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5,137,211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6,753,033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8"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Changes in Redeemable Convertible Preferred Stock and Stockholders’ Equity (Deficit)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1"/>
          </w:tcPr>
          <w:p>
            <w:pPr>
              <w:ind w:left="100"/>
              <w:spacing w:after="0"/>
              <w:rPr>
                <w:sz w:val="20"/>
                <w:szCs w:val="20"/>
                <w:color w:val="auto"/>
              </w:rPr>
            </w:pPr>
            <w:r>
              <w:rPr>
                <w:rFonts w:ascii="Arial" w:cs="Arial" w:eastAsia="Arial" w:hAnsi="Arial"/>
                <w:sz w:val="10"/>
                <w:szCs w:val="10"/>
                <w:color w:val="auto"/>
              </w:rPr>
              <w:t>Redeemable Convertible Preferred Stock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color w:val="auto"/>
                <w:w w:val="96"/>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vMerge w:val="restart"/>
          </w:tcPr>
          <w:p>
            <w:pPr>
              <w:jc w:val="center"/>
              <w:ind w:left="188"/>
              <w:spacing w:after="0" w:line="95" w:lineRule="exact"/>
              <w:rPr>
                <w:sz w:val="20"/>
                <w:szCs w:val="20"/>
                <w:color w:val="auto"/>
              </w:rPr>
            </w:pPr>
            <w:r>
              <w:rPr>
                <w:rFonts w:ascii="Arial" w:cs="Arial" w:eastAsia="Arial" w:hAnsi="Arial"/>
                <w:sz w:val="10"/>
                <w:szCs w:val="10"/>
                <w:color w:val="auto"/>
                <w:w w:val="93"/>
              </w:rPr>
              <w:t>Common</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4"/>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spacing w:after="0" w:line="95" w:lineRule="exact"/>
              <w:rPr>
                <w:sz w:val="20"/>
                <w:szCs w:val="20"/>
                <w:color w:val="auto"/>
              </w:rPr>
            </w:pPr>
            <w:r>
              <w:rPr>
                <w:rFonts w:ascii="Arial" w:cs="Arial" w:eastAsia="Arial" w:hAnsi="Arial"/>
                <w:sz w:val="10"/>
                <w:szCs w:val="10"/>
                <w:color w:val="auto"/>
              </w:rPr>
              <w:t>Additional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color w:val="auto"/>
                <w:w w:val="95"/>
              </w:rPr>
              <w:t>Other</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jc w:val="right"/>
              <w:ind w:right="180"/>
              <w:spacing w:after="0" w:line="95" w:lineRule="exact"/>
              <w:rPr>
                <w:sz w:val="20"/>
                <w:szCs w:val="20"/>
                <w:color w:val="auto"/>
              </w:rPr>
            </w:pPr>
            <w:r>
              <w:rPr>
                <w:rFonts w:ascii="Arial" w:cs="Arial" w:eastAsia="Arial" w:hAnsi="Arial"/>
                <w:sz w:val="10"/>
                <w:szCs w:val="10"/>
                <w:color w:val="auto"/>
              </w:rPr>
              <w:t>Non-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vMerge w:val="restart"/>
          </w:tcPr>
          <w:p>
            <w:pPr>
              <w:jc w:val="right"/>
              <w:ind w:right="240"/>
              <w:spacing w:after="0" w:line="95"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color w:val="auto"/>
                <w:w w:val="95"/>
              </w:rPr>
              <w:t>Series A</w:t>
            </w: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9"/>
              </w:rPr>
              <w:t>Series B</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C</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D</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91"/>
              </w:rPr>
              <w:t>Series F</w:t>
            </w: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0" w:type="dxa"/>
            <w:vAlign w:val="bottom"/>
          </w:tcPr>
          <w:p>
            <w:pPr>
              <w:spacing w:after="0"/>
              <w:rPr>
                <w:sz w:val="11"/>
                <w:szCs w:val="11"/>
                <w:color w:val="auto"/>
              </w:rPr>
            </w:pPr>
          </w:p>
        </w:tc>
        <w:tc>
          <w:tcPr>
            <w:tcW w:w="7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0"/>
                <w:szCs w:val="10"/>
                <w:color w:val="auto"/>
                <w:w w:val="95"/>
              </w:rPr>
              <w:t>Stock</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Class A</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0"/>
                <w:szCs w:val="10"/>
                <w:color w:val="auto"/>
              </w:rPr>
              <w:t>Class B</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Paid-in</w:t>
            </w:r>
          </w:p>
        </w:tc>
        <w:tc>
          <w:tcPr>
            <w:tcW w:w="4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0"/>
                <w:szCs w:val="10"/>
                <w:color w:val="auto"/>
              </w:rPr>
              <w:t>Accumulated</w:t>
            </w:r>
          </w:p>
        </w:tc>
        <w:tc>
          <w:tcPr>
            <w:tcW w:w="720" w:type="dxa"/>
            <w:vAlign w:val="bottom"/>
            <w:gridSpan w:val="3"/>
          </w:tcPr>
          <w:p>
            <w:pPr>
              <w:spacing w:after="0"/>
              <w:rPr>
                <w:sz w:val="20"/>
                <w:szCs w:val="20"/>
                <w:color w:val="auto"/>
              </w:rPr>
            </w:pPr>
            <w:r>
              <w:rPr>
                <w:rFonts w:ascii="Arial" w:cs="Arial" w:eastAsia="Arial" w:hAnsi="Arial"/>
                <w:sz w:val="10"/>
                <w:szCs w:val="10"/>
                <w:color w:val="auto"/>
                <w:w w:val="99"/>
              </w:rPr>
              <w:t>Comprehensive</w:t>
            </w:r>
          </w:p>
        </w:tc>
        <w:tc>
          <w:tcPr>
            <w:tcW w:w="4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0"/>
                <w:szCs w:val="10"/>
                <w:color w:val="auto"/>
              </w:rPr>
              <w:t>controlling</w:t>
            </w:r>
          </w:p>
        </w:tc>
        <w:tc>
          <w:tcPr>
            <w:tcW w:w="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ind w:left="60"/>
              <w:spacing w:after="0" w:line="111" w:lineRule="exact"/>
              <w:rPr>
                <w:sz w:val="20"/>
                <w:szCs w:val="20"/>
                <w:color w:val="auto"/>
              </w:rPr>
            </w:pPr>
            <w:r>
              <w:rPr>
                <w:rFonts w:ascii="Arial" w:cs="Arial" w:eastAsia="Arial" w:hAnsi="Arial"/>
                <w:sz w:val="10"/>
                <w:szCs w:val="10"/>
                <w:color w:val="auto"/>
                <w:w w:val="94"/>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Arial" w:cs="Arial" w:eastAsia="Arial" w:hAnsi="Arial"/>
                <w:sz w:val="10"/>
                <w:szCs w:val="10"/>
                <w:color w:val="auto"/>
                <w:w w:val="81"/>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ind w:lef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500" w:type="dxa"/>
            <w:vAlign w:val="bottom"/>
            <w:gridSpan w:val="2"/>
          </w:tcPr>
          <w:p>
            <w:pPr>
              <w:ind w:left="100"/>
              <w:spacing w:after="0" w:line="111" w:lineRule="exact"/>
              <w:rPr>
                <w:sz w:val="20"/>
                <w:szCs w:val="20"/>
                <w:color w:val="auto"/>
              </w:rPr>
            </w:pPr>
            <w:r>
              <w:rPr>
                <w:rFonts w:ascii="Arial" w:cs="Arial" w:eastAsia="Arial" w:hAnsi="Arial"/>
                <w:sz w:val="10"/>
                <w:szCs w:val="10"/>
                <w:color w:val="auto"/>
              </w:rPr>
              <w:t>Shares</w:t>
            </w: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right"/>
              <w:ind w:right="48"/>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right w:val="single" w:sz="8" w:color="auto"/>
            </w:tcBorders>
            <w:gridSpan w:val="2"/>
          </w:tcPr>
          <w:p>
            <w:pPr>
              <w:ind w:left="20"/>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5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100" w:type="dxa"/>
            <w:vAlign w:val="bottom"/>
          </w:tcPr>
          <w:p>
            <w:pPr>
              <w:spacing w:after="0"/>
              <w:rPr>
                <w:sz w:val="9"/>
                <w:szCs w:val="9"/>
                <w:color w:val="auto"/>
              </w:rPr>
            </w:pPr>
          </w:p>
        </w:tc>
        <w:tc>
          <w:tcPr>
            <w:tcW w:w="440" w:type="dxa"/>
            <w:vAlign w:val="bottom"/>
          </w:tcPr>
          <w:p>
            <w:pPr>
              <w:jc w:val="right"/>
              <w:ind w:right="28"/>
              <w:spacing w:after="0" w:line="111"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jc w:val="right"/>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ind w:left="20"/>
              <w:spacing w:after="0" w:line="111" w:lineRule="exact"/>
              <w:rPr>
                <w:sz w:val="20"/>
                <w:szCs w:val="20"/>
                <w:color w:val="auto"/>
              </w:rPr>
            </w:pPr>
            <w:r>
              <w:rPr>
                <w:rFonts w:ascii="Arial" w:cs="Arial" w:eastAsia="Arial" w:hAnsi="Arial"/>
                <w:sz w:val="10"/>
                <w:szCs w:val="10"/>
                <w:color w:val="auto"/>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660" w:type="dxa"/>
            <w:vAlign w:val="bottom"/>
            <w:gridSpan w:val="2"/>
          </w:tcPr>
          <w:p>
            <w:pPr>
              <w:jc w:val="center"/>
              <w:ind w:right="120"/>
              <w:spacing w:after="0" w:line="111" w:lineRule="exact"/>
              <w:rPr>
                <w:sz w:val="20"/>
                <w:szCs w:val="20"/>
                <w:color w:val="auto"/>
              </w:rPr>
            </w:pPr>
            <w:r>
              <w:rPr>
                <w:rFonts w:ascii="Arial" w:cs="Arial" w:eastAsia="Arial" w:hAnsi="Arial"/>
                <w:sz w:val="10"/>
                <w:szCs w:val="10"/>
                <w:color w:val="auto"/>
                <w:w w:val="91"/>
              </w:rPr>
              <w:t>Income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w w:val="89"/>
              </w:rPr>
              <w:t>Interest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rPr>
                <w:sz w:val="9"/>
                <w:szCs w:val="9"/>
                <w:color w:val="auto"/>
              </w:rPr>
            </w:pPr>
          </w:p>
        </w:tc>
        <w:tc>
          <w:tcPr>
            <w:tcW w:w="6700" w:type="dxa"/>
            <w:vAlign w:val="bottom"/>
            <w:tcBorders>
              <w:top w:val="single" w:sz="8" w:color="auto"/>
            </w:tcBorders>
            <w:gridSpan w:val="39"/>
          </w:tcPr>
          <w:p>
            <w:pPr>
              <w:spacing w:after="0"/>
              <w:rPr>
                <w:sz w:val="20"/>
                <w:szCs w:val="20"/>
                <w:color w:val="auto"/>
              </w:rPr>
            </w:pPr>
            <w:r>
              <w:rPr>
                <w:rFonts w:ascii="Arial" w:cs="Arial" w:eastAsia="Arial" w:hAnsi="Arial"/>
                <w:sz w:val="10"/>
                <w:szCs w:val="10"/>
                <w:i w:val="1"/>
                <w:iCs w:val="1"/>
                <w:color w:val="auto"/>
              </w:rPr>
              <w:t>(in thousands, except share data)</w:t>
            </w: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Balance at</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January 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1,820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(16,055)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1,327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(12,534)</w:t>
            </w:r>
          </w:p>
        </w:tc>
        <w:tc>
          <w:tcPr>
            <w:tcW w:w="0" w:type="dxa"/>
            <w:vAlign w:val="bottom"/>
          </w:tcPr>
          <w:p>
            <w:pPr>
              <w:spacing w:after="0"/>
              <w:rPr>
                <w:sz w:val="1"/>
                <w:szCs w:val="1"/>
                <w:color w:val="auto"/>
              </w:rPr>
            </w:pPr>
          </w:p>
        </w:tc>
      </w:tr>
      <w:tr>
        <w:trPr>
          <w:trHeight w:val="117"/>
        </w:trPr>
        <w:tc>
          <w:tcPr>
            <w:tcW w:w="7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60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34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1700" w:type="dxa"/>
            <w:vAlign w:val="bottom"/>
            <w:gridSpan w:val="10"/>
          </w:tcPr>
          <w:p>
            <w:pPr>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60" w:type="dxa"/>
            <w:vAlign w:val="bottom"/>
            <w:gridSpan w:val="4"/>
          </w:tcPr>
          <w:p>
            <w:pPr>
              <w:jc w:val="right"/>
              <w:ind w:right="208"/>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3"/>
          </w:tcPr>
          <w:p>
            <w:pPr>
              <w:ind w:left="2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8"/>
              <w:spacing w:after="0"/>
              <w:rPr>
                <w:sz w:val="20"/>
                <w:szCs w:val="20"/>
                <w:color w:val="auto"/>
              </w:rPr>
            </w:pPr>
            <w:r>
              <w:rPr>
                <w:rFonts w:ascii="Arial" w:cs="Arial" w:eastAsia="Arial" w:hAnsi="Arial"/>
                <w:sz w:val="10"/>
                <w:szCs w:val="10"/>
                <w:color w:val="auto"/>
              </w:rPr>
              <w:t>5,380</w:t>
            </w:r>
          </w:p>
        </w:tc>
        <w:tc>
          <w:tcPr>
            <w:tcW w:w="760" w:type="dxa"/>
            <w:vAlign w:val="bottom"/>
            <w:gridSpan w:val="4"/>
          </w:tcPr>
          <w:p>
            <w:pPr>
              <w:ind w:left="440"/>
              <w:spacing w:after="0"/>
              <w:rPr>
                <w:sz w:val="20"/>
                <w:szCs w:val="20"/>
                <w:color w:val="auto"/>
              </w:rPr>
            </w:pPr>
            <w:r>
              <w:rPr>
                <w:rFonts w:ascii="Arial" w:cs="Arial" w:eastAsia="Arial" w:hAnsi="Arial"/>
                <w:sz w:val="10"/>
                <w:szCs w:val="10"/>
                <w:color w:val="auto"/>
              </w:rPr>
              <w:t>—</w:t>
            </w:r>
          </w:p>
        </w:tc>
        <w:tc>
          <w:tcPr>
            <w:tcW w:w="600" w:type="dxa"/>
            <w:vAlign w:val="bottom"/>
            <w:gridSpan w:val="4"/>
          </w:tcPr>
          <w:p>
            <w:pPr>
              <w:jc w:val="right"/>
              <w:ind w:right="148"/>
              <w:spacing w:after="0"/>
              <w:rPr>
                <w:sz w:val="20"/>
                <w:szCs w:val="20"/>
                <w:color w:val="auto"/>
              </w:rPr>
            </w:pPr>
            <w:r>
              <w:rPr>
                <w:rFonts w:ascii="Arial" w:cs="Arial" w:eastAsia="Arial" w:hAnsi="Arial"/>
                <w:sz w:val="10"/>
                <w:szCs w:val="10"/>
                <w:color w:val="auto"/>
              </w:rPr>
              <w:t>2,535</w:t>
            </w: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7,915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(283)</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423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2,243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3,757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(4,479)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rPr>
              <w:t>Net loss</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1,031</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1,356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2,387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3"/>
              </w:rPr>
              <w:t>Redomestication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0"/>
                <w:szCs w:val="10"/>
                <w:color w:val="auto"/>
              </w:rPr>
              <w:t>(2,047,403)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Arial" w:cs="Arial" w:eastAsia="Arial" w:hAnsi="Arial"/>
                <w:sz w:val="10"/>
                <w:szCs w:val="10"/>
                <w:color w:val="auto"/>
              </w:rPr>
              <w:t>(280)</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2,047,403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279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Issuance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3,615,800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9,039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9,039</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6"/>
              </w:rPr>
              <w:t>Debt conversion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47,454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1,812,069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160"/>
              <w:spacing w:after="0"/>
              <w:rPr>
                <w:sz w:val="20"/>
                <w:szCs w:val="20"/>
                <w:color w:val="auto"/>
              </w:rPr>
            </w:pPr>
            <w:r>
              <w:rPr>
                <w:rFonts w:ascii="Arial" w:cs="Arial" w:eastAsia="Arial" w:hAnsi="Arial"/>
                <w:sz w:val="10"/>
                <w:szCs w:val="10"/>
                <w:color w:val="auto"/>
                <w:w w:val="87"/>
              </w:rPr>
              <w:t>4,131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 option</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416,671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362,335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83"/>
              </w:rPr>
              <w:t>584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2016</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2,228,740</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7,620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(9,643)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(413)</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4,919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Net loss</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(2,747)</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0"/>
                <w:szCs w:val="10"/>
                <w:color w:val="auto"/>
              </w:rPr>
              <w:t>(2,955)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adjustment</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0"/>
                <w:szCs w:val="10"/>
                <w:color w:val="auto"/>
                <w:w w:val="83"/>
              </w:rPr>
              <w:t>166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 option</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398,553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0</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compensation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1,348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w w:val="94"/>
              </w:rPr>
              <w:t>Balance at June</w:t>
            </w: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Borders>
              <w:top w:val="single" w:sz="8" w:color="auto"/>
              <w:right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ind w:left="100"/>
              <w:spacing w:after="0"/>
              <w:rPr>
                <w:sz w:val="20"/>
                <w:szCs w:val="20"/>
                <w:color w:val="auto"/>
              </w:rPr>
            </w:pPr>
            <w:r>
              <w:rPr>
                <w:rFonts w:ascii="Arial" w:cs="Arial" w:eastAsia="Arial" w:hAnsi="Arial"/>
                <w:sz w:val="10"/>
                <w:szCs w:val="10"/>
                <w:b w:val="1"/>
                <w:bCs w:val="1"/>
                <w:color w:val="auto"/>
              </w:rPr>
              <w:t>30, 2017</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(unaudited)</w:t>
            </w:r>
          </w:p>
        </w:tc>
        <w:tc>
          <w:tcPr>
            <w:tcW w:w="380" w:type="dxa"/>
            <w:vAlign w:val="bottom"/>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tcPr>
          <w:p>
            <w:pPr>
              <w:ind w:left="20"/>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2,627,293</w:t>
            </w:r>
          </w:p>
        </w:tc>
        <w:tc>
          <w:tcPr>
            <w:tcW w:w="22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tcPr>
          <w:p>
            <w:pPr>
              <w:ind w:left="160"/>
              <w:spacing w:after="0"/>
              <w:rPr>
                <w:sz w:val="20"/>
                <w:szCs w:val="20"/>
                <w:color w:val="auto"/>
              </w:rPr>
            </w:pPr>
            <w:r>
              <w:rPr>
                <w:rFonts w:ascii="Arial" w:cs="Arial" w:eastAsia="Arial" w:hAnsi="Arial"/>
                <w:sz w:val="10"/>
                <w:szCs w:val="10"/>
                <w:color w:val="auto"/>
                <w:w w:val="87"/>
              </w:rPr>
              <w:t>9,346</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(12,390)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rPr>
              <w:t>(247)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4,809</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1,520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8" w:right="1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jc w:val="center"/>
              <w:ind w:right="2"/>
              <w:spacing w:after="0" w:line="131" w:lineRule="exact"/>
              <w:rPr>
                <w:sz w:val="20"/>
                <w:szCs w:val="20"/>
                <w:color w:val="auto"/>
              </w:rPr>
            </w:pPr>
            <w:r>
              <w:rPr>
                <w:rFonts w:ascii="Arial" w:cs="Arial" w:eastAsia="Arial" w:hAnsi="Arial"/>
                <w:sz w:val="14"/>
                <w:szCs w:val="14"/>
                <w:i w:val="1"/>
                <w:iCs w:val="1"/>
                <w:color w:val="auto"/>
                <w:w w:val="90"/>
              </w:rPr>
              <w:t>(unaudited)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(2,955)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(1,029)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2,387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from operations to net cash provided by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disposals of fixed assets, intangible assets and other long-term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Net loss from debt conversion and interest waiver</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747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1,348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changes in operating assets and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11,441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receivables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Inventory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(2,189)</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(1,771)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(3,055)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(2,097)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current assets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2,921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Advances from customers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(4,521)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(4,078)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taxes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payables and accrued expenses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w w:val="74"/>
              </w:rPr>
              <w:t>704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long-term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236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2,983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 from disposal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short-term borrowings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4,584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11,879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Repayments of short-term borrowings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(4,861)</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(7,575)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(9,605)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Investors’ deposit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potential future investment from related party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 exercise to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378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issuance of Series F convertible preferred stock</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101</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315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10,554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96"/>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3,087</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79"/>
              </w:rPr>
              <w:t>5,188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1"/>
              </w:rPr>
              <w:t>10,119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1"/>
              </w:rPr>
              <w:t>13,206</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9,589</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10,119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Interest paid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w w:val="74"/>
              </w:rPr>
              <w:t>164</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refund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Non-cash financing activities: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Debt conversion to Class A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Debt conversion to Series F convertible preferred stock</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 in lieu of the cash repayment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8"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2"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2006, the Company established its operational center in Shanghai in the People’s Republic of China (the “PRC”), where it operates through ACM’s subsidiary ACM Research (Shanghai), Inc. (“ACM Shanghai”). The establishment of ACM Shanghai was made to help the Company establish and build relationships with integrated circuit manufacturers in the PRC, and the Company financed its Shanghai operations in part through sales of a non-controlling equity interest in ACM Shanghai.</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76" w:lineRule="exact"/>
        <w:rPr>
          <w:sz w:val="20"/>
          <w:szCs w:val="20"/>
          <w:color w:val="auto"/>
        </w:rPr>
      </w:pPr>
    </w:p>
    <w:p>
      <w:pPr>
        <w:ind w:right="800" w:firstLine="457"/>
        <w:spacing w:after="0" w:line="287" w:lineRule="auto"/>
        <w:rPr>
          <w:sz w:val="20"/>
          <w:szCs w:val="20"/>
          <w:color w:val="auto"/>
        </w:rPr>
      </w:pPr>
      <w:r>
        <w:rPr>
          <w:rFonts w:ascii="Arial" w:cs="Arial" w:eastAsia="Arial" w:hAnsi="Arial"/>
          <w:sz w:val="17"/>
          <w:szCs w:val="17"/>
          <w:color w:val="auto"/>
        </w:rPr>
        <w:t>In 2011, ACM Shanghai formed a wholly owned subsidiary in the PRC, ACM Research (Wuxi), Inc. (“ACM Wuxi”), to manage sales and service operations.</w:t>
      </w:r>
    </w:p>
    <w:p>
      <w:pPr>
        <w:spacing w:after="0" w:line="158"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In November 2016, ACM redomesticated from California to Delaware pursuant to a merger (the “Merger”) in which ACM Research, Inc., a California corporation, was merged into a newly formed, wholly owned Delaware subsidiary, also named ACM Research, Inc.</w:t>
      </w:r>
    </w:p>
    <w:p>
      <w:pPr>
        <w:spacing w:after="0" w:line="158" w:lineRule="exact"/>
        <w:rPr>
          <w:sz w:val="20"/>
          <w:szCs w:val="20"/>
          <w:color w:val="auto"/>
        </w:rPr>
      </w:pPr>
    </w:p>
    <w:p>
      <w:pPr>
        <w:jc w:val="both"/>
        <w:ind w:right="580" w:firstLine="457"/>
        <w:spacing w:after="0" w:line="271" w:lineRule="auto"/>
        <w:rPr>
          <w:sz w:val="20"/>
          <w:szCs w:val="20"/>
          <w:color w:val="auto"/>
        </w:rPr>
      </w:pPr>
      <w:r>
        <w:rPr>
          <w:rFonts w:ascii="Arial" w:cs="Arial" w:eastAsia="Arial" w:hAnsi="Arial"/>
          <w:sz w:val="17"/>
          <w:szCs w:val="17"/>
          <w:color w:val="auto"/>
        </w:rPr>
        <w:t>In June 2017, ACM Research, Inc.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2" w:lineRule="exact"/>
        <w:rPr>
          <w:sz w:val="20"/>
          <w:szCs w:val="20"/>
          <w:color w:val="auto"/>
        </w:rPr>
      </w:pPr>
    </w:p>
    <w:p>
      <w:pPr>
        <w:jc w:val="both"/>
        <w:ind w:right="80" w:firstLine="457"/>
        <w:spacing w:after="0" w:line="323" w:lineRule="auto"/>
        <w:rPr>
          <w:sz w:val="20"/>
          <w:szCs w:val="20"/>
          <w:color w:val="auto"/>
        </w:rPr>
      </w:pPr>
      <w:r>
        <w:rPr>
          <w:rFonts w:ascii="Arial" w:cs="Arial" w:eastAsia="Arial" w:hAnsi="Arial"/>
          <w:sz w:val="15"/>
          <w:szCs w:val="15"/>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38" w:lineRule="exact"/>
        <w:rPr>
          <w:sz w:val="20"/>
          <w:szCs w:val="20"/>
          <w:color w:val="auto"/>
        </w:rPr>
      </w:pPr>
    </w:p>
    <w:p>
      <w:pPr>
        <w:ind w:right="620" w:firstLine="457"/>
        <w:spacing w:after="0" w:line="357" w:lineRule="auto"/>
        <w:rPr>
          <w:sz w:val="20"/>
          <w:szCs w:val="20"/>
          <w:color w:val="auto"/>
        </w:rPr>
      </w:pPr>
      <w:r>
        <w:rPr>
          <w:rFonts w:ascii="Arial" w:cs="Arial" w:eastAsia="Arial" w:hAnsi="Arial"/>
          <w:sz w:val="15"/>
          <w:szCs w:val="15"/>
          <w:color w:val="auto"/>
        </w:rPr>
        <w:t>As of June 30, 2017 and December 31, 2016 and 2015, ACM owned 62.9% of the outstanding equity interests of ACM Shanghai. As a result, ACM, indirectly through ACM Shanghai, owned 62.9% of the outstanding equity interests of ACM Wuxi as of June 30, 2017 and December 31, 2016 and 2015.</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8"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The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are summarized below.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consolidated financial statements include the financial statements of ACM and its subsidiaries, ACM Shanghai, ACM Wuxi and CleanChip. Subsidiaries are those entities in which ACM, directly and indirectly, controls more than one half of the voting power. All significant intercompany transactions and balances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Interim Consolidated Financial Statements</w:t>
      </w:r>
    </w:p>
    <w:p>
      <w:pPr>
        <w:spacing w:after="0" w:line="117"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The unaudited interim consolidated financial statements consist of an unaudited consolidated balance sheet as of June 30, 2017, unaudited consolidated statements of operations and comprehensive loss and cash flows for the six months ended June 30, 2017 and 2016, unaudited consolidated statement of changes in redeemable convertible preferred stock and stockholders’ equity for the six months ended June 30, 2017, and the related unaudited footnote disclosures. The unaudited interim consolidated financial statements have been prepared on the same basis as the annual consolidated financial statements and, in the opinion of management, contain all adjustments, consisting only of normal recurring adjustments, necessary to present fairly the financial position, operating results and cash flows of the Company for each of the periods presented. It does not include all the information and footnotes required by GAAP for complete financial statements. The balance sheet as of June 30, 2017 and the operating results for the six months ended June 30, 2017 are not necessarily indicative of the results of operations that may be expected for the year ending December 31, 2017 or any other future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Reverse Stock Split</w:t>
      </w:r>
    </w:p>
    <w:p>
      <w:pPr>
        <w:spacing w:after="0" w:line="117"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On September 13, 2017, ACM effected a 1-for-3 reverse stock split (the “Reverse Split”) of Class A and Class B common stock (note 20). Unless otherwise indicated, all share numbers, per share amount, share prices,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8" w:right="25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exercise prices and conversion rates set forth in those notes and the accompanying consolidated financial statements have been adjusted retrospectively to reflect the Reverse Split.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117"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June 30, 2017 and December 31, 2016 and 2015, the Company had established, based on a review of its outstanding balances, an allowance for doubtful accounts in the amounts of $0, $0 and $116,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Inventory was recorded at the lower of cost or net realizable value at June 30, 2017 and at the lower of cost or market value at December 31, 2016 and 2015.</w:t>
      </w:r>
    </w:p>
    <w:p>
      <w:pPr>
        <w:spacing w:after="0" w:line="153" w:lineRule="exact"/>
        <w:rPr>
          <w:sz w:val="20"/>
          <w:szCs w:val="20"/>
          <w:color w:val="auto"/>
        </w:rPr>
      </w:pPr>
    </w:p>
    <w:p>
      <w:pPr>
        <w:ind w:left="900" w:right="20" w:hanging="335"/>
        <w:spacing w:after="0" w:line="263"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89" w:lineRule="exact"/>
        <w:rPr>
          <w:rFonts w:ascii="Arial" w:cs="Arial" w:eastAsia="Arial" w:hAnsi="Arial"/>
          <w:sz w:val="17"/>
          <w:szCs w:val="17"/>
          <w:color w:val="auto"/>
        </w:rPr>
      </w:pPr>
    </w:p>
    <w:p>
      <w:pPr>
        <w:ind w:left="900" w:hanging="33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Market value is determined as the lower of replacement cost or net realizable value.</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Net realizable value is the estimated selling price, in the ordinary course of business, less estimated costs to complete or dispose.</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60"/>
          </w:cols>
          <w:pgMar w:left="240" w:top="448" w:right="29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Initial Public Offering (“IPO”) Costs</w:t>
      </w:r>
    </w:p>
    <w:p>
      <w:pPr>
        <w:spacing w:after="0" w:line="117" w:lineRule="exact"/>
        <w:rPr>
          <w:sz w:val="20"/>
          <w:szCs w:val="20"/>
          <w:color w:val="auto"/>
        </w:rPr>
      </w:pPr>
    </w:p>
    <w:p>
      <w:pPr>
        <w:jc w:val="both"/>
        <w:ind w:right="280" w:firstLine="457"/>
        <w:spacing w:after="0" w:line="271" w:lineRule="auto"/>
        <w:rPr>
          <w:sz w:val="20"/>
          <w:szCs w:val="20"/>
          <w:color w:val="auto"/>
        </w:rPr>
      </w:pPr>
      <w:r>
        <w:rPr>
          <w:rFonts w:ascii="Arial" w:cs="Arial" w:eastAsia="Arial" w:hAnsi="Arial"/>
          <w:sz w:val="17"/>
          <w:szCs w:val="17"/>
          <w:color w:val="auto"/>
        </w:rPr>
        <w:t>Direct costs incurred by the Company attributable to its proposed IPO of Class A common stock in the United States have been deferred and recorded in other current assets and will be offset against the gross proceeds received from the IPO. At June 30, 2017 and December 30, 2016 and 2015, deferred IPO costs were $797, $41 and $0,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Plant and Equipment, Net</w:t>
      </w:r>
    </w:p>
    <w:p>
      <w:pPr>
        <w:spacing w:after="0" w:line="117"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useful lives of assets in the United States are as follows:</w:t>
      </w:r>
    </w:p>
    <w:p>
      <w:pPr>
        <w:sectPr>
          <w:pgSz w:w="11900" w:h="16838" w:orient="portrait"/>
          <w:cols w:equalWidth="0" w:num="1">
            <w:col w:w="11380"/>
          </w:cols>
          <w:pgMar w:left="240" w:top="448" w:right="27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Computer and office equipment</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22"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380"/>
          </w:cols>
          <w:pgMar w:left="240" w:top="448" w:right="279" w:bottom="1440" w:gutter="0" w:footer="0" w:header="0"/>
          <w:type w:val="continuous"/>
        </w:sectPr>
      </w:pP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Manufacturing equipment</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Transportation equipment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Electronic equipment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small to medium-sized equipment, 5 years; for large equipment,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estimated by purchasing department at time of acceptance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4 to 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remaining lease term for improvements on leased fixed assets or, for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large improvements, estimated useful life; not less than 3 years for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non-fixed asset repairs</w:t>
      </w:r>
    </w:p>
    <w:p>
      <w:pPr>
        <w:spacing w:after="0" w:line="200"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 Net</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80"/>
          </w:cols>
          <w:pgMar w:left="240" w:top="448" w:right="279" w:bottom="1440" w:gutter="0" w:footer="0" w:header="0"/>
          <w:type w:val="continuous"/>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Valuation of Long-Lived Assets</w:t>
      </w:r>
    </w:p>
    <w:p>
      <w:pPr>
        <w:spacing w:after="0" w:line="117"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Redeemable Convertible Preferred Stock</w:t>
      </w:r>
    </w:p>
    <w:p>
      <w:pPr>
        <w:spacing w:after="0" w:line="117"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all the following conditions are met:</w:t>
      </w:r>
    </w:p>
    <w:p>
      <w:pPr>
        <w:spacing w:after="0" w:line="130" w:lineRule="exact"/>
        <w:rPr>
          <w:sz w:val="20"/>
          <w:szCs w:val="20"/>
          <w:color w:val="auto"/>
        </w:rPr>
      </w:pPr>
    </w:p>
    <w:p>
      <w:pPr>
        <w:ind w:left="900" w:hanging="33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30" w:lineRule="exact"/>
        <w:rPr>
          <w:rFonts w:ascii="Arial" w:cs="Arial" w:eastAsia="Arial" w:hAnsi="Arial"/>
          <w:sz w:val="17"/>
          <w:szCs w:val="17"/>
          <w:color w:val="auto"/>
        </w:rPr>
      </w:pPr>
    </w:p>
    <w:p>
      <w:pPr>
        <w:ind w:left="900" w:right="120" w:hanging="335"/>
        <w:spacing w:after="0" w:line="287"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product delivery has occurred and the Company has transferred major risks and remunerations over the ownership of the product to the buyer or a service has been fully rendered and completed;</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collection of the receivable is probable; and</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amount of the payment is fixed or determinable.</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Company derives revenue principally from sales of semiconductor capital equipment. In general, the Company recognizes revenue when the product has been demonstrated to meet the predetermined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8" w:right="2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81" w:lineRule="exact"/>
        <w:rPr>
          <w:sz w:val="20"/>
          <w:szCs w:val="20"/>
          <w:color w:val="auto"/>
        </w:rPr>
      </w:pPr>
    </w:p>
    <w:p>
      <w:pPr>
        <w:ind w:left="900" w:right="300" w:hanging="335"/>
        <w:spacing w:after="0" w:line="287"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tool with the same specifications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hanging="335"/>
        <w:spacing w:after="0" w:line="287"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40" w:hanging="335"/>
        <w:spacing w:after="0" w:line="287"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Company’s sales arrangements do not include a general right of return.</w:t>
      </w:r>
    </w:p>
    <w:p>
      <w:pPr>
        <w:spacing w:after="0" w:line="222" w:lineRule="exact"/>
        <w:rPr>
          <w:sz w:val="20"/>
          <w:szCs w:val="20"/>
          <w:color w:val="auto"/>
        </w:rPr>
      </w:pPr>
    </w:p>
    <w:p>
      <w:pPr>
        <w:jc w:val="both"/>
        <w:ind w:right="240" w:firstLine="457"/>
        <w:spacing w:after="0" w:line="295" w:lineRule="auto"/>
        <w:rPr>
          <w:sz w:val="20"/>
          <w:szCs w:val="20"/>
          <w:color w:val="auto"/>
        </w:rPr>
      </w:pPr>
      <w:r>
        <w:rPr>
          <w:rFonts w:ascii="Arial" w:cs="Arial" w:eastAsia="Arial" w:hAnsi="Arial"/>
          <w:sz w:val="15"/>
          <w:szCs w:val="15"/>
          <w:color w:val="auto"/>
        </w:rPr>
        <w:t>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Accounting Standards Codification (“ASC”) Subtopic 605-25, </w:t>
      </w:r>
      <w:r>
        <w:rPr>
          <w:rFonts w:ascii="Arial" w:cs="Arial" w:eastAsia="Arial" w:hAnsi="Arial"/>
          <w:sz w:val="17"/>
          <w:szCs w:val="17"/>
          <w:i w:val="1"/>
          <w:iCs w:val="1"/>
          <w:color w:val="auto"/>
        </w:rPr>
        <w:t>Revenue Recognition – Multiple-Element Arrangements</w:t>
      </w:r>
      <w:r>
        <w:rPr>
          <w:rFonts w:ascii="Arial" w:cs="Arial" w:eastAsia="Arial" w:hAnsi="Arial"/>
          <w:sz w:val="17"/>
          <w:szCs w:val="17"/>
          <w:color w:val="auto"/>
        </w:rPr>
        <w:t>. All of the Company’s products were sold in stand-alone arrangements during the six months ended June 30, 2017 and the years ended December 31, 2016 and 2015.</w:t>
      </w:r>
    </w:p>
    <w:p>
      <w:pPr>
        <w:spacing w:after="0" w:line="170" w:lineRule="exact"/>
        <w:rPr>
          <w:sz w:val="20"/>
          <w:szCs w:val="20"/>
          <w:color w:val="auto"/>
        </w:rPr>
      </w:pPr>
    </w:p>
    <w:p>
      <w:pPr>
        <w:ind w:right="460" w:firstLine="457"/>
        <w:spacing w:after="0" w:line="323" w:lineRule="auto"/>
        <w:rPr>
          <w:sz w:val="20"/>
          <w:szCs w:val="20"/>
          <w:color w:val="auto"/>
        </w:rPr>
      </w:pPr>
      <w:r>
        <w:rPr>
          <w:rFonts w:ascii="Arial" w:cs="Arial" w:eastAsia="Arial" w:hAnsi="Arial"/>
          <w:sz w:val="15"/>
          <w:szCs w:val="15"/>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 of Revenue</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11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Shipping and handling costs, which relate to transportation of products to customer locations, are charged to selling and marketing expense. For the six months ended June 30, 2017 and 2016 and the years ended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8"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2015, shipping and handling costs included in sales and marketing expense were $48, $16, $75 and $15,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Borrowing Costs</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six months ended June 30, 2017 or the years ended December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six months ended June 30, 2017 and 2016 and the years ended December 31, 2016 and 2015.</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Six Months Ended</w:t>
            </w:r>
          </w:p>
        </w:tc>
        <w:tc>
          <w:tcPr>
            <w:tcW w:w="28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7"/>
              <w:spacing w:after="0" w:line="137" w:lineRule="exact"/>
              <w:rPr>
                <w:sz w:val="20"/>
                <w:szCs w:val="20"/>
                <w:color w:val="auto"/>
              </w:rPr>
            </w:pPr>
            <w:r>
              <w:rPr>
                <w:rFonts w:ascii="Arial" w:cs="Arial" w:eastAsia="Arial" w:hAnsi="Arial"/>
                <w:sz w:val="14"/>
                <w:szCs w:val="14"/>
                <w:b w:val="1"/>
                <w:bCs w:val="1"/>
                <w:color w:val="auto"/>
                <w:w w:val="83"/>
              </w:rPr>
              <w:t>2016</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top w:val="single" w:sz="8" w:color="auto"/>
            </w:tcBorders>
          </w:tcPr>
          <w:p>
            <w:pPr>
              <w:jc w:val="right"/>
              <w:ind w:right="6"/>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$ 459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$ 141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283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161</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Utilized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(154)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419</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360</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$ 290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 Subsidies</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80"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The government subsidies contain certain operating conditions and therefore are recorded as long-term liabilities upon receipt. The grant amounts are recognized in the statements of operations and comprehensive income:</w:t>
      </w:r>
    </w:p>
    <w:p>
      <w:pPr>
        <w:spacing w:after="0" w:line="67" w:lineRule="exact"/>
        <w:rPr>
          <w:sz w:val="20"/>
          <w:szCs w:val="20"/>
          <w:color w:val="auto"/>
        </w:rPr>
      </w:pPr>
    </w:p>
    <w:p>
      <w:pPr>
        <w:ind w:left="900" w:right="540" w:hanging="335"/>
        <w:spacing w:after="0" w:line="287"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six months ended June 30, 2017 and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8"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20" w:right="300"/>
        <w:spacing w:after="0" w:line="287" w:lineRule="auto"/>
        <w:rPr>
          <w:sz w:val="20"/>
          <w:szCs w:val="20"/>
          <w:color w:val="auto"/>
        </w:rPr>
      </w:pPr>
      <w:r>
        <w:rPr>
          <w:rFonts w:ascii="Arial" w:cs="Arial" w:eastAsia="Arial" w:hAnsi="Arial"/>
          <w:sz w:val="17"/>
          <w:szCs w:val="17"/>
          <w:color w:val="auto"/>
        </w:rPr>
        <w:t>and the years ended December 31, 2016 and 2015, related government subsidies recognized as reductions of relevant expenses in the consolidated statements of operations and comprehensive income were $2,090, $1,976, $6,244 and $3,799, respectively.</w:t>
      </w:r>
    </w:p>
    <w:p>
      <w:pPr>
        <w:spacing w:after="0" w:line="67" w:lineRule="exact"/>
        <w:rPr>
          <w:sz w:val="20"/>
          <w:szCs w:val="20"/>
          <w:color w:val="auto"/>
        </w:rPr>
      </w:pPr>
    </w:p>
    <w:p>
      <w:pPr>
        <w:ind w:left="900" w:right="40" w:hanging="335"/>
        <w:spacing w:after="0" w:line="357" w:lineRule="auto"/>
        <w:tabs>
          <w:tab w:leader="none" w:pos="9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Government subsidies for short-term borrowings’ interest expenses are reported as reductions of interest expenses in the period the interest is accrued, which were $0, $101, $99 and $303, respectively, for the six months ended June 30, 2017 and 2016 and years ended December 31, 2016 and 2015.</w:t>
      </w:r>
    </w:p>
    <w:p>
      <w:pPr>
        <w:spacing w:after="0" w:line="21" w:lineRule="exact"/>
        <w:rPr>
          <w:rFonts w:ascii="Arial" w:cs="Arial" w:eastAsia="Arial" w:hAnsi="Arial"/>
          <w:sz w:val="15"/>
          <w:szCs w:val="15"/>
          <w:color w:val="auto"/>
        </w:rPr>
      </w:pPr>
    </w:p>
    <w:p>
      <w:pPr>
        <w:ind w:left="900" w:hanging="335"/>
        <w:spacing w:after="0"/>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Government subsidies related to depreciable</w:t>
      </w:r>
    </w:p>
    <w:p>
      <w:pPr>
        <w:spacing w:after="0" w:line="130" w:lineRule="exact"/>
        <w:rPr>
          <w:rFonts w:ascii="Arial" w:cs="Arial" w:eastAsia="Arial" w:hAnsi="Arial"/>
          <w:sz w:val="17"/>
          <w:szCs w:val="17"/>
          <w:color w:val="auto"/>
        </w:rPr>
      </w:pPr>
    </w:p>
    <w:p>
      <w:pPr>
        <w:ind w:left="900" w:right="160" w:hanging="335"/>
        <w:spacing w:after="0" w:line="271"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assets are credited to income over the useful lives of the related assets for which the grant was received. For the six months ended June 30, 2017 and 2016 and the years ended December 31, 2016 and 2015, related government subsidies recognized as other income in the consolidated statements of operations and comprehensive income were $65, $63, $127 and $105, respectively.</w:t>
      </w:r>
    </w:p>
    <w:p>
      <w:pPr>
        <w:spacing w:after="0" w:line="172"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Unearned government subsidies received are deferred for recognition and recorded as other long-term liabilities (note 11) in the balance sheet until the criteria for such recognition are satisfied.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117" w:lineRule="exact"/>
        <w:rPr>
          <w:sz w:val="20"/>
          <w:szCs w:val="20"/>
          <w:color w:val="auto"/>
        </w:rPr>
      </w:pPr>
    </w:p>
    <w:p>
      <w:pPr>
        <w:ind w:right="200" w:firstLine="457"/>
        <w:spacing w:after="0" w:line="32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FASB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awards granted to employees are measured at the fair value of the awards on the grant date and are recognized as expenses either</w:t>
      </w:r>
    </w:p>
    <w:p>
      <w:pPr>
        <w:spacing w:after="0" w:line="25" w:lineRule="exact"/>
        <w:rPr>
          <w:sz w:val="20"/>
          <w:szCs w:val="20"/>
          <w:color w:val="auto"/>
        </w:rPr>
      </w:pPr>
    </w:p>
    <w:p>
      <w:pPr>
        <w:ind w:firstLine="4"/>
        <w:spacing w:after="0" w:line="264" w:lineRule="auto"/>
        <w:tabs>
          <w:tab w:leader="none" w:pos="2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Operating and Financial Risks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380"/>
          </w:cols>
          <w:pgMar w:left="240" w:top="448" w:right="2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Company is potentially subject to concentrations of credit risks in its accounts receivable. Four customers individually accounted for greater than ten percent of the Company’s revenue for the year ended 2016 and two of those customers individually accounted for greater than ten percent of the Company’s revenue in 2015:</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3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Borders>
              <w:top w:val="single" w:sz="8" w:color="auto"/>
              <w:bottom w:val="single" w:sz="8" w:color="auto"/>
            </w:tcBorders>
          </w:tcPr>
          <w:p>
            <w:pPr>
              <w:ind w:left="140"/>
              <w:spacing w:after="0" w:line="137"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1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33.7%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B</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25.0</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5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4"/>
              </w:rPr>
              <w:t>24.0</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D</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16.6</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74930</wp:posOffset>
            </wp:positionV>
            <wp:extent cx="7200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8" w:lineRule="exact"/>
        <w:rPr>
          <w:sz w:val="20"/>
          <w:szCs w:val="20"/>
          <w:color w:val="auto"/>
        </w:rPr>
      </w:pPr>
    </w:p>
    <w:p>
      <w:pPr>
        <w:ind w:left="1940" w:hanging="463"/>
        <w:spacing w:after="0"/>
        <w:tabs>
          <w:tab w:leader="none" w:pos="19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Customer accounted for less than 10% of revenue in the period.</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7"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the balance of bank borrowings (note 6) and notes payable (note 8) were short-term in nature, matured at various dates within the following year and did not expose the Company to interest rate risk.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7"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Company’s working capital at June 30, 2017 and December 31,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Country Risk</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 and Translation</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80"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Transactions of ACM’s subsidiaries involving foreign currencies are recorded in functional currency according to the rate of exchange prevailing on the date when the transaction occurs. The ending balances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8" w:right="25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was, respectively, $408 and $383 for the six months ended June 30, 2017 and 2016 and $746 and $659 for the years ended December 31, 2016 and 2015.</w:t>
      </w:r>
    </w:p>
    <w:p>
      <w:pPr>
        <w:spacing w:after="0" w:line="13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Translations of amounts from RMB into U.S. dollars were made at the following exchange rates for the respective dates and periods:</w:t>
      </w:r>
    </w:p>
    <w:p>
      <w:pPr>
        <w:sectPr>
          <w:pgSz w:w="11900" w:h="16838" w:orient="portrait"/>
          <w:cols w:equalWidth="0" w:num="1">
            <w:col w:w="11420"/>
          </w:cols>
          <w:pgMar w:left="240" w:top="448" w:right="239" w:bottom="1440" w:gutter="0" w:footer="0" w:header="0"/>
        </w:sect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-115570</wp:posOffset>
            </wp:positionV>
            <wp:extent cx="6083935" cy="132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At December 31, 2015</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-100965</wp:posOffset>
            </wp:positionV>
            <wp:extent cx="6083935" cy="132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Year ended December 31, 2016</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RMB 6.7751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6.9348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6.4936 to $1.00</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RMB 6.8681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6.5317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6.6401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6.2284 to $1.00</w:t>
      </w:r>
    </w:p>
    <w:p>
      <w:pPr>
        <w:spacing w:after="0" w:line="533" w:lineRule="exact"/>
        <w:rPr>
          <w:sz w:val="20"/>
          <w:szCs w:val="20"/>
          <w:color w:val="auto"/>
        </w:rPr>
      </w:pPr>
    </w:p>
    <w:p>
      <w:pPr>
        <w:sectPr>
          <w:pgSz w:w="11900" w:h="16838" w:orient="portrait"/>
          <w:cols w:equalWidth="0" w:num="2">
            <w:col w:w="8180" w:space="720"/>
            <w:col w:w="2520"/>
          </w:cols>
          <w:pgMar w:left="240" w:top="448" w:right="239" w:bottom="1440" w:gutter="0" w:footer="0" w:header="0"/>
          <w:type w:val="continuous"/>
        </w:sectPr>
      </w:pPr>
    </w:p>
    <w:p>
      <w:pPr>
        <w:ind w:right="20" w:firstLine="457"/>
        <w:spacing w:after="0" w:line="323"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8"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6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8" w:right="239" w:bottom="1440" w:gutter="0" w:footer="0" w:header="0"/>
          <w:type w:val="continuous"/>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Basic and Diluted Net Income (Loss) per Common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income (loss) per common share are calculated as follows:</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(1,029)</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2,387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(loss) attributable to non-controlling interest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allocated to participating securities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stockholders, basic</w:t>
            </w:r>
          </w:p>
        </w:tc>
        <w:tc>
          <w:tcPr>
            <w:tcW w:w="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Denominator:</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2,176,315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2,047,383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7"/>
                <w:szCs w:val="17"/>
                <w:color w:val="auto"/>
              </w:rPr>
              <w:t>Effect of dilutive securities: Stock options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w w:val="89"/>
              </w:rPr>
              <w:t>1,615,822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w w:val="89"/>
              </w:rPr>
              <w:t>1,096,737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spacing w:after="0"/>
              <w:rPr>
                <w:sz w:val="20"/>
                <w:szCs w:val="20"/>
                <w:color w:val="auto"/>
              </w:rPr>
            </w:pPr>
            <w:r>
              <w:rPr>
                <w:rFonts w:ascii="Arial" w:cs="Arial" w:eastAsia="Arial" w:hAnsi="Arial"/>
                <w:sz w:val="17"/>
                <w:szCs w:val="17"/>
                <w:color w:val="auto"/>
              </w:rPr>
              <w:t>Weighted average shares outstanding, diluted</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3,792,137</w:t>
            </w:r>
          </w:p>
        </w:tc>
        <w:tc>
          <w:tcPr>
            <w:tcW w:w="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3,144,120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and F convertible preferred stock are participating securities, as the holders are entitled to participate in and receive the same dividends as may be declared for common stockholders on a pro-rata, if-converted basis.</w:t>
      </w:r>
    </w:p>
    <w:p>
      <w:pPr>
        <w:spacing w:after="0" w:line="14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the six months ended June 30, 2017 or the year ended December 31, 2016, the net income (loss) per common share attributable to each class is the same under the “two-class” method. As such, the two classes of common stock have been presented on a combined basis in the consolidated statements of operations and comprehensive (loss) income and in the above computation of net income (loss) per common share.</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six</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8" w:right="25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months ended June 30, 2017 and 2016,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2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2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860" w:type="dxa"/>
            <w:vAlign w:val="bottom"/>
            <w:tcBorders>
              <w:top w:val="single" w:sz="8" w:color="auto"/>
            </w:tcBorders>
          </w:tcPr>
          <w:p>
            <w:pPr>
              <w:jc w:val="right"/>
              <w:ind w:right="217"/>
              <w:spacing w:after="0" w:line="137"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1"/>
                <w:szCs w:val="11"/>
                <w:color w:val="auto"/>
              </w:rPr>
            </w:pPr>
          </w:p>
        </w:tc>
        <w:tc>
          <w:tcPr>
            <w:tcW w:w="900" w:type="dxa"/>
            <w:vAlign w:val="bottom"/>
            <w:tcBorders>
              <w:top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453,666</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442,226</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F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Stock options</w:t>
            </w:r>
          </w:p>
        </w:tc>
        <w:tc>
          <w:tcPr>
            <w:tcW w:w="860" w:type="dxa"/>
            <w:vAlign w:val="bottom"/>
          </w:tcPr>
          <w:p>
            <w:pPr>
              <w:jc w:val="right"/>
              <w:spacing w:after="0"/>
              <w:rPr>
                <w:sz w:val="20"/>
                <w:szCs w:val="20"/>
                <w:color w:val="auto"/>
              </w:rPr>
            </w:pPr>
            <w:r>
              <w:rPr>
                <w:rFonts w:ascii="Arial" w:cs="Arial" w:eastAsia="Arial" w:hAnsi="Arial"/>
                <w:sz w:val="17"/>
                <w:szCs w:val="17"/>
                <w:color w:val="auto"/>
              </w:rPr>
              <w:t>3,489,959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2,996,686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1,424,596</w:t>
            </w:r>
          </w:p>
        </w:tc>
        <w:tc>
          <w:tcPr>
            <w:tcW w:w="3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Warrant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397,502</w:t>
            </w: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6,848,429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4,736,555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4,385,564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1,548,229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 Attributable to the Company</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 xml:space="preserve">The Company applies FASB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$(2,581), $(636), $704 and $5,202 for the six months ended June 30, 2017 and 2016 and the years ended December 31, 2016 and 2015,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Appropriated Retained Earnings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80"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June 30, 2017 and December 31, 2016 and 2015.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Pro Forma Balance Sheet and Basic and Diluted Net Income (Loss) per Common Share</w:t>
      </w:r>
    </w:p>
    <w:p>
      <w:pPr>
        <w:spacing w:after="0" w:line="117" w:lineRule="exact"/>
        <w:rPr>
          <w:sz w:val="20"/>
          <w:szCs w:val="20"/>
          <w:color w:val="auto"/>
        </w:rPr>
      </w:pPr>
    </w:p>
    <w:p>
      <w:pPr>
        <w:ind w:right="580" w:firstLine="457"/>
        <w:spacing w:after="0" w:line="287" w:lineRule="auto"/>
        <w:rPr>
          <w:sz w:val="20"/>
          <w:szCs w:val="20"/>
          <w:color w:val="auto"/>
        </w:rPr>
      </w:pPr>
      <w:r>
        <w:rPr>
          <w:rFonts w:ascii="Arial" w:cs="Arial" w:eastAsia="Arial" w:hAnsi="Arial"/>
          <w:sz w:val="17"/>
          <w:szCs w:val="17"/>
          <w:color w:val="auto"/>
        </w:rPr>
        <w:t>The unaudited pro forma consolidated balance sheet as of June 30, 2017 gives effect to the automatic conversion of all of the Company’s outstanding redeemable convertible preferred stock into shares of Class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8"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common stock, which will occur upon completion of an IPO of common stock with aggregate proceeds of at least $20,000 and a per share price of at least $15.00.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consolidated balance sheet was prepared as though the completion of the IPO had occurred on June 30, 2017.</w:t>
      </w:r>
    </w:p>
    <w:p>
      <w:pPr>
        <w:spacing w:after="0" w:line="209"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Pro forma net income per share applicable to common stockholders is computed using the weighted-average number of common shares outstanding after giving effect to the conversion of all the outstanding convertible redeemable preferred stock into shares of Class A common stock as if such conversion had occurred at the beginning of the period presented, or the date of original issuance, if later.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1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72"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Level 1: Valuations for assets and liabilities traded in active exchange markets. Valuations are obtained from readily available pricing sources for market transactions involving identical assets or liabilities.</w:t>
      </w:r>
    </w:p>
    <w:p>
      <w:pPr>
        <w:spacing w:after="0" w:line="158"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Level 2: Valuations for assets and liabilities traded in less active dealer or broker markets. Valuations are obtained from third party pricing services for identical or similar assets or liabilities.</w:t>
      </w:r>
    </w:p>
    <w:p>
      <w:pPr>
        <w:spacing w:after="0" w:line="158" w:lineRule="exact"/>
        <w:rPr>
          <w:sz w:val="20"/>
          <w:szCs w:val="20"/>
          <w:color w:val="auto"/>
        </w:rPr>
      </w:pPr>
    </w:p>
    <w:p>
      <w:pPr>
        <w:ind w:right="400" w:firstLine="457"/>
        <w:spacing w:after="0" w:line="271" w:lineRule="auto"/>
        <w:rPr>
          <w:sz w:val="20"/>
          <w:szCs w:val="20"/>
          <w:color w:val="auto"/>
        </w:rPr>
      </w:pPr>
      <w:r>
        <w:rPr>
          <w:rFonts w:ascii="Arial" w:cs="Arial" w:eastAsia="Arial" w:hAnsi="Arial"/>
          <w:sz w:val="17"/>
          <w:szCs w:val="17"/>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7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or Disclosed on a Recurring Basis</w:t>
      </w:r>
    </w:p>
    <w:p>
      <w:pPr>
        <w:spacing w:after="0" w:line="117"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i w:val="1"/>
          <w:iCs w:val="1"/>
          <w:color w:val="auto"/>
        </w:rPr>
        <w:t>Short-term borrowings</w:t>
      </w:r>
      <w:r>
        <w:rPr>
          <w:rFonts w:ascii="Arial" w:cs="Arial" w:eastAsia="Arial" w:hAnsi="Arial"/>
          <w:sz w:val="17"/>
          <w:szCs w:val="17"/>
          <w:color w:val="auto"/>
        </w:rPr>
        <w:t>—Interest rates under the borrowing agreements with the lending parties were determined based on the prevailing interest rates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The Company classifies the valuation techniques that use these inputs as Level 2 fair value measurement.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8"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760" w:firstLine="457"/>
        <w:spacing w:after="0" w:line="320"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(note 10). The Company classifies the valuation techniques that use these inputs as Level 3 fair value measurement.</w:t>
      </w:r>
    </w:p>
    <w:p>
      <w:pPr>
        <w:spacing w:after="0" w:line="135" w:lineRule="exact"/>
        <w:rPr>
          <w:sz w:val="20"/>
          <w:szCs w:val="20"/>
          <w:color w:val="auto"/>
        </w:rPr>
      </w:pPr>
    </w:p>
    <w:p>
      <w:pPr>
        <w:ind w:right="360" w:firstLine="457"/>
        <w:spacing w:after="0" w:line="323" w:lineRule="auto"/>
        <w:rPr>
          <w:sz w:val="20"/>
          <w:szCs w:val="20"/>
          <w:color w:val="auto"/>
        </w:rPr>
      </w:pPr>
      <w:r>
        <w:rPr>
          <w:rFonts w:ascii="Arial" w:cs="Arial" w:eastAsia="Arial" w:hAnsi="Arial"/>
          <w:sz w:val="15"/>
          <w:szCs w:val="15"/>
          <w:i w:val="1"/>
          <w:iCs w:val="1"/>
          <w:color w:val="auto"/>
        </w:rPr>
        <w:t>Other financial items for disclosure purpose</w:t>
      </w:r>
      <w:r>
        <w:rPr>
          <w:rFonts w:ascii="Arial" w:cs="Arial" w:eastAsia="Arial" w:hAnsi="Arial"/>
          <w:sz w:val="15"/>
          <w:szCs w:val="15"/>
          <w:color w:val="auto"/>
        </w:rPr>
        <w:t>—The fair value of other financial items of the Company for disclosure purpose, including cash and cash</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equivalents, accounts 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138"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information about inputs into the fair value measurement of the Company’s liabilities that are measured and recorded at fair value on a recurring basis in periods subsequent to their initial recognition is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0"/>
              </w:rPr>
              <w:t>Fair Value Measurement at Reporting Date Using</w:t>
            </w: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w w:val="92"/>
              </w:rPr>
              <w:t>Quoted Prices in</w:t>
            </w:r>
          </w:p>
        </w:tc>
        <w:tc>
          <w:tcPr>
            <w:tcW w:w="820" w:type="dxa"/>
            <w:vAlign w:val="bottom"/>
          </w:tcPr>
          <w:p>
            <w:pPr>
              <w:spacing w:after="0"/>
              <w:rPr>
                <w:sz w:val="9"/>
                <w:szCs w:val="9"/>
                <w:color w:val="auto"/>
              </w:rPr>
            </w:pPr>
          </w:p>
        </w:tc>
        <w:tc>
          <w:tcPr>
            <w:tcW w:w="140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6"/>
              </w:rPr>
              <w:t>Significant</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3"/>
              </w:rPr>
              <w:t>Active Markets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w w:val="93"/>
              </w:rPr>
              <w:t>for Identical</w:t>
            </w:r>
          </w:p>
        </w:tc>
        <w:tc>
          <w:tcPr>
            <w:tcW w:w="2220" w:type="dxa"/>
            <w:vAlign w:val="bottom"/>
            <w:gridSpan w:val="4"/>
          </w:tcPr>
          <w:p>
            <w:pPr>
              <w:ind w:left="820"/>
              <w:spacing w:after="0" w:line="143"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4"/>
          </w:tcPr>
          <w:p>
            <w:pPr>
              <w:ind w:left="100"/>
              <w:spacing w:after="0" w:line="143"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3" w:lineRule="exact"/>
              <w:rPr>
                <w:sz w:val="20"/>
                <w:szCs w:val="20"/>
                <w:color w:val="auto"/>
              </w:rPr>
            </w:pPr>
            <w:r>
              <w:rPr>
                <w:rFonts w:ascii="Arial" w:cs="Arial" w:eastAsia="Arial" w:hAnsi="Arial"/>
                <w:sz w:val="14"/>
                <w:szCs w:val="14"/>
                <w:b w:val="1"/>
                <w:bCs w:val="1"/>
                <w:color w:val="auto"/>
                <w:w w:val="92"/>
              </w:rPr>
              <w:t>Liabilities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0"/>
              </w:rPr>
              <w:t>Inputs</w:t>
            </w:r>
          </w:p>
        </w:tc>
        <w:tc>
          <w:tcPr>
            <w:tcW w:w="400" w:type="dxa"/>
            <w:vAlign w:val="bottom"/>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(Level 3)</w:t>
            </w:r>
          </w:p>
        </w:tc>
        <w:tc>
          <w:tcPr>
            <w:tcW w:w="4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24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2017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 (unaudited)</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Warrant liability (unaudited)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1"/>
              <w:spacing w:after="0"/>
              <w:rPr>
                <w:sz w:val="20"/>
                <w:szCs w:val="20"/>
                <w:color w:val="auto"/>
              </w:rPr>
            </w:pPr>
            <w:r>
              <w:rPr>
                <w:rFonts w:ascii="Arial" w:cs="Arial" w:eastAsia="Arial" w:hAnsi="Arial"/>
                <w:sz w:val="17"/>
                <w:szCs w:val="17"/>
                <w:color w:val="auto"/>
                <w:w w:val="93"/>
              </w:rPr>
              <w:t>4,584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20"/>
              <w:spacing w:after="0"/>
              <w:rPr>
                <w:sz w:val="20"/>
                <w:szCs w:val="20"/>
                <w:color w:val="auto"/>
              </w:rPr>
            </w:pPr>
            <w:r>
              <w:rPr>
                <w:rFonts w:ascii="Arial" w:cs="Arial" w:eastAsia="Arial" w:hAnsi="Arial"/>
                <w:sz w:val="17"/>
                <w:szCs w:val="17"/>
                <w:color w:val="auto"/>
                <w:w w:val="93"/>
              </w:rPr>
              <w:t>2,970</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December 31, 2016: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December 31, 2015: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6,854</w:t>
            </w:r>
          </w:p>
        </w:tc>
        <w:tc>
          <w:tcPr>
            <w:tcW w:w="7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on a Non-Recurring Basis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380"/>
          </w:cols>
          <w:pgMar w:left="240" w:top="448" w:right="27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 of Accounts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Certain prior year’s amounts have been reclassified to conform to current year presentations. There was no change to previously reported stockholders’ deficit or net income.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Recently Adopted in the Consolidated Financial Statements for the Six Months Ended June 30, 2017</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which simplifies several aspects of the accounting for employee stock-based payment transactions. The areas for</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 ASU No.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63"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172"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71"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amendments in this update require management to evaluate whether there are conditions and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320"/>
          </w:cols>
          <w:pgMar w:left="240" w:top="448" w:right="3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 xml:space="preserve">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ASC Topic 205-40,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adoption of ASU No. 2014-15 did not have a material impact on the Company’s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7"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currently evaluating the impact of the adoption of ASU No. 2017-11 on its consolidated financial statements.</w:t>
      </w:r>
    </w:p>
    <w:p>
      <w:pPr>
        <w:spacing w:after="0" w:line="171"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which provides guidance on determining which changes to the terms and conditions of share-based payment awards require an entity to apply modification accounting under Topic</w:t>
      </w:r>
    </w:p>
    <w:p>
      <w:pPr>
        <w:spacing w:after="0" w:line="1" w:lineRule="exact"/>
        <w:rPr>
          <w:sz w:val="20"/>
          <w:szCs w:val="20"/>
          <w:color w:val="auto"/>
        </w:rPr>
      </w:pPr>
    </w:p>
    <w:p>
      <w:pPr>
        <w:ind w:firstLine="4"/>
        <w:spacing w:after="0" w:line="260" w:lineRule="auto"/>
        <w:tabs>
          <w:tab w:leader="none" w:pos="34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8"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66" w:lineRule="exact"/>
        <w:rPr>
          <w:sz w:val="20"/>
          <w:szCs w:val="20"/>
          <w:color w:val="auto"/>
        </w:rPr>
      </w:pPr>
    </w:p>
    <w:p>
      <w:pPr>
        <w:ind w:right="220" w:firstLine="457"/>
        <w:spacing w:after="0" w:line="293"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spacing w:after="0" w:line="2" w:lineRule="exact"/>
        <w:rPr>
          <w:sz w:val="20"/>
          <w:szCs w:val="20"/>
          <w:color w:val="auto"/>
        </w:rPr>
      </w:pPr>
    </w:p>
    <w:p>
      <w:pPr>
        <w:ind w:right="220" w:firstLine="4"/>
        <w:spacing w:after="0" w:line="282" w:lineRule="auto"/>
        <w:tabs>
          <w:tab w:leader="none" w:pos="2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6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update create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supersede the leases requirements in Topic 840, </w:t>
      </w:r>
      <w:r>
        <w:rPr>
          <w:rFonts w:ascii="Arial" w:cs="Arial" w:eastAsia="Arial" w:hAnsi="Arial"/>
          <w:sz w:val="17"/>
          <w:szCs w:val="17"/>
          <w:i w:val="1"/>
          <w:iCs w:val="1"/>
          <w:color w:val="auto"/>
        </w:rPr>
        <w:t>Leases</w:t>
      </w:r>
      <w:r>
        <w:rPr>
          <w:rFonts w:ascii="Arial" w:cs="Arial" w:eastAsia="Arial" w:hAnsi="Arial"/>
          <w:sz w:val="17"/>
          <w:szCs w:val="17"/>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8"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146"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if the IPO is completed by December 31, 2017. The Company is currently in the process of assessing the potential effects of these ASUs on its consolidated financial statements, business processes, systems and controls. While the assessment process is ongoing, the Company anticipates adopting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the Company’s current revenue recognition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48" w:right="2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practices would be recognized using a cumulative effect adjustment to the opening balance of accumulated deficit. The Company does not expect the adoption of these ASUs to have a material impact on its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ACCOUNTS RECEIVABLE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accounts receivable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4700" w:type="dxa"/>
            <w:vAlign w:val="bottom"/>
          </w:tcPr>
          <w:p>
            <w:pPr>
              <w:spacing w:after="0"/>
              <w:rPr>
                <w:sz w:val="11"/>
                <w:szCs w:val="11"/>
                <w:color w:val="auto"/>
              </w:rPr>
            </w:pPr>
          </w:p>
        </w:tc>
        <w:tc>
          <w:tcPr>
            <w:tcW w:w="2600" w:type="dxa"/>
            <w:vAlign w:val="bottom"/>
            <w:gridSpan w:val="2"/>
          </w:tcPr>
          <w:p>
            <w:pPr>
              <w:jc w:val="center"/>
              <w:ind w:left="1922"/>
              <w:spacing w:after="0" w:line="137" w:lineRule="exact"/>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1"/>
                <w:szCs w:val="11"/>
                <w:color w:val="auto"/>
              </w:rPr>
            </w:pPr>
          </w:p>
        </w:tc>
        <w:tc>
          <w:tcPr>
            <w:tcW w:w="580" w:type="dxa"/>
            <w:vAlign w:val="bottom"/>
            <w:tcBorders>
              <w:top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$12,310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$16,026</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$12,186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20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6"/>
        </w:trPr>
        <w:tc>
          <w:tcPr>
            <w:tcW w:w="4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4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2600" w:type="dxa"/>
            <w:vAlign w:val="bottom"/>
            <w:gridSpan w:val="2"/>
            <w:shd w:val="clear" w:color="auto" w:fill="CCEEFF"/>
          </w:tcPr>
          <w:p>
            <w:pPr>
              <w:jc w:val="center"/>
              <w:ind w:left="1942"/>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12,310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16,026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12,070</w:t>
            </w:r>
          </w:p>
        </w:tc>
        <w:tc>
          <w:tcPr>
            <w:tcW w:w="12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The movements of allowance for doubtful accounts for the six months ended June 30, 2017 and the years ended December 31, 2016 and 2015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1"/>
                <w:szCs w:val="11"/>
                <w:color w:val="auto"/>
              </w:rPr>
            </w:pPr>
          </w:p>
        </w:tc>
        <w:tc>
          <w:tcPr>
            <w:tcW w:w="400" w:type="dxa"/>
            <w:vAlign w:val="bottom"/>
            <w:tcBorders>
              <w:top w:val="single" w:sz="8" w:color="auto"/>
            </w:tcBorders>
          </w:tcPr>
          <w:p>
            <w:pPr>
              <w:jc w:val="right"/>
              <w:ind w:right="2"/>
              <w:spacing w:after="0" w:line="137"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left="191"/>
              <w:spacing w:after="0" w:line="137"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$ 116</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$116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Write-off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Balance at end of period</w:t>
            </w:r>
          </w:p>
        </w:tc>
        <w:tc>
          <w:tcPr>
            <w:tcW w:w="1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84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7"/>
                <w:szCs w:val="17"/>
                <w:color w:val="auto"/>
                <w:w w:val="89"/>
              </w:rPr>
              <w:t>$ —</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As of December 31, 2015, the Company had pledged its accounts receivable of $6,670 as security under a short-term bank loan, which was paid during the year ended December 31, 2016 (note 6). As of June 30, 2017 and December 31, 2016, no accounts receivable were pledged as collateral for borrowings from financial institutions.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INVENTORY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inventory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3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7,662</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7,698</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$4,454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Work in process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3,307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1,260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gross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net</w:t>
            </w:r>
          </w:p>
        </w:tc>
        <w:tc>
          <w:tcPr>
            <w:tcW w:w="3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3240" w:type="dxa"/>
            <w:vAlign w:val="bottom"/>
          </w:tcPr>
          <w:p>
            <w:pPr>
              <w:spacing w:after="0"/>
              <w:rPr>
                <w:sz w:val="24"/>
                <w:szCs w:val="24"/>
                <w:color w:val="auto"/>
              </w:rPr>
            </w:pPr>
          </w:p>
        </w:tc>
        <w:tc>
          <w:tcPr>
            <w:tcW w:w="3720" w:type="dxa"/>
            <w:vAlign w:val="bottom"/>
            <w:gridSpan w:val="2"/>
          </w:tcPr>
          <w:p>
            <w:pPr>
              <w:jc w:val="right"/>
              <w:ind w:right="1926"/>
              <w:spacing w:after="0"/>
              <w:rPr>
                <w:sz w:val="20"/>
                <w:szCs w:val="20"/>
                <w:color w:val="auto"/>
              </w:rPr>
            </w:pPr>
            <w:r>
              <w:rPr>
                <w:rFonts w:ascii="Arial" w:cs="Arial" w:eastAsia="Arial" w:hAnsi="Arial"/>
                <w:sz w:val="17"/>
                <w:szCs w:val="17"/>
                <w:color w:val="auto"/>
              </w:rPr>
              <w:t>F-25</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240" w:top="448" w:right="3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Company did not set up any inventory reserve as of June 30, 2017 or December 31, 2016 or 2015. As of June 30, 2017 and December 31, 2016 and 2015, no inventory was pledged as collateral for borrowings from financial institutions.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PLANT AND EQUIPMENT, NET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property, plant and equipment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40" w:type="dxa"/>
            <w:vAlign w:val="bottom"/>
            <w:gridSpan w:val="2"/>
          </w:tcPr>
          <w:p>
            <w:pPr>
              <w:jc w:val="right"/>
              <w:ind w:right="57"/>
              <w:spacing w:after="0" w:line="137"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top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$ 8,768</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$ 8,566</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Office equipment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9,638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10,619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900" w:type="dxa"/>
            <w:vAlign w:val="bottom"/>
            <w:gridSpan w:val="3"/>
          </w:tcPr>
          <w:p>
            <w:pPr>
              <w:jc w:val="right"/>
              <w:ind w:right="300"/>
              <w:spacing w:after="0"/>
              <w:rPr>
                <w:sz w:val="20"/>
                <w:szCs w:val="20"/>
                <w:color w:val="auto"/>
              </w:rPr>
            </w:pPr>
            <w:r>
              <w:rPr>
                <w:rFonts w:ascii="Arial" w:cs="Arial" w:eastAsia="Arial" w:hAnsi="Arial"/>
                <w:sz w:val="17"/>
                <w:szCs w:val="17"/>
                <w:color w:val="auto"/>
              </w:rPr>
              <w:t>(7,849)</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(7,562)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(8,857)</w:t>
            </w: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7"/>
                <w:szCs w:val="17"/>
                <w:color w:val="auto"/>
              </w:rPr>
              <w:t>Total property, plant and equipment, net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$ 2,233</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$ 2,262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1,770</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Depreciation expense was $107, $88, $180 and $140 for the six months ended June 30, 2017 and 2016 and the years ended December 31, 2016 and 2015, respectively.</w:t>
      </w:r>
    </w:p>
    <w:p>
      <w:pPr>
        <w:spacing w:after="0" w:line="9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140"/>
          </w:cols>
          <w:pgMar w:left="240" w:top="448" w:right="51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SHORT-TERM BORROWINGS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short-term borrowings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76"/>
        </w:trPr>
        <w:tc>
          <w:tcPr>
            <w:tcW w:w="91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6"/>
              </w:rPr>
              <w:t>Line of credit up to $3,850 from Bank of Shanghai Pudong Branch, due on August 6, 2016 with annual interest rate of 5.35%,</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9"/>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guaranteed by David H. Wang, the chief executive officer and a director of ACM (“Wang”) and fully repaid on February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$3,850</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Shanghai Rural Commercial Bank Co., Ltd., due on September 14, 2016 with annual interest rate of 5.52%,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w w:val="95"/>
              </w:rPr>
              <w:t>guaranteed by Wang and secured by the Company’s accounts receivable of $6,760 and fully repaid on September 12, 2016</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3,004</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Borrowings from Bank of China, due on February 10, 2017 with annual interest rate of 4.8%, secured by certain of the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Company’s intellectual property and fully repaid on February 13,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1,222</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Bank of Shanghai Pudong Branch, due on June 24, 2017 with an annual interest rate of 5.66%, guaranteed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by Wang and fully repaid on June 25,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6"/>
              </w:rPr>
              <w:t>Line of credit up to $3,605 from Bank of Shanghai Pudong Branch, due on July 3, 2017 with an annual interest rate of 5.66%,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guaranteed by Wang and fully repaid on May 18,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1,455</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Line of credit up to $3,670 from Bank of Shanghai Pudong Branch, due on July 3, 2017 with an annual interest rate of 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guaranteed by Wang and fully repaid on June 7,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1,803</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7"/>
              </w:rPr>
              <w:t>Borrowings from Bank of China, due on July 2, 2017 with annual interest rate of 4.8%, secured by the Company’s intellectual</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fully repaid on July 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3,173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rPr>
              <w:t>Line of credit up to RMB 25,000 or equivalent US dollars from Bank of Shanghai Pudong Branch, due on September 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2017 with an annual interest rate of 5.66%, guaranteed by Wang</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w w:val="84"/>
              </w:rPr>
              <w:t>714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9"/>
              </w:rPr>
              <w:t>Line of credit up to RMB 25,000 or equivalent US dollars from Bank of Shanghai Pudong Branch, due on October 5, 2017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with an annual interest rate of 5.66%, guaranteed by Wang</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84"/>
              </w:rPr>
              <w:t>697</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r>
      <w:tr>
        <w:trPr>
          <w:trHeight w:val="215"/>
        </w:trPr>
        <w:tc>
          <w:tcPr>
            <w:tcW w:w="9120" w:type="dxa"/>
            <w:vAlign w:val="bottom"/>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4,584</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tcPr>
          <w:p>
            <w:pPr>
              <w:spacing w:after="0"/>
              <w:rPr>
                <w:sz w:val="20"/>
                <w:szCs w:val="20"/>
                <w:color w:val="auto"/>
              </w:rPr>
            </w:pPr>
            <w:r>
              <w:rPr>
                <w:rFonts w:ascii="Arial" w:cs="Arial" w:eastAsia="Arial" w:hAnsi="Arial"/>
                <w:sz w:val="17"/>
                <w:szCs w:val="17"/>
                <w:color w:val="auto"/>
              </w:rPr>
              <w:t>4,761</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For the six months ended June 30, 2017 and 2016 and the years ended December 31, 2016 and 2015, interest expense related to short-term borrowings amounted to $164, $111, $179 and $316,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8"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PAYABLE AND ACCRUED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other payable and accrued expenses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65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6540" w:type="dxa"/>
            <w:vAlign w:val="bottom"/>
          </w:tcPr>
          <w:p>
            <w:pPr>
              <w:spacing w:after="0"/>
              <w:rPr>
                <w:sz w:val="11"/>
                <w:szCs w:val="11"/>
                <w:color w:val="auto"/>
              </w:rPr>
            </w:pPr>
          </w:p>
        </w:tc>
        <w:tc>
          <w:tcPr>
            <w:tcW w:w="10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Lease expenses and payable for leasehold improvement due to a related party (note 12)</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$1,982</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$1,883</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Commissions</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737</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60" w:type="dxa"/>
            <w:vAlign w:val="bottom"/>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Accrued payroll</w:t>
            </w:r>
          </w:p>
        </w:tc>
        <w:tc>
          <w:tcPr>
            <w:tcW w:w="5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5"/>
        </w:trPr>
        <w:tc>
          <w:tcPr>
            <w:tcW w:w="6540" w:type="dxa"/>
            <w:vAlign w:val="bottom"/>
          </w:tcPr>
          <w:p>
            <w:pPr>
              <w:spacing w:after="0"/>
              <w:rPr>
                <w:sz w:val="20"/>
                <w:szCs w:val="20"/>
                <w:color w:val="auto"/>
              </w:rPr>
            </w:pPr>
            <w:r>
              <w:rPr>
                <w:rFonts w:ascii="Arial" w:cs="Arial" w:eastAsia="Arial" w:hAnsi="Arial"/>
                <w:sz w:val="17"/>
                <w:szCs w:val="17"/>
                <w:color w:val="auto"/>
              </w:rPr>
              <w:t>Others</w:t>
            </w:r>
          </w:p>
        </w:tc>
        <w:tc>
          <w:tcPr>
            <w:tcW w:w="5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4,103</w:t>
            </w:r>
          </w:p>
        </w:tc>
        <w:tc>
          <w:tcPr>
            <w:tcW w:w="6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NOTES PAYABLE</w:t>
      </w:r>
    </w:p>
    <w:p>
      <w:pPr>
        <w:spacing w:after="0" w:line="12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Notes payable consists of convertible promissory notes and term loans. As of June 30, 2017 and December 31, 2016 and 2015, the outstanding principal and accrued interest with respect to the convertible promissory notes and the term notes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5460" w:type="dxa"/>
            <w:vAlign w:val="bottom"/>
            <w:tcBorders>
              <w:bottom w:val="single" w:sz="8" w:color="CCEEFF"/>
            </w:tcBorders>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2017</w:t>
            </w:r>
          </w:p>
        </w:tc>
        <w:tc>
          <w:tcPr>
            <w:tcW w:w="3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3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3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780</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r>
      <w:tr>
        <w:trPr>
          <w:trHeight w:val="215"/>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3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1,291</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4"/>
              </w:rPr>
              <w:t>Total principal and accrued interest of convertible promissory notes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2,569</w:t>
            </w:r>
          </w:p>
        </w:tc>
      </w:tr>
      <w:tr>
        <w:trPr>
          <w:trHeight w:val="215"/>
        </w:trPr>
        <w:tc>
          <w:tcPr>
            <w:tcW w:w="548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3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3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2,837</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80" w:type="dxa"/>
            <w:vAlign w:val="bottom"/>
            <w:gridSpan w:val="2"/>
          </w:tcPr>
          <w:p>
            <w:pPr>
              <w:jc w:val="right"/>
              <w:ind w:right="3411"/>
              <w:spacing w:after="0"/>
              <w:rPr>
                <w:sz w:val="20"/>
                <w:szCs w:val="20"/>
                <w:color w:val="auto"/>
              </w:rPr>
            </w:pPr>
            <w:r>
              <w:rPr>
                <w:rFonts w:ascii="Arial" w:cs="Arial" w:eastAsia="Arial" w:hAnsi="Arial"/>
                <w:sz w:val="17"/>
                <w:szCs w:val="17"/>
                <w:color w:val="auto"/>
              </w:rPr>
              <w:t>F-28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Of the outstanding promissory notes described in the preceding table, the following amounts of principal and accrued interest pertain to notes held by related parties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9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$158</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262</w:t>
            </w:r>
          </w:p>
        </w:tc>
      </w:tr>
      <w:tr>
        <w:trPr>
          <w:trHeight w:val="26"/>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w:t>
            </w:r>
          </w:p>
        </w:tc>
      </w:tr>
      <w:tr>
        <w:trPr>
          <w:trHeight w:val="215"/>
        </w:trPr>
        <w:tc>
          <w:tcPr>
            <w:tcW w:w="962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0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768</w:t>
            </w: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40" w:firstLine="457"/>
        <w:spacing w:after="0" w:line="312" w:lineRule="auto"/>
        <w:rPr>
          <w:sz w:val="20"/>
          <w:szCs w:val="20"/>
          <w:color w:val="auto"/>
        </w:rPr>
      </w:pPr>
      <w:r>
        <w:rPr>
          <w:rFonts w:ascii="Arial" w:cs="Arial" w:eastAsia="Arial" w:hAnsi="Arial"/>
          <w:sz w:val="15"/>
          <w:szCs w:val="15"/>
          <w:color w:val="auto"/>
        </w:rPr>
        <w:t>During 2003, 2004 and 2006, ACM issued convertible promissory notes in the principal amount of $542, $401 and $1,084, respectively. The convertible promissory notes bare interest at the rate of 6% per annum computed on the basis of a 360-day year and the actual number of days elapsed until maturity, which is five years after issuance. Upon ACM’s issuance and sale of a new series of preferred stock, principal and accrued interest on the notes were to automatically convert into shares of the new series of preferred stock at a conversion price equal to the price per share of the new preferred stock to new investors.</w:t>
      </w:r>
    </w:p>
    <w:p>
      <w:pPr>
        <w:spacing w:after="0" w:line="146" w:lineRule="exact"/>
        <w:rPr>
          <w:sz w:val="20"/>
          <w:szCs w:val="20"/>
          <w:color w:val="auto"/>
        </w:rPr>
      </w:pPr>
    </w:p>
    <w:p>
      <w:pPr>
        <w:ind w:right="360" w:firstLine="457"/>
        <w:spacing w:after="0" w:line="266" w:lineRule="auto"/>
        <w:rPr>
          <w:sz w:val="20"/>
          <w:szCs w:val="20"/>
          <w:color w:val="auto"/>
        </w:rPr>
      </w:pPr>
      <w:r>
        <w:rPr>
          <w:rFonts w:ascii="Arial" w:cs="Arial" w:eastAsia="Arial" w:hAnsi="Arial"/>
          <w:sz w:val="17"/>
          <w:szCs w:val="17"/>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$0.72 to $ 0.75 per share. The warrants are exercisable until the earlier of (1) five years after the warrant issue date and (2) the occurrence of a merger or consolidation of ACM or ACM’s sale, transfer or other disposition of all or substantially all of ACM’s assets.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 xml:space="preserve">The Company accounted for the convertible promissory notes and warrants in accordance with FASB ASC paragraph 470-20-25,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w:t>
      </w:r>
      <w:r>
        <w:rPr>
          <w:rFonts w:ascii="Arial" w:cs="Arial" w:eastAsia="Arial" w:hAnsi="Arial"/>
          <w:sz w:val="17"/>
          <w:szCs w:val="17"/>
          <w:color w:val="auto"/>
        </w:rPr>
        <w:t>. Proceeds from the issuance of promissory notes and warrants were allocated to the two elements based on the relative fair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notes without the warrants and of the warrants themselves at time of issuance. The Company did not identify any derivative liabilities and beneficial conversion features.</w:t>
      </w:r>
    </w:p>
    <w:p>
      <w:pPr>
        <w:spacing w:after="0" w:line="176"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During 2004, 2005, 2013 and 2014, ACM issued term notes in the aggregate principal amounts of $53, $200, $100 and $60, respectively. All of such term notes were issued to Wang and one other director, except that $140 in principal amount of the term notes issued in 2005 were issued to third parties. The term notes bore interest at 6% per annum and became due three months after the note issuance date. The $200 in principal amount of term notes issued in 2005, together with $4 in accrued interest, were exchanged for convertible promissory notes in 2006.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8" w:right="2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As of December 31, 2015, no convertible promissory notes had been converted into preferred stock as no new series of preferred stock had been issued and sold and all warrants expired as no warrant holder exercised the warrants.</w:t>
      </w:r>
    </w:p>
    <w:p>
      <w:pPr>
        <w:spacing w:after="0" w:line="15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During 2016, the Company modified the terms of the convertible promissory notes and provided the note holders with the option of converting the principal amount of their convertible promissory notes into Class A common stock at $0.75 or $1.50 per share on the condition that they agree to waive all accrued interest. For those holders who did not elect to convert their notes into Class A common stock, the principal of, and accrued interest on, their convertible promissory notes were converted into Series F convertible preferred stock at $2.50 per share. The convertible promissory notes converted into 1,812,069 shares of Class A common stock and 47,454 shares of Series F convertible preferred stock on December 30, 2016. Net loss due to extinguishment of debt from these conversions totaled $1,670 during 2016. The balance of $11 of notes payable at June 30, 2017 and December 31, 2016 represented accrued interest that ACM was liable to pay to convertible promissory note holders.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INVESTORS’ DEPOSITS</w:t>
      </w:r>
    </w:p>
    <w:p>
      <w:pPr>
        <w:spacing w:after="0" w:line="123"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10).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WARRANT LIABILITY</w:t>
      </w:r>
    </w:p>
    <w:p>
      <w:pPr>
        <w:spacing w:after="0" w:line="123"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 As of December 31, 2016, the terms of the SMC Investment had not yet been negotiated and the SMC Investment was recorded as investors’ deposit.</w:t>
      </w:r>
    </w:p>
    <w:p>
      <w:pPr>
        <w:spacing w:after="0" w:line="13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 US dollar exchange rate.</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 xml:space="preserve">In accordance with FASB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warrant is classified as a liability as the warrant is conditional puttable. The fair value of the warrant is adjusted for changes in fair value at each reporting period but cannot be lower than the proceeds of the SMC Investment. The corresponding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8"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non-cash gain or loss of the changes in fair value is recorded in earnings. The methodology used to value the warrant was the Black-Scholes valuation model with the following assumptions: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r>
      <w:tr>
        <w:trPr>
          <w:trHeight w:val="166"/>
        </w:trPr>
        <w:tc>
          <w:tcPr>
            <w:tcW w:w="4620" w:type="dxa"/>
            <w:vAlign w:val="bottom"/>
          </w:tcPr>
          <w:p>
            <w:pPr>
              <w:spacing w:after="0"/>
              <w:rPr>
                <w:sz w:val="14"/>
                <w:szCs w:val="14"/>
                <w:color w:val="auto"/>
              </w:rPr>
            </w:pPr>
          </w:p>
        </w:tc>
        <w:tc>
          <w:tcPr>
            <w:tcW w:w="29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202"/>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 (1)</w:t>
            </w:r>
          </w:p>
        </w:tc>
        <w:tc>
          <w:tcPr>
            <w:tcW w:w="2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$ 7.59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Expected term in years (2)</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5.88</w:t>
            </w:r>
          </w:p>
        </w:tc>
        <w:tc>
          <w:tcPr>
            <w:tcW w:w="2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Volatility (3)</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28.31%</w:t>
            </w: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Risk-free interest rate (4)</w:t>
            </w:r>
          </w:p>
        </w:tc>
        <w:tc>
          <w:tcPr>
            <w:tcW w:w="3140" w:type="dxa"/>
            <w:vAlign w:val="bottom"/>
            <w:gridSpan w:val="3"/>
          </w:tcPr>
          <w:p>
            <w:pPr>
              <w:jc w:val="right"/>
              <w:ind w:right="60"/>
              <w:spacing w:after="0"/>
              <w:rPr>
                <w:sz w:val="20"/>
                <w:szCs w:val="20"/>
                <w:color w:val="auto"/>
              </w:rPr>
            </w:pPr>
            <w:r>
              <w:rPr>
                <w:rFonts w:ascii="Arial" w:cs="Arial" w:eastAsia="Arial" w:hAnsi="Arial"/>
                <w:sz w:val="17"/>
                <w:szCs w:val="17"/>
                <w:color w:val="auto"/>
              </w:rPr>
              <w:t>1.85%</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(5)</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220" w:hanging="456"/>
        <w:spacing w:after="0" w:line="263"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for the six months ended June 30, 2017.</w:t>
      </w: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term of the warrant represents the period from the current balance sheet date to the warrant expiration date.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OTHER LONG-TERM LIABILITIES</w:t>
      </w:r>
    </w:p>
    <w:p>
      <w:pPr>
        <w:spacing w:after="0" w:line="123"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(note 2). As of June 30, 2017 and December 31, 2016 and 2015, other long-term liabilities consisted of the following unearned government subsidies: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$1,938</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$1,958</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$1,836</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5,338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5,250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Subsidies to short-term borrowings’ interest expenses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7"/>
                <w:szCs w:val="17"/>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7,276</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6,879</w:t>
            </w: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7,187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RELATED PARTY BALANCES AND TRANSACTIONS</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one of whose affiliates then held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six months ended June 30, 2017 and 2016 and the years ended December 31, 2016 and 2015, the Company incurred leasing expenses under the lease agreement of $321, $330, $640 and $692, respectively. As of June 30, 2017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380"/>
          </w:cols>
          <w:pgMar w:left="240" w:top="448" w:right="27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December 31, 2016 and 2015, payables to Zhangjiang Group for lease expenses and leasehold improvements recorded as other payables and accrued expenses, amounted to $1,982, $1,883 and $2,070, respectively (note 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2015, the Company issued convertible promissory notes and term loans to Wang (note 8).</w:t>
      </w:r>
    </w:p>
    <w:p>
      <w:pPr>
        <w:spacing w:after="0" w:line="222" w:lineRule="exact"/>
        <w:rPr>
          <w:sz w:val="20"/>
          <w:szCs w:val="20"/>
          <w:color w:val="auto"/>
        </w:rPr>
      </w:pPr>
    </w:p>
    <w:p>
      <w:pPr>
        <w:ind w:right="240" w:firstLine="457"/>
        <w:spacing w:after="0" w:line="292" w:lineRule="auto"/>
        <w:rPr>
          <w:sz w:val="20"/>
          <w:szCs w:val="20"/>
          <w:color w:val="auto"/>
        </w:rPr>
      </w:pPr>
      <w:r>
        <w:rPr>
          <w:rFonts w:ascii="Arial" w:cs="Arial" w:eastAsia="Arial" w:hAnsi="Arial"/>
          <w:sz w:val="15"/>
          <w:szCs w:val="15"/>
          <w:color w:val="auto"/>
        </w:rPr>
        <w:t>On December 9, 2016, ACM Shanghai received the SMC Investment from SMC for potential investment pursuant to terms to be subsequently negotiated (notes 9, 10 and 20). SMC is a limited partnership incorporated in the PRC, whose partners consist of employees of ACM Shanghai. As of June 30, 2017 and December 31, 2016 and 2015, investors’ deposits from SMC amounted to $0, $2,902 and $0,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LEASES</w:t>
      </w:r>
    </w:p>
    <w:p>
      <w:pPr>
        <w:spacing w:after="0" w:line="123" w:lineRule="exact"/>
        <w:rPr>
          <w:sz w:val="20"/>
          <w:szCs w:val="20"/>
          <w:color w:val="auto"/>
        </w:rPr>
      </w:pPr>
    </w:p>
    <w:p>
      <w:pPr>
        <w:jc w:val="both"/>
        <w:ind w:right="440" w:firstLine="457"/>
        <w:spacing w:after="0" w:line="271" w:lineRule="auto"/>
        <w:rPr>
          <w:sz w:val="20"/>
          <w:szCs w:val="20"/>
          <w:color w:val="auto"/>
        </w:rPr>
      </w:pPr>
      <w:r>
        <w:rPr>
          <w:rFonts w:ascii="Arial" w:cs="Arial" w:eastAsia="Arial" w:hAnsi="Arial"/>
          <w:sz w:val="17"/>
          <w:szCs w:val="17"/>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2018 and increase the base rent to $3 per month.</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ACM Shanghai entered into an operating lease agreement with Zhangjiang Group (a related party, see note 12) in 2007 for manufacturing and office space of approximately 63,510 square feet in Shanghai, China. The lease agreement has been amended several times to modify payment terms and extend the lease term, most recently through December 31, 2017. Monthly rent is $58 during 2017 and 2016.</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Wuxi leases office space in Wuxi, China, at a rate of less than $1 per month.</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non-cancelable lease agreements as of June 30, 2017 and December 31, 2016 were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tcPr>
          <w:p>
            <w:pPr>
              <w:ind w:left="84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2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$2,318</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60" w:type="dxa"/>
            <w:vAlign w:val="bottom"/>
            <w:tcBorders>
              <w:top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2018</w:t>
            </w:r>
          </w:p>
        </w:tc>
        <w:tc>
          <w:tcPr>
            <w:tcW w:w="26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2,326</w:t>
            </w:r>
          </w:p>
        </w:tc>
        <w:tc>
          <w:tcPr>
            <w:tcW w:w="10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color w:val="auto"/>
        </w:rPr>
        <w:t>Rent expense was $336, $342, $675 and $718 for the six months ended June 30, 2017 and 2016 and the years ended December 31, 2016 and 2015,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00"/>
          </w:cols>
          <w:pgMar w:left="240" w:top="448"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COMMON STOCK</w:t>
      </w:r>
    </w:p>
    <w:p>
      <w:pPr>
        <w:spacing w:after="0" w:line="123"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Prior to the Merger in November 2016, ACM was authorized to issue 100,000,000 shares of common stock, without par value. Each share of common stock entitled the holder to one vote on all matters submitted to a vote by ACM’s stockholders. Common stockholders were entitled to dividends when and if declared by the Board of Directors. At December 31, 2015, there were 2,047,403 shares issued and outstanding.</w:t>
      </w:r>
    </w:p>
    <w:p>
      <w:pPr>
        <w:spacing w:after="0" w:line="172"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Upon the Merger, ACM became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 Each share of ACM’s common stock outstanding immediately prior to the Merger was converted into one share of Class B common stock as a result of the Merger.</w:t>
      </w:r>
    </w:p>
    <w:p>
      <w:pPr>
        <w:spacing w:after="0" w:line="1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At June 30, 2017 and December 31, 2016, the number of shares of Class A common stock issued and outstanding was 2,627,293 and 2,228,740, respectively, of which 1,812,069 and 1,812,069 aggregated shares derived from conversion of convertible promissory notes, and 815,224 and 416,671 aggregated shares derived from exercises of stock options, respectively. At June 30, 2017 and December 31, 2016, the number of shares of Class B common stock issued and outstanding was 2,409,738, of which 2,047,403 aggregated shares derived from conversion of the original common stock upon the Merger and 362,335 aggregated shares derived from exercises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REDEEMABLE CONVERTIBLE PREFERRED STOCK</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As of December 31, 2015, ACM had 8,157,000 authorized shares of preferred stock, of which 385,000, 1,572,000, 1,400,000 and 4,800,000 shares were designated as Series A, Series B, Series C and Series D preferred stock, respectively. On August 1, 2016, the Company amended the Articles of Incorporation and was further authorized to issue 10,718,530 shares of Series E preferred stock and 6,000,000 shares of Series F preferred stock. Upon the Merger in November 2016, the numbers of authorized shares of Series C and Series D were reduced to 1,360,962 and 2,659,975, respectively. Each share of ACM’s convertible preferred stock outstanding immediately prior to the Merger was converted into one share of the same series of convertible preferred stock as a result of the Merger. Accordingly, as of December 31, 2016 and June 30, 2017, ACM had 22,696,467 authorized shares of preferred stock, of which 385,000, 1,572,000, 1,360,962, 2,659,975, 10,718,530, and 6,000,000 shares were designated as Series A, Series B, Series C, Series D, Series E and Series F preferred stock, respectively.</w:t>
      </w:r>
    </w:p>
    <w:p>
      <w:pPr>
        <w:spacing w:after="0" w:line="154"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During the six months ended June 30, 2017, no activities occurred with respect to convertible preferred stock. During 2016, ACM issued 3,663,254 shares of Series F preferred stock, consisting of 3,615,800 shares issued at $2.50 per share for cash totaling $9,040 and 47,454 shares issued upon conversion of convertible promissory notes.</w:t>
      </w:r>
    </w:p>
    <w:p>
      <w:pPr>
        <w:spacing w:after="0" w:line="172" w:lineRule="exact"/>
        <w:rPr>
          <w:sz w:val="20"/>
          <w:szCs w:val="20"/>
          <w:color w:val="auto"/>
        </w:rPr>
      </w:pPr>
    </w:p>
    <w:p>
      <w:pPr>
        <w:jc w:val="both"/>
        <w:ind w:right="420" w:firstLine="457"/>
        <w:spacing w:after="0" w:line="357" w:lineRule="auto"/>
        <w:rPr>
          <w:sz w:val="20"/>
          <w:szCs w:val="20"/>
          <w:color w:val="auto"/>
        </w:rPr>
      </w:pPr>
      <w:r>
        <w:rPr>
          <w:rFonts w:ascii="Arial" w:cs="Arial" w:eastAsia="Arial" w:hAnsi="Arial"/>
          <w:sz w:val="15"/>
          <w:szCs w:val="15"/>
          <w:color w:val="auto"/>
        </w:rPr>
        <w:t>The number of outstanding shares of Series A, Series B, Series C, Series D, Series E and Series F was 385,000, 1,572,000, 1,360,962, 1,326,642, 0 and 3,663,254, respectively, at June 30, 2017 and December 31, 2016 and 385,000, 1,572,000, 1,360,962, 1,326,642, 0 and 0, respectively, at December 31, 2015.</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ACM’s convertible preferred stock have rights, preferences and privileges as follows: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48"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7"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Each share of Series A through Series F convertible preferred stock is entitled to a number of votes equal to the number of whole shares of common stock into which such share can be converted.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7"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share of Series A through Series F convertible preferred stock is convertible at any time, at the option of the holder. At June 30, 2017, each share of Series A, B and F convertible preferred stock was convertible into one-third share of Class A common stock, each share of Series C convertible preferred stock was convertible into 0.3544 shares of Class A common stock, and each share of Series D convertible preferred stock was convertible into 0.4562 shares of Class A common stock. The Series A through Series F convertible preferred stock will convert automatically into Class A common stock upon the closing of an initial public offering of Class A common stock with aggregate proceeds of at least $20,000 and a per-share price of at least $15.00. At June 30, 2017 and 2016 and December 31, 2016, 2,960,968 shares of Class A common stock were reserved for issuance upon conversion of outstanding Series A through Series F convertible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Preferences</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72"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STOCK-BASED COMPENSATION</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00"/>
          </w:cols>
          <w:pgMar w:left="240" w:top="448" w:right="2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550,003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(50,002)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1,500,010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1.02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1,009,371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(409,004)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2,100,377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2.03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83,334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(166,667)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(7,099)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2,009,945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2.36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942,367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758,708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821,598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During the six months ended June 30, 2017 and 2016 and the years ended December 31, 2016 and 2015, ACM recognized employee stock-based compensation expense of $128, $46, $92 and $73, respectively. As of June 30, 2017 and December 31, 2016 and 2015, $788, $726 and $299, respectively, of total unrecognized employee stock-based compensation expense, net of estimated forfeitures, related to stock-based awards were expected to be recognized over a weighted-average period of 2.12 years, 2.25 years and 1.24 years, respectively. Total unrecognized compensation cost may be adjusted for future changes in estimated forfeitures.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80"/>
          </w:cols>
          <w:pgMar w:left="240" w:top="448" w:right="2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each option granted to employee is estimated on the grant date using the Black-Scholes valuation model with the following assumptions.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 options were granted to employees during the six months ended June 30, 2016.</w:t>
      </w:r>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3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580" w:type="dxa"/>
            <w:vAlign w:val="bottom"/>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3"/>
                <w:szCs w:val="3"/>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tcPr>
          <w:p>
            <w:pPr>
              <w:spacing w:after="0"/>
              <w:rPr>
                <w:sz w:val="14"/>
                <w:szCs w:val="14"/>
                <w:color w:val="auto"/>
              </w:rPr>
            </w:pPr>
          </w:p>
        </w:tc>
        <w:tc>
          <w:tcPr>
            <w:tcW w:w="19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$ 7.59</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$ 1.59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5.75-6.25</w:t>
            </w:r>
          </w:p>
        </w:tc>
        <w:tc>
          <w:tcPr>
            <w:tcW w:w="6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29.18%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29.93%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2380" w:type="dxa"/>
            <w:vAlign w:val="bottom"/>
            <w:gridSpan w:val="3"/>
          </w:tcPr>
          <w:p>
            <w:pPr>
              <w:jc w:val="right"/>
              <w:ind w:right="320"/>
              <w:spacing w:after="0"/>
              <w:rPr>
                <w:sz w:val="20"/>
                <w:szCs w:val="20"/>
                <w:color w:val="auto"/>
              </w:rPr>
            </w:pPr>
            <w:r>
              <w:rPr>
                <w:rFonts w:ascii="Arial" w:cs="Arial" w:eastAsia="Arial" w:hAnsi="Arial"/>
                <w:sz w:val="17"/>
                <w:szCs w:val="17"/>
                <w:color w:val="auto"/>
              </w:rPr>
              <w:t>2.22%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7"/>
                <w:szCs w:val="17"/>
                <w:color w:val="auto"/>
                <w:w w:val="92"/>
              </w:rPr>
              <w:t>2.02%-2.32%</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hanging="456"/>
        <w:spacing w:after="0" w:line="261" w:lineRule="auto"/>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ind w:left="460" w:right="60" w:hanging="456"/>
        <w:spacing w:after="0" w:line="256" w:lineRule="auto"/>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Expected term of stock options is based on the average of the vesting period and the contractual term for each grant according to Staff Accounting Bulletin 110.</w:t>
      </w:r>
    </w:p>
    <w:p>
      <w:pPr>
        <w:ind w:left="460" w:hanging="456"/>
        <w:spacing w:after="0"/>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40" w:hanging="456"/>
        <w:spacing w:after="0" w:line="256" w:lineRule="auto"/>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stock options in effect at the time of grant.</w:t>
      </w:r>
    </w:p>
    <w:p>
      <w:pPr>
        <w:ind w:left="460" w:hanging="456"/>
        <w:spacing w:after="0"/>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09"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300"/>
          </w:cols>
          <w:pgMar w:left="240" w:top="448" w:right="3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non-employee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1,036,673</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496,670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1,533,343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0.99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415,225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(370,003)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1,578,565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1.58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133,335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(231,886)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0.99</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1,480,014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2.20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1,006,117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877,097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789,997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During the six months ended June 30, 2017 and 2016 and the years ended December 31, 2016 and 2015, the Company recognized non-employee stock-based compensation expense of $1,220, $148, $291 and $350, respectively.</w:t>
      </w:r>
    </w:p>
    <w:p>
      <w:pPr>
        <w:spacing w:after="0" w:line="158"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fair value of each option granted to non-employees is re-measured at each period end until the vesting date using the Black-Scholes valuation model with the following assumptions: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6"/>
              </w:rPr>
              <w:t>June 30,</w:t>
            </w:r>
          </w:p>
        </w:tc>
        <w:tc>
          <w:tcPr>
            <w:tcW w:w="1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2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58"/>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56"/>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78"/>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6"/>
              <w:spacing w:after="0" w:line="13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$6.87-$7.59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340" w:type="dxa"/>
            <w:vAlign w:val="bottom"/>
          </w:tcPr>
          <w:p>
            <w:pPr>
              <w:jc w:val="right"/>
              <w:spacing w:after="0"/>
              <w:rPr>
                <w:sz w:val="20"/>
                <w:szCs w:val="20"/>
                <w:color w:val="auto"/>
              </w:rPr>
            </w:pPr>
            <w:r>
              <w:rPr>
                <w:rFonts w:ascii="Arial" w:cs="Arial" w:eastAsia="Arial" w:hAnsi="Arial"/>
                <w:sz w:val="17"/>
                <w:szCs w:val="17"/>
                <w:color w:val="auto"/>
              </w:rPr>
              <w:t>4.08-6.19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2.62-5.69</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2.11-6.24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3.12-5.94</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28.87%-29.41%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30.59%-31.43%</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33.21%</w:t>
            </w: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340" w:type="dxa"/>
            <w:vAlign w:val="bottom"/>
          </w:tcPr>
          <w:p>
            <w:pPr>
              <w:jc w:val="right"/>
              <w:spacing w:after="0"/>
              <w:rPr>
                <w:sz w:val="20"/>
                <w:szCs w:val="20"/>
                <w:color w:val="auto"/>
              </w:rPr>
            </w:pPr>
            <w:r>
              <w:rPr>
                <w:rFonts w:ascii="Arial" w:cs="Arial" w:eastAsia="Arial" w:hAnsi="Arial"/>
                <w:sz w:val="17"/>
                <w:szCs w:val="17"/>
                <w:color w:val="auto"/>
              </w:rPr>
              <w:t>1.85%-2.33%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0.71%-1.21%</w:t>
            </w:r>
          </w:p>
        </w:tc>
        <w:tc>
          <w:tcPr>
            <w:tcW w:w="3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1.00%-2.25%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1.31%-1.76%</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100" w:hanging="456"/>
        <w:spacing w:after="0" w:line="271"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00"/>
          </w:cols>
          <w:pgMar w:left="240" w:top="448"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right="160" w:hanging="456"/>
        <w:spacing w:after="0" w:line="263" w:lineRule="auto"/>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460" w:hanging="456"/>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140" w:hanging="456"/>
        <w:spacing w:after="0" w:line="256" w:lineRule="auto"/>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6"/>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INCOME TAXES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represent components of the income tax benefit (expense) for the six months ended June 30, 2017 and 2016 and the years ended December 31,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2016 and 2015:</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4"/>
                <w:szCs w:val="14"/>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tcBorders>
              <w:bottom w:val="single" w:sz="8" w:color="CCEEFF"/>
            </w:tcBorders>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2017</w:t>
            </w:r>
          </w:p>
        </w:tc>
        <w:tc>
          <w:tcPr>
            <w:tcW w:w="1380" w:type="dxa"/>
            <w:vAlign w:val="bottom"/>
            <w:tcBorders>
              <w:top w:val="single" w:sz="8" w:color="auto"/>
              <w:bottom w:val="single" w:sz="8" w:color="auto"/>
            </w:tcBorders>
            <w:gridSpan w:val="2"/>
          </w:tcPr>
          <w:p>
            <w:pPr>
              <w:jc w:val="right"/>
              <w:ind w:right="153"/>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5"/>
              <w:spacing w:after="0" w:line="137"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w:t>
            </w:r>
          </w:p>
        </w:tc>
        <w:tc>
          <w:tcPr>
            <w:tcW w:w="2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tcPr>
          <w:p>
            <w:pPr>
              <w:spacing w:after="0"/>
              <w:rPr>
                <w:sz w:val="18"/>
                <w:szCs w:val="18"/>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benefit (expense)</w:t>
            </w:r>
          </w:p>
        </w:tc>
        <w:tc>
          <w:tcPr>
            <w:tcW w:w="2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8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(749)</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w:t>
            </w:r>
          </w:p>
        </w:tc>
        <w:tc>
          <w:tcPr>
            <w:tcW w:w="6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40" w:type="dxa"/>
            <w:vAlign w:val="bottom"/>
            <w:gridSpan w:val="2"/>
          </w:tcPr>
          <w:p>
            <w:pPr>
              <w:jc w:val="right"/>
              <w:ind w:right="1416"/>
              <w:spacing w:after="0"/>
              <w:rPr>
                <w:sz w:val="20"/>
                <w:szCs w:val="20"/>
                <w:color w:val="auto"/>
              </w:rPr>
            </w:pPr>
            <w:r>
              <w:rPr>
                <w:rFonts w:ascii="Arial" w:cs="Arial" w:eastAsia="Arial" w:hAnsi="Arial"/>
                <w:sz w:val="17"/>
                <w:szCs w:val="17"/>
                <w:color w:val="auto"/>
              </w:rPr>
              <w:t>F-38</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effects of temporary differences that give rise to significant portions of the Company’s deferred tax assets at June 30, 2017 and December 31, 2016 and 2015 are presented below:</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560" w:type="dxa"/>
            <w:vAlign w:val="bottom"/>
          </w:tcPr>
          <w:p>
            <w:pPr>
              <w:jc w:val="right"/>
              <w:ind w:right="55"/>
              <w:spacing w:after="0" w:line="137"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ind w:right="58"/>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5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Net operating loss carry forwards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$ 1,029</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$ 1,568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carry forwards (U.S.) and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5,815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Deferred revenue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589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840</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Reserves and other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Property and equipment (U.S.)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gross deferred tax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560" w:type="dxa"/>
            <w:vAlign w:val="bottom"/>
          </w:tcPr>
          <w:p>
            <w:pPr>
              <w:jc w:val="right"/>
              <w:spacing w:after="0"/>
              <w:rPr>
                <w:sz w:val="20"/>
                <w:szCs w:val="20"/>
                <w:color w:val="auto"/>
              </w:rPr>
            </w:pPr>
            <w:r>
              <w:rPr>
                <w:rFonts w:ascii="Arial" w:cs="Arial" w:eastAsia="Arial" w:hAnsi="Arial"/>
                <w:sz w:val="17"/>
                <w:szCs w:val="17"/>
                <w:color w:val="auto"/>
              </w:rPr>
              <w:t>(8,713)</w:t>
            </w:r>
          </w:p>
        </w:tc>
        <w:tc>
          <w:tcPr>
            <w:tcW w:w="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(6,249)</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(6,148)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Translation difference</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Deferred tax assets, net</w:t>
            </w: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$ 1,841</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$ 2,432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June 30, 2017 and December 31, 2016 and 2015,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increased by approximately $1,811, $264 and $106 during the six months ended June 30, 2017 and the years ended December 31, 2016 and 2015, respectively. The valuation allowance in China increased by approximately $653 and decreased by $163 and $2,469 during six months ended June 30, 2017 and the years ended December 31, 2016 and 2015,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 did not have any significant temporary differences relating to deferred tax liabilities as of June 30, 2017 or December 31, 2016 or 2015.</w:t>
      </w:r>
    </w:p>
    <w:p>
      <w:pPr>
        <w:spacing w:after="0" w:line="222" w:lineRule="exact"/>
        <w:rPr>
          <w:sz w:val="20"/>
          <w:szCs w:val="20"/>
          <w:color w:val="auto"/>
        </w:rPr>
      </w:pPr>
    </w:p>
    <w:p>
      <w:pPr>
        <w:jc w:val="both"/>
        <w:ind w:right="360" w:firstLine="457"/>
        <w:spacing w:after="0" w:line="271" w:lineRule="auto"/>
        <w:rPr>
          <w:sz w:val="20"/>
          <w:szCs w:val="20"/>
          <w:color w:val="auto"/>
        </w:rPr>
      </w:pPr>
      <w:r>
        <w:rPr>
          <w:rFonts w:ascii="Arial" w:cs="Arial" w:eastAsia="Arial" w:hAnsi="Arial"/>
          <w:sz w:val="17"/>
          <w:szCs w:val="17"/>
          <w:color w:val="auto"/>
        </w:rPr>
        <w:t>As of June 30, 2017 and December 31, 2016, the Company had net operating loss carry-forwards of respectively, $18,886 and $15,037 for U.S federal purposes, $322 for U.S. state purposes and $8,409 and $6,822 for Chinese income tax purposes. Such losses are set to expire in 2019, 2032, and 2017 for U.S. federal, U.S. state and Chinese income tax purposes, respectively.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360"/>
          </w:cols>
          <w:pgMar w:left="240" w:top="448" w:right="29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60" w:firstLine="457"/>
        <w:spacing w:after="0" w:line="320" w:lineRule="auto"/>
        <w:rPr>
          <w:sz w:val="20"/>
          <w:szCs w:val="20"/>
          <w:color w:val="auto"/>
        </w:rPr>
      </w:pPr>
      <w:r>
        <w:rPr>
          <w:rFonts w:ascii="Arial" w:cs="Arial" w:eastAsia="Arial" w:hAnsi="Arial"/>
          <w:sz w:val="16"/>
          <w:szCs w:val="16"/>
          <w:color w:val="auto"/>
        </w:rPr>
        <w:t>As of June 30, 2017 and December 31, 2016, the Company had research credit carry-forwards of $606 for U.S. federal purposes, and $377 for U.S. state purposes. Such credits are set to expire in 2025 for U.S. federal carry-forwards. There is no expiration date for U.S. state carry-forwards.</w:t>
      </w:r>
    </w:p>
    <w:p>
      <w:pPr>
        <w:spacing w:after="0" w:line="135"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June 30, 2017 and December 31, 2016, the Company had not performed an analysis to determine if its net operating loss and credit carry-forwards would be subject to such limitations.</w:t>
      </w:r>
    </w:p>
    <w:p>
      <w:pPr>
        <w:spacing w:after="0" w:line="160"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six months ended June 30, 2017 and 2016 and the years ended December 31, 2016 and 2015.</w:t>
      </w:r>
    </w:p>
    <w:p>
      <w:pPr>
        <w:spacing w:after="0" w:line="16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Income tax (expense) benefit for the six months ended June 30, 2017 and 2016 and years ended December 31, 2016 and 2015 differed from the amounts computed by applying the statutory federal income tax rate of 34% to pretax income (loss) as a result of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2"/>
              <w:spacing w:after="0" w:line="137"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tax rate reconciliation:</w:t>
            </w:r>
          </w:p>
        </w:tc>
        <w:tc>
          <w:tcPr>
            <w:tcW w:w="1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Income tax provision at statutory rate</w:t>
            </w:r>
          </w:p>
        </w:tc>
        <w:tc>
          <w:tcPr>
            <w:tcW w:w="3280" w:type="dxa"/>
            <w:vAlign w:val="bottom"/>
            <w:gridSpan w:val="3"/>
          </w:tcPr>
          <w:p>
            <w:pPr>
              <w:jc w:val="right"/>
              <w:ind w:right="760"/>
              <w:spacing w:after="0"/>
              <w:rPr>
                <w:sz w:val="20"/>
                <w:szCs w:val="20"/>
                <w:color w:val="auto"/>
              </w:rPr>
            </w:pPr>
            <w:r>
              <w:rPr>
                <w:rFonts w:ascii="Arial" w:cs="Arial" w:eastAsia="Arial" w:hAnsi="Arial"/>
                <w:sz w:val="17"/>
                <w:szCs w:val="17"/>
                <w:color w:val="auto"/>
              </w:rPr>
              <w:t>34.0%</w:t>
            </w:r>
          </w:p>
        </w:tc>
        <w:tc>
          <w:tcPr>
            <w:tcW w:w="1400" w:type="dxa"/>
            <w:vAlign w:val="bottom"/>
            <w:gridSpan w:val="2"/>
          </w:tcPr>
          <w:p>
            <w:pPr>
              <w:jc w:val="right"/>
              <w:ind w:right="540"/>
              <w:spacing w:after="0"/>
              <w:rPr>
                <w:sz w:val="20"/>
                <w:szCs w:val="20"/>
                <w:color w:val="auto"/>
              </w:rPr>
            </w:pPr>
            <w:r>
              <w:rPr>
                <w:rFonts w:ascii="Arial" w:cs="Arial" w:eastAsia="Arial" w:hAnsi="Arial"/>
                <w:sz w:val="17"/>
                <w:szCs w:val="17"/>
                <w:color w:val="auto"/>
              </w:rPr>
              <w:t>34.0%</w:t>
            </w: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w w:val="97"/>
              </w:rPr>
              <w:t>(34.0)%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taxes, net of Federal benefit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Foreign rate differential</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20.4</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38.7</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permanent difference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(32.4)</w:t>
            </w:r>
          </w:p>
        </w:tc>
        <w:tc>
          <w:tcPr>
            <w:tcW w:w="118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w w:val="98"/>
              </w:rPr>
              <w:t>(20.9)</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Change in valuation allowance</w:t>
            </w:r>
          </w:p>
        </w:tc>
        <w:tc>
          <w:tcPr>
            <w:tcW w:w="17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7"/>
                <w:szCs w:val="17"/>
                <w:color w:val="auto"/>
              </w:rPr>
              <w:t>(78.0)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(16.0)</w:t>
            </w: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(3.8)</w:t>
            </w:r>
          </w:p>
        </w:tc>
        <w:tc>
          <w:tcPr>
            <w:tcW w:w="380" w:type="dxa"/>
            <w:vAlign w:val="bottom"/>
          </w:tcPr>
          <w:p>
            <w:pPr>
              <w:jc w:val="right"/>
              <w:spacing w:after="0"/>
              <w:rPr>
                <w:sz w:val="20"/>
                <w:szCs w:val="20"/>
                <w:color w:val="auto"/>
              </w:rPr>
            </w:pPr>
            <w:r>
              <w:rPr>
                <w:rFonts w:ascii="Arial" w:cs="Arial" w:eastAsia="Arial" w:hAnsi="Arial"/>
                <w:sz w:val="17"/>
                <w:szCs w:val="17"/>
                <w:color w:val="auto"/>
              </w:rPr>
              <w:t>61.6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 benefit</w:t>
            </w:r>
          </w:p>
        </w:tc>
        <w:tc>
          <w:tcPr>
            <w:tcW w:w="1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w:t>
            </w:r>
          </w:p>
        </w:tc>
        <w:tc>
          <w:tcPr>
            <w:tcW w:w="118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7"/>
              </w:rPr>
              <w:t>(20.0)%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80" w:type="dxa"/>
            <w:vAlign w:val="bottom"/>
            <w:gridSpan w:val="3"/>
          </w:tcPr>
          <w:p>
            <w:pPr>
              <w:jc w:val="right"/>
              <w:ind w:right="1880"/>
              <w:spacing w:after="0"/>
              <w:rPr>
                <w:sz w:val="20"/>
                <w:szCs w:val="20"/>
                <w:color w:val="auto"/>
              </w:rPr>
            </w:pPr>
            <w:r>
              <w:rPr>
                <w:rFonts w:ascii="Arial" w:cs="Arial" w:eastAsia="Arial" w:hAnsi="Arial"/>
                <w:sz w:val="17"/>
                <w:szCs w:val="17"/>
                <w:color w:val="auto"/>
              </w:rPr>
              <w:t>F-40</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six months ended June 30, 2017 and the years ended December 31, 2016 and 2015, are as follows: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75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7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6"/>
              <w:spacing w:after="0" w:line="137"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tcBorders>
            <w:gridSpan w:val="3"/>
          </w:tcPr>
          <w:p>
            <w:pPr>
              <w:jc w:val="center"/>
              <w:ind w:left="322"/>
              <w:spacing w:after="0" w:line="137"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1"/>
                <w:szCs w:val="11"/>
                <w:color w:val="auto"/>
              </w:rPr>
            </w:pPr>
          </w:p>
        </w:tc>
      </w:tr>
      <w:tr>
        <w:trPr>
          <w:trHeight w:val="202"/>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 of unrecognized tax benefits taken in 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Increase/(Decrease) of unrecognized tax benefits related to 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Increase/(Decreases) of unrecognized tax benefits related to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Reductions to unrecognized tax benefits related to lapsing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8"/>
                <w:szCs w:val="18"/>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7"/>
                <w:szCs w:val="17"/>
                <w:color w:val="auto"/>
              </w:rPr>
              <w:t>Ending balance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June 30,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76"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The Company had $44 of unrecognized tax benefits as of June 30, 2017 and December 31, 2016 and 2015. The Company does not anticipate a significant change to its unrecognized tax benefits in the year ending December 31, 2017.</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As of June 30, 2017 and December 31, 2016 and 2015, the Company had $44 of accrued penalties and $0 of accrued penalties related to uncertain tax positions, none of which has been recognized in the Company’s consolidated statements of operations and comprehensive income for the six months ended June 30, 2017 and the year ended December 31, 2016. There were no ongoing examinations by taxing authorities as of June 30, 2017 and December 31, 2016.</w:t>
      </w:r>
    </w:p>
    <w:p>
      <w:pPr>
        <w:spacing w:after="0" w:line="176"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The Company intends to indefinitely reinvest the PRC earnings outside of the U.S. as of June 30, 2017 and December 31, 2016. Thus, deferred taxes are not provided in the U.S. for unremitted earnings in the PRC.</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COMMITMENTS AND CONTINGENCIES</w:t>
      </w:r>
    </w:p>
    <w:p>
      <w:pPr>
        <w:spacing w:after="0" w:line="123"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The Company leases offices under non-cancelable operating lease agreements. The rental expenses were $336, $342, $675 and $718 for the six months ended June 30, 2017 and the years ended December 31, 2016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8"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2015, respectively. See note 13 for future minimum lease payments under non-cancelable operating lease agreements with initial terms of one year or more.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capital commitments during the reported periods.</w:t>
      </w:r>
    </w:p>
    <w:p>
      <w:pPr>
        <w:spacing w:after="0" w:line="222"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RESTRICTED NET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PRC’s Foreign Enterprise Law, ACM Shanghai and ACM Wuxi are required to make contributions to a statutory surplus reserve (note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9"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June 30, 2017 and December 31, 2016 and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SUBSEQUENT EVENTS</w:t>
      </w:r>
    </w:p>
    <w:p>
      <w:pPr>
        <w:spacing w:after="0" w:line="12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ACM has entered into the following agreements with minority third-party investors holding a minority, or non-controlling, equity interest in ACM Shanghai, which are reflected as “non-controlling interests” in the Company’s consolidated financial statements:</w:t>
      </w:r>
    </w:p>
    <w:p>
      <w:pPr>
        <w:spacing w:after="0" w:line="67" w:lineRule="exact"/>
        <w:rPr>
          <w:sz w:val="20"/>
          <w:szCs w:val="20"/>
          <w:color w:val="auto"/>
        </w:rPr>
      </w:pPr>
    </w:p>
    <w:p>
      <w:pPr>
        <w:ind w:left="900" w:right="360" w:hanging="335"/>
        <w:spacing w:after="0" w:line="296"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March 2017 ACM entered into a securities purchase agreement with Shanghai Science and Technology Venture Capital Co., Ltd. (“SSTVC”) pursuant to which, effective as of August 31, 2017, ACM acquired SSTVC’s equity interests in ACM Shanghai for a purchase price of $5,800 and issued to SSTVC 4,998,508 shares of Series E convertible preferred stock for a purchase price of $5,800.</w:t>
      </w:r>
    </w:p>
    <w:p>
      <w:pPr>
        <w:spacing w:after="0" w:line="62" w:lineRule="exact"/>
        <w:rPr>
          <w:rFonts w:ascii="Arial" w:cs="Arial" w:eastAsia="Arial" w:hAnsi="Arial"/>
          <w:sz w:val="16"/>
          <w:szCs w:val="16"/>
          <w:color w:val="auto"/>
        </w:rPr>
      </w:pPr>
    </w:p>
    <w:p>
      <w:pPr>
        <w:ind w:left="900" w:right="20" w:hanging="335"/>
        <w:spacing w:after="0" w:line="263"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August 2017 ACM entered into a securities purchase agreement with Shanghai Pudong High-Tech Investment Co., Ltd.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w:t>
      </w:r>
    </w:p>
    <w:p>
      <w:pPr>
        <w:spacing w:after="0" w:line="89" w:lineRule="exact"/>
        <w:rPr>
          <w:rFonts w:ascii="Arial" w:cs="Arial" w:eastAsia="Arial" w:hAnsi="Arial"/>
          <w:sz w:val="17"/>
          <w:szCs w:val="17"/>
          <w:color w:val="auto"/>
        </w:rPr>
      </w:pPr>
    </w:p>
    <w:p>
      <w:pPr>
        <w:ind w:left="900" w:right="40" w:hanging="335"/>
        <w:spacing w:after="0" w:line="312"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 August 2017 ACM entered into a securities purchase agreement with Shanghai Zhangjiang Science &amp; Technology Venture Capital Co., Ltd.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6, 2017 ACM and Ninebell Co., Ltd. (“Ninebell”) entered into:</w:t>
      </w:r>
    </w:p>
    <w:p>
      <w:pPr>
        <w:spacing w:after="0" w:line="130" w:lineRule="exact"/>
        <w:rPr>
          <w:sz w:val="20"/>
          <w:szCs w:val="20"/>
          <w:color w:val="auto"/>
        </w:rPr>
      </w:pPr>
    </w:p>
    <w:p>
      <w:pPr>
        <w:ind w:left="900" w:right="360" w:hanging="335"/>
        <w:spacing w:after="0" w:line="287"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 ordinary share purchase agreement, effective as of September 11, 2017, pursuant to which, contemporaneously with signing, Ninebell issued to ACM, for a purchase price of $1,200, ordinary shares representing 20% of Ninebell’s post-closing equity;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8"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00" w:right="160" w:hanging="335"/>
        <w:spacing w:after="0" w:line="320"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ACM issued 133,334 shares of Class A common stock to Ninebell for a purchase price of $7.50 per share, or an aggregate purchase price of $1,000.</w:t>
      </w:r>
    </w:p>
    <w:p>
      <w:pPr>
        <w:spacing w:after="0" w:line="13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September 13, 2017, ACM effected the Reverse Split. Under the terms of the Reverse Split, each share of Class A and Class B common stock, issued and outstanding as of such effective date, was automatically reclassified and changed into one-third of one share of Class A and Class B common stock, as applicable, without any action by the stockholders. Fractional shares were rounded up to the nearest whole share on a holder-by-holder basis. All share and per share amounts have been restated to reflect the Reverse Split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PARENT COMPANY ONLY CONDENSED FINANCIAL INFORMATION</w:t>
      </w:r>
    </w:p>
    <w:p>
      <w:pPr>
        <w:spacing w:after="0" w:line="123"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ACM’s subsidiaries did not pay any dividends to ACM during the periods presented.</w:t>
      </w:r>
    </w:p>
    <w:p>
      <w:pPr>
        <w:spacing w:after="0" w:line="222" w:lineRule="exact"/>
        <w:rPr>
          <w:sz w:val="20"/>
          <w:szCs w:val="20"/>
          <w:color w:val="auto"/>
        </w:rPr>
      </w:pPr>
    </w:p>
    <w:p>
      <w:pPr>
        <w:jc w:val="center"/>
        <w:ind w:right="80"/>
        <w:spacing w:after="0" w:line="463" w:lineRule="auto"/>
        <w:rPr>
          <w:sz w:val="20"/>
          <w:szCs w:val="20"/>
          <w:color w:val="auto"/>
        </w:rPr>
      </w:pPr>
      <w:r>
        <w:rPr>
          <w:rFonts w:ascii="Arial" w:cs="Arial" w:eastAsia="Arial" w:hAnsi="Arial"/>
          <w:sz w:val="17"/>
          <w:szCs w:val="17"/>
          <w:color w:val="auto"/>
        </w:rPr>
        <w:t>ACM did not have significant capital or other commitments, long-term obligations, or guarantees as of June 30, 2017 or December 31, 2016 or 2015. F-43</w:t>
      </w:r>
    </w:p>
    <w:p>
      <w:pPr>
        <w:sectPr>
          <w:pgSz w:w="11900" w:h="16838" w:orient="portrait"/>
          <w:cols w:equalWidth="0" w:num="1">
            <w:col w:w="11380"/>
          </w:cols>
          <w:pgMar w:left="240" w:top="448" w:right="27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2016 and 2015:</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96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5"/>
              <w:spacing w:after="0" w:line="137"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80" w:type="dxa"/>
            <w:vAlign w:val="bottom"/>
            <w:shd w:val="clear" w:color="auto" w:fill="CCEEFF"/>
          </w:tcPr>
          <w:p>
            <w:pPr>
              <w:ind w:left="4900"/>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7,264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9"/>
        </w:trPr>
        <w:tc>
          <w:tcPr>
            <w:tcW w:w="9680" w:type="dxa"/>
            <w:vAlign w:val="bottom"/>
          </w:tcPr>
          <w:p>
            <w:pPr>
              <w:ind w:left="360"/>
              <w:spacing w:after="0"/>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Due from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1,986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Other receivable</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10,295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spacing w:after="0"/>
              <w:rPr>
                <w:sz w:val="20"/>
                <w:szCs w:val="20"/>
                <w:color w:val="auto"/>
              </w:rPr>
            </w:pPr>
            <w:r>
              <w:rPr>
                <w:rFonts w:ascii="Arial" w:cs="Arial" w:eastAsia="Arial" w:hAnsi="Arial"/>
                <w:sz w:val="17"/>
                <w:szCs w:val="17"/>
                <w:color w:val="auto"/>
              </w:rPr>
              <w:t>Investment in unconsolidated subsidiaries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16,878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1040"/>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1,176</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Due to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Other payable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1,278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redeemable convertible preferred stocks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18,034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stockholders’ deficit</w:t>
            </w: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w w:val="96"/>
              </w:rPr>
              <w:t>(2,434)</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(8,236)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16,878</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5540"/>
              <w:spacing w:after="0"/>
              <w:rPr>
                <w:sz w:val="20"/>
                <w:szCs w:val="20"/>
                <w:color w:val="auto"/>
              </w:rPr>
            </w:pPr>
            <w:r>
              <w:rPr>
                <w:rFonts w:ascii="Arial" w:cs="Arial" w:eastAsia="Arial" w:hAnsi="Arial"/>
                <w:sz w:val="17"/>
                <w:szCs w:val="17"/>
                <w:color w:val="auto"/>
              </w:rPr>
              <w:t>F-44</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OPERATIONS</w:t>
      </w:r>
    </w:p>
    <w:p>
      <w:pPr>
        <w:spacing w:after="0" w:line="125"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Year Ended</w:t>
      </w:r>
    </w:p>
    <w:p>
      <w:pPr>
        <w:jc w:val="center"/>
        <w:ind w:left="98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99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3"/>
              <w:spacing w:after="0" w:line="137"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9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Revenue</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$ 5,803</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$ 6,787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940" w:type="dxa"/>
            <w:vAlign w:val="bottom"/>
          </w:tcPr>
          <w:p>
            <w:pPr>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7"/>
                <w:szCs w:val="17"/>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w w:val="98"/>
              </w:rPr>
              <w:t>(5,346)</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(6,185)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 expenses</w:t>
            </w:r>
          </w:p>
        </w:tc>
        <w:tc>
          <w:tcPr>
            <w:tcW w:w="92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(64)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9940" w:type="dxa"/>
            <w:vAlign w:val="bottom"/>
          </w:tcPr>
          <w:p>
            <w:pPr>
              <w:ind w:left="32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(1,202)</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expenses</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(815)</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2"/>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unconsolidated subsidiaries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3,561</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5,611</w:t>
            </w: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(1,608)</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9"/>
        </w:trPr>
        <w:tc>
          <w:tcPr>
            <w:tcW w:w="99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940" w:type="dxa"/>
            <w:vAlign w:val="bottom"/>
            <w:vMerge w:val="continue"/>
          </w:tcPr>
          <w:p>
            <w:pPr>
              <w:spacing w:after="0"/>
              <w:rPr>
                <w:sz w:val="17"/>
                <w:szCs w:val="17"/>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86"/>
              </w:rPr>
              <w:t>$ 1,031</w:t>
            </w:r>
          </w:p>
        </w:tc>
        <w:tc>
          <w:tcPr>
            <w:tcW w:w="42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$ 5,380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6"/>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480" w:type="dxa"/>
            <w:vAlign w:val="bottom"/>
            <w:tcBorders>
              <w:top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100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cash (used in) provided by operating activities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$(2,220)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$ 357</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80" w:type="dxa"/>
            <w:vAlign w:val="bottom"/>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r>
      <w:tr>
        <w:trPr>
          <w:trHeight w:val="199"/>
        </w:trPr>
        <w:tc>
          <w:tcPr>
            <w:tcW w:w="10060" w:type="dxa"/>
            <w:vAlign w:val="bottom"/>
            <w:gridSpan w:val="2"/>
          </w:tcPr>
          <w:p>
            <w:pPr>
              <w:spacing w:after="0"/>
              <w:rPr>
                <w:sz w:val="20"/>
                <w:szCs w:val="20"/>
                <w:color w:val="auto"/>
              </w:rPr>
            </w:pPr>
            <w:r>
              <w:rPr>
                <w:rFonts w:ascii="Arial" w:cs="Arial" w:eastAsia="Arial" w:hAnsi="Arial"/>
                <w:sz w:val="16"/>
                <w:szCs w:val="16"/>
                <w:color w:val="auto"/>
              </w:rPr>
              <w:t>Cash and cash equivalents, end of year</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$ 7,264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$ 504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ACM has used the equity method to account for its investments in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Subsidiaries</w:t>
      </w:r>
    </w:p>
    <w:p>
      <w:pPr>
        <w:spacing w:after="0" w:line="11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For the ACM-only condensed financial information, ACM records its investments in its subsidiaries under the equity method of accounting as prescribed in FASB ASC Topic 323, </w:t>
      </w:r>
      <w:r>
        <w:rPr>
          <w:rFonts w:ascii="Arial" w:cs="Arial" w:eastAsia="Arial" w:hAnsi="Arial"/>
          <w:sz w:val="17"/>
          <w:szCs w:val="17"/>
          <w:i w:val="1"/>
          <w:iCs w:val="1"/>
          <w:color w:val="auto"/>
        </w:rPr>
        <w:t>Investment – Equity Method and Joint Ventures</w:t>
      </w:r>
      <w:r>
        <w:rPr>
          <w:rFonts w:ascii="Arial" w:cs="Arial" w:eastAsia="Arial" w:hAnsi="Arial"/>
          <w:sz w:val="17"/>
          <w:szCs w:val="17"/>
          <w:color w:val="auto"/>
        </w:rPr>
        <w:t>. ACM’s investments in subsidiaries are stated at cost plus its equity interest in undistributed earnings of subsidiaries less impairment loss, if any, since inception, and are presented on its condensed balance sheet as “Investments in unconsolidated subsidiaries” and ACM’s share of the subsidiaries’ income or loss as “Equity in earnings of unconsolidated subsidiaries” on ACM’s condensed statement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420"/>
          </w:cols>
          <w:pgMar w:left="240" w:top="448"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251065" cy="247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2510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22860</wp:posOffset>
            </wp:positionV>
            <wp:extent cx="951865" cy="5962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700405</wp:posOffset>
            </wp:positionV>
            <wp:extent cx="1523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236220</wp:posOffset>
            </wp:positionV>
            <wp:extent cx="15233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Sole Book-Running Manager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Roth Capital Partners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ectPr>
          <w:pgSz w:w="11900" w:h="16838" w:orient="portrait"/>
          <w:cols w:equalWidth="0" w:num="1">
            <w:col w:w="11420"/>
          </w:cols>
          <w:pgMar w:left="240" w:top="448" w:right="2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Craig-Hallum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716280</wp:posOffset>
            </wp:positionV>
            <wp:extent cx="15233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Benchmark Company</w:t>
      </w:r>
    </w:p>
    <w:p>
      <w:pPr>
        <w:spacing w:after="0" w:line="211" w:lineRule="exact"/>
        <w:rPr>
          <w:sz w:val="20"/>
          <w:szCs w:val="20"/>
          <w:color w:val="auto"/>
        </w:rPr>
      </w:pPr>
    </w:p>
    <w:p>
      <w:pPr>
        <w:sectPr>
          <w:pgSz w:w="11900" w:h="16838" w:orient="portrait"/>
          <w:cols w:equalWidth="0" w:num="2">
            <w:col w:w="7560" w:space="720"/>
            <w:col w:w="3140"/>
          </w:cols>
          <w:pgMar w:left="24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2017</w:t>
      </w:r>
    </w:p>
    <w:p>
      <w:pPr>
        <w:spacing w:after="0" w:line="200" w:lineRule="exact"/>
        <w:rPr>
          <w:sz w:val="20"/>
          <w:szCs w:val="20"/>
          <w:color w:val="auto"/>
        </w:rPr>
      </w:pPr>
    </w:p>
    <w:p>
      <w:pPr>
        <w:spacing w:after="0" w:line="341" w:lineRule="exact"/>
        <w:rPr>
          <w:sz w:val="20"/>
          <w:szCs w:val="20"/>
          <w:color w:val="auto"/>
        </w:rPr>
      </w:pPr>
    </w:p>
    <w:p>
      <w:pPr>
        <w:spacing w:after="0"/>
        <w:tabs>
          <w:tab w:leader="none" w:pos="2320" w:val="left"/>
        </w:tabs>
        <w:rPr>
          <w:sz w:val="20"/>
          <w:szCs w:val="20"/>
          <w:color w:val="auto"/>
        </w:rPr>
      </w:pPr>
      <w:r>
        <w:rPr>
          <w:rFonts w:ascii="Arial" w:cs="Arial" w:eastAsia="Arial" w:hAnsi="Arial"/>
          <w:sz w:val="17"/>
          <w:szCs w:val="17"/>
          <w:color w:val="auto"/>
        </w:rPr>
        <w:t>Through and including</w:t>
      </w:r>
      <w:r>
        <w:rPr>
          <w:sz w:val="20"/>
          <w:szCs w:val="20"/>
          <w:color w:val="auto"/>
        </w:rPr>
        <w:tab/>
      </w:r>
      <w:r>
        <w:rPr>
          <w:rFonts w:ascii="Arial" w:cs="Arial" w:eastAsia="Arial" w:hAnsi="Arial"/>
          <w:sz w:val="15"/>
          <w:szCs w:val="15"/>
          <w:color w:val="auto"/>
        </w:rPr>
        <w:t>, 2017 (the 25th day after the date of this offering), all dealers effecting transactions in these securities, whether or not</w:t>
      </w:r>
    </w:p>
    <w:p>
      <w:pPr>
        <w:sectPr>
          <w:pgSz w:w="11900" w:h="16838" w:orient="portrait"/>
          <w:cols w:equalWidth="0" w:num="1">
            <w:col w:w="11420"/>
          </w:cols>
          <w:pgMar w:left="240" w:top="448" w:right="239" w:bottom="1440" w:gutter="0" w:footer="0" w:header="0"/>
          <w:type w:val="continuous"/>
        </w:sectPr>
      </w:pPr>
    </w:p>
    <w:p>
      <w:pPr>
        <w:spacing w:after="0" w:line="25" w:lineRule="exact"/>
        <w:rPr>
          <w:sz w:val="20"/>
          <w:szCs w:val="20"/>
          <w:color w:val="auto"/>
        </w:rPr>
      </w:pPr>
    </w:p>
    <w:p>
      <w:pPr>
        <w:ind w:right="760"/>
        <w:spacing w:after="0" w:line="272" w:lineRule="auto"/>
        <w:rPr>
          <w:sz w:val="20"/>
          <w:szCs w:val="20"/>
          <w:color w:val="auto"/>
        </w:rPr>
      </w:pPr>
      <w:r>
        <w:rPr>
          <w:rFonts w:ascii="Arial" w:cs="Arial" w:eastAsia="Arial" w:hAnsi="Arial"/>
          <w:sz w:val="17"/>
          <w:szCs w:val="17"/>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510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198755</wp:posOffset>
            </wp:positionV>
            <wp:extent cx="7251065"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type w:val="continuous"/>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60" w:type="dxa"/>
            <w:vAlign w:val="bottom"/>
            <w:shd w:val="clear" w:color="auto" w:fill="CCEEFF"/>
          </w:tcPr>
          <w:p>
            <w:pPr>
              <w:spacing w:after="0"/>
              <w:rPr>
                <w:sz w:val="18"/>
                <w:szCs w:val="18"/>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FINRA filing fee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5,675</w:t>
            </w:r>
          </w:p>
        </w:tc>
        <w:tc>
          <w:tcPr>
            <w:tcW w:w="6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Exchange listing fee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60" w:type="dxa"/>
            <w:vAlign w:val="bottom"/>
            <w:shd w:val="clear" w:color="auto" w:fill="CCEEFF"/>
          </w:tcPr>
          <w:p>
            <w:pPr>
              <w:spacing w:after="0"/>
              <w:rPr>
                <w:sz w:val="18"/>
                <w:szCs w:val="18"/>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106,000</w:t>
            </w:r>
          </w:p>
        </w:tc>
        <w:tc>
          <w:tcPr>
            <w:tcW w:w="6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1,135,000</w:t>
            </w:r>
          </w:p>
        </w:tc>
        <w:tc>
          <w:tcPr>
            <w:tcW w:w="60" w:type="dxa"/>
            <w:vAlign w:val="bottom"/>
            <w:shd w:val="clear" w:color="auto" w:fill="CCEEFF"/>
          </w:tcPr>
          <w:p>
            <w:pPr>
              <w:spacing w:after="0"/>
              <w:rPr>
                <w:sz w:val="18"/>
                <w:szCs w:val="18"/>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500,000</w:t>
            </w:r>
          </w:p>
        </w:tc>
        <w:tc>
          <w:tcPr>
            <w:tcW w:w="6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Transfer agent and registrar fees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60" w:type="dxa"/>
            <w:vAlign w:val="bottom"/>
            <w:shd w:val="clear" w:color="auto" w:fill="CCEEFF"/>
          </w:tcPr>
          <w:p>
            <w:pPr>
              <w:spacing w:after="0"/>
              <w:rPr>
                <w:sz w:val="18"/>
                <w:szCs w:val="18"/>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Miscellaneous fees and expenses</w:t>
            </w:r>
          </w:p>
        </w:tc>
        <w:tc>
          <w:tcPr>
            <w:tcW w:w="2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372,105</w:t>
            </w:r>
          </w:p>
        </w:tc>
        <w:tc>
          <w:tcPr>
            <w:tcW w:w="60" w:type="dxa"/>
            <w:vAlign w:val="bottom"/>
          </w:tcPr>
          <w:p>
            <w:pPr>
              <w:spacing w:after="0"/>
              <w:rPr>
                <w:sz w:val="18"/>
                <w:szCs w:val="18"/>
                <w:color w:val="auto"/>
              </w:rPr>
            </w:pPr>
          </w:p>
        </w:tc>
      </w:tr>
      <w:tr>
        <w:trPr>
          <w:trHeight w:val="209"/>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2,250,000</w:t>
            </w:r>
          </w:p>
        </w:tc>
        <w:tc>
          <w:tcPr>
            <w:tcW w:w="6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23"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8" w:lineRule="exact"/>
        <w:rPr>
          <w:sz w:val="20"/>
          <w:szCs w:val="20"/>
          <w:color w:val="auto"/>
        </w:rPr>
      </w:pPr>
    </w:p>
    <w:p>
      <w:pPr>
        <w:jc w:val="both"/>
        <w:ind w:firstLine="457"/>
        <w:spacing w:after="0" w:line="288" w:lineRule="auto"/>
        <w:rPr>
          <w:sz w:val="20"/>
          <w:szCs w:val="20"/>
          <w:color w:val="auto"/>
        </w:rPr>
      </w:pPr>
      <w:r>
        <w:rPr>
          <w:rFonts w:ascii="Arial" w:cs="Arial" w:eastAsia="Arial" w:hAnsi="Arial"/>
          <w:sz w:val="16"/>
          <w:szCs w:val="16"/>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60"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58"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58"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8"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the underwriters, for certain liabilities, including liabilities arising under the Securities Act and affords certain rights of contribution with respect thereto.</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35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3"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Set forth below is information regarding the shares of common stock and preferred stock, and options granted, by us since January 30, 2014 that were not registered under the Securities Act of 1933.</w:t>
      </w:r>
    </w:p>
    <w:p>
      <w:pPr>
        <w:spacing w:after="0" w:line="67" w:lineRule="exact"/>
        <w:rPr>
          <w:sz w:val="20"/>
          <w:szCs w:val="20"/>
          <w:color w:val="auto"/>
        </w:rPr>
      </w:pPr>
    </w:p>
    <w:p>
      <w:pPr>
        <w:ind w:left="920" w:right="40" w:hanging="459"/>
        <w:spacing w:after="0" w:line="303" w:lineRule="auto"/>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 granted stock options to purchase shares of Class A common stock to certain of our employees, officers, directors, consultants and advisors, as follows: (a) on May 1, 2015, we granted stock options to purchase an aggregate of 783,338 shares of Class A common stock at a price of $1.50 per share; (b) on September 8, 2015 we granted stock options to purchase an aggregate of 263,335 shares of Class A common stock at an exercise price of $1.50 per share; (c) on December 28, 2016 we granted stock options to purchase an aggregate of 1,424,596 shares of Class A common stock at a price of $3.00 per share; (d) on March 9, 2017 we granted a stock option to purchase 33,334 shares of Class A common stock at a price of $7.50 per share and (e) on May 9, 2017 we granted a stock option to purchase an aggregate of 183,335 shares of Class A common stock at a price of $2.50 per share.</w:t>
      </w:r>
    </w:p>
    <w:p>
      <w:pPr>
        <w:spacing w:after="0" w:line="62" w:lineRule="exact"/>
        <w:rPr>
          <w:rFonts w:ascii="Arial" w:cs="Arial" w:eastAsia="Arial" w:hAnsi="Arial"/>
          <w:sz w:val="15"/>
          <w:szCs w:val="15"/>
          <w:color w:val="auto"/>
        </w:rPr>
      </w:pPr>
    </w:p>
    <w:p>
      <w:pPr>
        <w:ind w:left="920" w:hanging="459"/>
        <w:spacing w:after="0"/>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889,558 shares of Class A common stock for consideration aggregating $723,910.</w:t>
      </w:r>
    </w:p>
    <w:p>
      <w:pPr>
        <w:spacing w:after="0" w:line="130" w:lineRule="exact"/>
        <w:rPr>
          <w:rFonts w:ascii="Arial" w:cs="Arial" w:eastAsia="Arial" w:hAnsi="Arial"/>
          <w:sz w:val="17"/>
          <w:szCs w:val="17"/>
          <w:color w:val="auto"/>
        </w:rPr>
      </w:pPr>
    </w:p>
    <w:p>
      <w:pPr>
        <w:ind w:left="920" w:hanging="459"/>
        <w:spacing w:after="0"/>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362,335 shares of Class B common stock for consideration aggregating $271,750.</w:t>
      </w:r>
    </w:p>
    <w:p>
      <w:pPr>
        <w:spacing w:after="0" w:line="130" w:lineRule="exact"/>
        <w:rPr>
          <w:rFonts w:ascii="Arial" w:cs="Arial" w:eastAsia="Arial" w:hAnsi="Arial"/>
          <w:sz w:val="17"/>
          <w:szCs w:val="17"/>
          <w:color w:val="auto"/>
        </w:rPr>
      </w:pPr>
    </w:p>
    <w:p>
      <w:pPr>
        <w:ind w:left="920" w:right="20" w:hanging="459"/>
        <w:spacing w:after="0" w:line="298" w:lineRule="auto"/>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December 2016 we issued (a) 3,615,800 shares of Series F convertible preferred stock for an aggregate purchase price of $9,039,500, (b) 47,454 shares of Series F convertible preferred stock pursuant to conversion of $118,665 of principal and accrued interest of convertible promissory notes and</w:t>
      </w:r>
    </w:p>
    <w:p>
      <w:pPr>
        <w:spacing w:after="0" w:line="1"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7"/>
          <w:szCs w:val="17"/>
          <w:color w:val="auto"/>
        </w:rPr>
        <w:t>(c) 1,812,069 shares of Class A common stock pursuant to the conversion of $2,522,784 of principal of convertible promissory notes.</w:t>
      </w:r>
    </w:p>
    <w:p>
      <w:pPr>
        <w:spacing w:after="0" w:line="118" w:lineRule="exact"/>
        <w:rPr>
          <w:rFonts w:ascii="Arial" w:cs="Arial" w:eastAsia="Arial" w:hAnsi="Arial"/>
          <w:sz w:val="15"/>
          <w:szCs w:val="15"/>
          <w:color w:val="auto"/>
        </w:rPr>
      </w:pPr>
    </w:p>
    <w:p>
      <w:pPr>
        <w:ind w:left="920" w:right="14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pursuant to which we issued a warrant to acquire 397,502 shares of Class A common stock for an aggregate purchase price of $2,981,265.</w:t>
      </w:r>
    </w:p>
    <w:p>
      <w:pPr>
        <w:spacing w:after="0" w:line="66" w:lineRule="exact"/>
        <w:rPr>
          <w:rFonts w:ascii="Arial" w:cs="Arial" w:eastAsia="Arial" w:hAnsi="Arial"/>
          <w:sz w:val="17"/>
          <w:szCs w:val="17"/>
          <w:color w:val="auto"/>
        </w:rPr>
      </w:pPr>
    </w:p>
    <w:p>
      <w:pPr>
        <w:ind w:left="920" w:right="14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pursuant to which we issued 4,998,508 shares of Series E convertible preferred stock for an aggregate purchase price of $5,800,000.</w:t>
      </w:r>
    </w:p>
    <w:p>
      <w:pPr>
        <w:spacing w:after="0" w:line="66" w:lineRule="exact"/>
        <w:rPr>
          <w:rFonts w:ascii="Arial" w:cs="Arial" w:eastAsia="Arial" w:hAnsi="Arial"/>
          <w:sz w:val="17"/>
          <w:szCs w:val="17"/>
          <w:color w:val="auto"/>
        </w:rPr>
      </w:pPr>
    </w:p>
    <w:p>
      <w:pPr>
        <w:ind w:left="920" w:right="54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pursuant to which we issued 1,119,576 shares of Class A common stock for an aggregate purchase price of $8,396,820.</w:t>
      </w:r>
    </w:p>
    <w:p>
      <w:pPr>
        <w:spacing w:after="0" w:line="66" w:lineRule="exact"/>
        <w:rPr>
          <w:rFonts w:ascii="Arial" w:cs="Arial" w:eastAsia="Arial" w:hAnsi="Arial"/>
          <w:sz w:val="17"/>
          <w:szCs w:val="17"/>
          <w:color w:val="auto"/>
        </w:rPr>
      </w:pPr>
    </w:p>
    <w:p>
      <w:pPr>
        <w:ind w:left="920" w:right="66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pursuant to which we issued 787,098 shares of Class A common stock for an aggregate purchase price of $5,903,235.</w:t>
      </w:r>
    </w:p>
    <w:p>
      <w:pPr>
        <w:spacing w:after="0" w:line="66" w:lineRule="exact"/>
        <w:rPr>
          <w:rFonts w:ascii="Arial" w:cs="Arial" w:eastAsia="Arial" w:hAnsi="Arial"/>
          <w:sz w:val="17"/>
          <w:szCs w:val="17"/>
          <w:color w:val="auto"/>
        </w:rPr>
      </w:pPr>
    </w:p>
    <w:p>
      <w:pPr>
        <w:ind w:left="920" w:right="42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September 2017 we entered into a securities purchase agreement pursuant to which we issued 133,334 shares of Class A common stock for an aggregate purchase price of $1,000,000.</w:t>
      </w:r>
    </w:p>
    <w:p>
      <w:pPr>
        <w:spacing w:after="0" w:line="66" w:lineRule="exact"/>
        <w:rPr>
          <w:rFonts w:ascii="Arial" w:cs="Arial" w:eastAsia="Arial" w:hAnsi="Arial"/>
          <w:sz w:val="17"/>
          <w:szCs w:val="17"/>
          <w:color w:val="auto"/>
        </w:rPr>
      </w:pPr>
    </w:p>
    <w:p>
      <w:pPr>
        <w:ind w:left="920" w:hanging="459"/>
        <w:spacing w:after="0" w:line="271"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October 2017 we entered into securities purchase agreements pursuant to which we agreed to issue, subject to the closing of this offering, 1,333,334 shares of Class A common stock in a concurrent private placement at an exercise price per share equal to the initial public offering price of this offering (subject to adjustment).</w:t>
      </w:r>
    </w:p>
    <w:p>
      <w:pPr>
        <w:spacing w:after="0" w:line="172"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offer, sale and issuance of the securities described in paragraphs (4) through (10) were deemed to be exempt from registration under the Securities Act in reliance on Section 4(a)(2) of the Securities Act in that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00"/>
          </w:cols>
          <w:pgMar w:left="240" w:top="448" w:right="25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Consolidated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Exhibit</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gridSpan w:val="16"/>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22"/>
                <w:szCs w:val="22"/>
                <w:color w:val="auto"/>
              </w:rPr>
            </w:pPr>
          </w:p>
        </w:tc>
        <w:tc>
          <w:tcPr>
            <w:tcW w:w="8260" w:type="dxa"/>
            <w:vAlign w:val="bottom"/>
            <w:tcBorders>
              <w:bottom w:val="single" w:sz="8" w:color="0000EE"/>
            </w:tcBorders>
            <w:gridSpan w:val="17"/>
          </w:tcPr>
          <w:p>
            <w:pPr>
              <w:spacing w:after="0"/>
              <w:rPr>
                <w:rFonts w:ascii="Arial" w:cs="Arial" w:eastAsia="Arial" w:hAnsi="Arial"/>
                <w:sz w:val="17"/>
                <w:szCs w:val="17"/>
                <w:color w:val="0000EE"/>
                <w:w w:val="93"/>
              </w:rPr>
            </w:pPr>
            <w:hyperlink r:id="rId264">
              <w:r>
                <w:rPr>
                  <w:rFonts w:ascii="Arial" w:cs="Arial" w:eastAsia="Arial" w:hAnsi="Arial"/>
                  <w:sz w:val="17"/>
                  <w:szCs w:val="17"/>
                  <w:color w:val="0000EE"/>
                  <w:w w:val="93"/>
                </w:rPr>
                <w:t>Form of Underwriting Agreement to be entered into between ACM Research, Inc. and the underwriters of this offering</w:t>
              </w:r>
            </w:hyperlink>
          </w:p>
        </w:tc>
        <w:tc>
          <w:tcPr>
            <w:tcW w:w="17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3.01#</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rPr>
            </w:pPr>
            <w:hyperlink r:id="rId265">
              <w:r>
                <w:rPr>
                  <w:rFonts w:ascii="Arial" w:cs="Arial" w:eastAsia="Arial" w:hAnsi="Arial"/>
                  <w:sz w:val="17"/>
                  <w:szCs w:val="17"/>
                  <w:color w:val="0000EE"/>
                </w:rPr>
                <w:t>Certificate of Incorporation of ACM Research, Inc. (currently in effect)</w:t>
              </w:r>
            </w:hyperlink>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3.02#</w:t>
            </w:r>
          </w:p>
        </w:tc>
        <w:tc>
          <w:tcPr>
            <w:tcW w:w="780" w:type="dxa"/>
            <w:vAlign w:val="bottom"/>
          </w:tcPr>
          <w:p>
            <w:pPr>
              <w:spacing w:after="0"/>
              <w:rPr>
                <w:sz w:val="24"/>
                <w:szCs w:val="24"/>
                <w:color w:val="auto"/>
              </w:rPr>
            </w:pPr>
          </w:p>
        </w:tc>
        <w:tc>
          <w:tcPr>
            <w:tcW w:w="358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4"/>
              </w:rPr>
            </w:pPr>
            <w:hyperlink r:id="rId266">
              <w:r>
                <w:rPr>
                  <w:rFonts w:ascii="Arial" w:cs="Arial" w:eastAsia="Arial" w:hAnsi="Arial"/>
                  <w:sz w:val="17"/>
                  <w:szCs w:val="17"/>
                  <w:color w:val="0000EE"/>
                  <w:w w:val="94"/>
                </w:rPr>
                <w:t>Bylaws of ACM Research, Inc. (currently in effect)</w:t>
              </w:r>
            </w:hyperlink>
          </w:p>
        </w:tc>
        <w:tc>
          <w:tcPr>
            <w:tcW w:w="1380" w:type="dxa"/>
            <w:vAlign w:val="bottom"/>
            <w:tcBorders>
              <w:top w:val="single" w:sz="8" w:color="0000EE"/>
            </w:tcBorders>
            <w:gridSpan w:val="5"/>
          </w:tcPr>
          <w:p>
            <w:pPr>
              <w:spacing w:after="0"/>
              <w:rPr>
                <w:sz w:val="24"/>
                <w:szCs w:val="24"/>
                <w:color w:val="auto"/>
              </w:rPr>
            </w:pPr>
          </w:p>
        </w:tc>
        <w:tc>
          <w:tcPr>
            <w:tcW w:w="50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3.03#</w:t>
            </w:r>
          </w:p>
        </w:tc>
        <w:tc>
          <w:tcPr>
            <w:tcW w:w="78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Arial" w:cs="Arial" w:eastAsia="Arial" w:hAnsi="Arial"/>
                <w:sz w:val="17"/>
                <w:szCs w:val="17"/>
                <w:color w:val="0000EE"/>
                <w:w w:val="95"/>
              </w:rPr>
            </w:pPr>
            <w:hyperlink r:id="rId265">
              <w:r>
                <w:rPr>
                  <w:rFonts w:ascii="Arial" w:cs="Arial" w:eastAsia="Arial" w:hAnsi="Arial"/>
                  <w:sz w:val="17"/>
                  <w:szCs w:val="17"/>
                  <w:color w:val="0000EE"/>
                  <w:w w:val="95"/>
                </w:rPr>
                <w:t>Form of Restated Certificate of Incorporation (to be effective following completion of this offering)</w:t>
              </w:r>
            </w:hyperlink>
          </w:p>
        </w:tc>
        <w:tc>
          <w:tcPr>
            <w:tcW w:w="30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3.04#</w:t>
            </w:r>
          </w:p>
        </w:tc>
        <w:tc>
          <w:tcPr>
            <w:tcW w:w="780" w:type="dxa"/>
            <w:vAlign w:val="bottom"/>
          </w:tcPr>
          <w:p>
            <w:pPr>
              <w:spacing w:after="0"/>
              <w:rPr>
                <w:sz w:val="24"/>
                <w:szCs w:val="24"/>
                <w:color w:val="auto"/>
              </w:rPr>
            </w:pPr>
          </w:p>
        </w:tc>
        <w:tc>
          <w:tcPr>
            <w:tcW w:w="6880" w:type="dxa"/>
            <w:vAlign w:val="bottom"/>
            <w:tcBorders>
              <w:bottom w:val="single" w:sz="8" w:color="0000EE"/>
            </w:tcBorders>
            <w:gridSpan w:val="13"/>
          </w:tcPr>
          <w:p>
            <w:pPr>
              <w:spacing w:after="0"/>
              <w:rPr>
                <w:rFonts w:ascii="Arial" w:cs="Arial" w:eastAsia="Arial" w:hAnsi="Arial"/>
                <w:sz w:val="17"/>
                <w:szCs w:val="17"/>
                <w:color w:val="0000EE"/>
                <w:w w:val="94"/>
              </w:rPr>
            </w:pPr>
            <w:hyperlink r:id="rId267">
              <w:r>
                <w:rPr>
                  <w:rFonts w:ascii="Arial" w:cs="Arial" w:eastAsia="Arial" w:hAnsi="Arial"/>
                  <w:sz w:val="17"/>
                  <w:szCs w:val="17"/>
                  <w:color w:val="0000EE"/>
                  <w:w w:val="94"/>
                </w:rPr>
                <w:t>Form of Restated Bylaws of ACM Research, Inc. (to be effective upon completion of this offering)</w:t>
              </w:r>
            </w:hyperlink>
          </w:p>
        </w:tc>
        <w:tc>
          <w:tcPr>
            <w:tcW w:w="31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4.01#</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rPr>
            </w:pPr>
            <w:hyperlink r:id="rId268">
              <w:r>
                <w:rPr>
                  <w:rFonts w:ascii="Arial" w:cs="Arial" w:eastAsia="Arial" w:hAnsi="Arial"/>
                  <w:sz w:val="17"/>
                  <w:szCs w:val="17"/>
                  <w:color w:val="0000EE"/>
                </w:rPr>
                <w:t>Specimen stock certificate evidencing Class A common stock of ACM Research, Inc.</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4.02#</w:t>
            </w:r>
          </w:p>
        </w:tc>
        <w:tc>
          <w:tcPr>
            <w:tcW w:w="780" w:type="dxa"/>
            <w:vAlign w:val="bottom"/>
          </w:tcPr>
          <w:p>
            <w:pPr>
              <w:spacing w:after="0"/>
              <w:rPr>
                <w:sz w:val="24"/>
                <w:szCs w:val="24"/>
                <w:color w:val="auto"/>
              </w:rPr>
            </w:pPr>
          </w:p>
        </w:tc>
        <w:tc>
          <w:tcPr>
            <w:tcW w:w="7800" w:type="dxa"/>
            <w:vAlign w:val="bottom"/>
            <w:tcBorders>
              <w:bottom w:val="single" w:sz="8" w:color="0000EE"/>
            </w:tcBorders>
            <w:gridSpan w:val="15"/>
          </w:tcPr>
          <w:p>
            <w:pPr>
              <w:spacing w:after="0"/>
              <w:rPr>
                <w:rFonts w:ascii="Arial" w:cs="Arial" w:eastAsia="Arial" w:hAnsi="Arial"/>
                <w:sz w:val="17"/>
                <w:szCs w:val="17"/>
                <w:color w:val="0000EE"/>
                <w:w w:val="93"/>
              </w:rPr>
            </w:pPr>
            <w:hyperlink r:id="rId269">
              <w:r>
                <w:rPr>
                  <w:rFonts w:ascii="Arial" w:cs="Arial" w:eastAsia="Arial" w:hAnsi="Arial"/>
                  <w:sz w:val="17"/>
                  <w:szCs w:val="17"/>
                  <w:color w:val="0000EE"/>
                  <w:w w:val="93"/>
                </w:rPr>
                <w:t>Form of Class A Common Stock Warrant of ACM Research Inc. to be issued to the underwriters of this offering</w:t>
              </w:r>
            </w:hyperlink>
          </w:p>
        </w:tc>
        <w:tc>
          <w:tcPr>
            <w:tcW w:w="2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5.01*</w:t>
            </w:r>
          </w:p>
        </w:tc>
        <w:tc>
          <w:tcPr>
            <w:tcW w:w="780" w:type="dxa"/>
            <w:vAlign w:val="bottom"/>
          </w:tcPr>
          <w:p>
            <w:pPr>
              <w:spacing w:after="0"/>
              <w:rPr>
                <w:sz w:val="24"/>
                <w:szCs w:val="24"/>
                <w:color w:val="auto"/>
              </w:rPr>
            </w:pPr>
          </w:p>
        </w:tc>
        <w:tc>
          <w:tcPr>
            <w:tcW w:w="10020" w:type="dxa"/>
            <w:vAlign w:val="bottom"/>
            <w:gridSpan w:val="23"/>
          </w:tcPr>
          <w:p>
            <w:pPr>
              <w:spacing w:after="0"/>
              <w:rPr>
                <w:sz w:val="20"/>
                <w:szCs w:val="20"/>
                <w:color w:val="auto"/>
              </w:rPr>
            </w:pPr>
            <w:r>
              <w:rPr>
                <w:rFonts w:ascii="Arial" w:cs="Arial" w:eastAsia="Arial" w:hAnsi="Arial"/>
                <w:sz w:val="17"/>
                <w:szCs w:val="17"/>
                <w:color w:val="auto"/>
              </w:rPr>
              <w:t>Opinion of K&amp;L Gates LLP</w:t>
            </w:r>
          </w:p>
        </w:tc>
        <w:tc>
          <w:tcPr>
            <w:tcW w:w="0" w:type="dxa"/>
            <w:vAlign w:val="bottom"/>
          </w:tcPr>
          <w:p>
            <w:pPr>
              <w:spacing w:after="0"/>
              <w:rPr>
                <w:sz w:val="1"/>
                <w:szCs w:val="1"/>
                <w:color w:val="auto"/>
              </w:rPr>
            </w:pPr>
          </w:p>
        </w:tc>
      </w:tr>
      <w:tr>
        <w:trPr>
          <w:trHeight w:val="274"/>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10.01#</w:t>
            </w:r>
          </w:p>
        </w:tc>
        <w:tc>
          <w:tcPr>
            <w:tcW w:w="780" w:type="dxa"/>
            <w:vAlign w:val="bottom"/>
          </w:tcPr>
          <w:p>
            <w:pPr>
              <w:spacing w:after="0"/>
              <w:rPr>
                <w:sz w:val="23"/>
                <w:szCs w:val="23"/>
                <w:color w:val="auto"/>
              </w:rPr>
            </w:pPr>
          </w:p>
        </w:tc>
        <w:tc>
          <w:tcPr>
            <w:tcW w:w="10020" w:type="dxa"/>
            <w:vAlign w:val="bottom"/>
            <w:gridSpan w:val="23"/>
          </w:tcPr>
          <w:p>
            <w:pPr>
              <w:spacing w:after="0"/>
              <w:rPr>
                <w:rFonts w:ascii="Arial" w:cs="Arial" w:eastAsia="Arial" w:hAnsi="Arial"/>
                <w:sz w:val="17"/>
                <w:szCs w:val="17"/>
                <w:color w:val="0000EE"/>
              </w:rPr>
            </w:pPr>
            <w:hyperlink r:id="rId270">
              <w:r>
                <w:rPr>
                  <w:rFonts w:ascii="Arial" w:cs="Arial" w:eastAsia="Arial" w:hAnsi="Arial"/>
                  <w:sz w:val="17"/>
                  <w:szCs w:val="17"/>
                  <w:color w:val="0000EE"/>
                </w:rPr>
                <w:t>Lease dated March 22, 2017 between ACM Research, Inc. and D&amp;J Construction, Inc.</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10.02#</w:t>
            </w:r>
          </w:p>
        </w:tc>
        <w:tc>
          <w:tcPr>
            <w:tcW w:w="78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7"/>
                <w:szCs w:val="17"/>
                <w:color w:val="0000EE"/>
                <w:w w:val="91"/>
              </w:rPr>
            </w:pPr>
            <w:hyperlink r:id="rId271">
              <w:r>
                <w:rPr>
                  <w:rFonts w:ascii="Arial" w:cs="Arial" w:eastAsia="Arial" w:hAnsi="Arial"/>
                  <w:sz w:val="17"/>
                  <w:szCs w:val="17"/>
                  <w:color w:val="0000EE"/>
                  <w:w w:val="91"/>
                </w:rPr>
                <w:t>Lease dated September 6, 2016 between ACM Research (Shanghai), Inc. and Shanghai Zhangjiang Group Co., Ltd.</w:t>
              </w:r>
            </w:hyperlink>
          </w:p>
        </w:tc>
        <w:tc>
          <w:tcPr>
            <w:tcW w:w="1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10.03#</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w w:val="96"/>
              </w:rPr>
            </w:pPr>
            <w:hyperlink r:id="rId272">
              <w:r>
                <w:rPr>
                  <w:rFonts w:ascii="Arial" w:cs="Arial" w:eastAsia="Arial" w:hAnsi="Arial"/>
                  <w:sz w:val="17"/>
                  <w:szCs w:val="17"/>
                  <w:color w:val="0000EE"/>
                  <w:w w:val="96"/>
                </w:rPr>
                <w:t>Securities Purchase Agreement dated March 14, 2017 by and among ACM Research, Inc., Shengxin (Shanghai) Management Consulting</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2"/>
              </w:rPr>
            </w:pPr>
            <w:hyperlink r:id="rId272">
              <w:r>
                <w:rPr>
                  <w:rFonts w:ascii="Arial" w:cs="Arial" w:eastAsia="Arial" w:hAnsi="Arial"/>
                  <w:sz w:val="17"/>
                  <w:szCs w:val="17"/>
                  <w:color w:val="0000EE"/>
                  <w:w w:val="92"/>
                </w:rPr>
                <w:t>Limited Partnership and ACM Research (Shanghai), Inc.</w:t>
              </w:r>
            </w:hyperlink>
          </w:p>
        </w:tc>
        <w:tc>
          <w:tcPr>
            <w:tcW w:w="5660" w:type="dxa"/>
            <w:vAlign w:val="bottom"/>
            <w:tcBorders>
              <w:top w:val="single" w:sz="8" w:color="0000EE"/>
            </w:tcBorders>
            <w:gridSpan w:val="14"/>
          </w:tcPr>
          <w:p>
            <w:pPr>
              <w:spacing w:after="0"/>
              <w:rPr>
                <w:sz w:val="16"/>
                <w:szCs w:val="16"/>
                <w:color w:val="auto"/>
              </w:rPr>
            </w:pPr>
          </w:p>
        </w:tc>
        <w:tc>
          <w:tcPr>
            <w:tcW w:w="4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1340" w:type="dxa"/>
            <w:vAlign w:val="bottom"/>
            <w:gridSpan w:val="3"/>
          </w:tcPr>
          <w:p>
            <w:pPr>
              <w:jc w:val="right"/>
              <w:ind w:right="660"/>
              <w:spacing w:after="0"/>
              <w:rPr>
                <w:sz w:val="20"/>
                <w:szCs w:val="20"/>
                <w:color w:val="auto"/>
              </w:rPr>
            </w:pPr>
            <w:r>
              <w:rPr>
                <w:rFonts w:ascii="Arial" w:cs="Arial" w:eastAsia="Arial" w:hAnsi="Arial"/>
                <w:sz w:val="17"/>
                <w:szCs w:val="17"/>
                <w:color w:val="auto"/>
                <w:w w:val="90"/>
              </w:rPr>
              <w:t>10.03(a)#</w:t>
            </w:r>
          </w:p>
        </w:tc>
        <w:tc>
          <w:tcPr>
            <w:tcW w:w="9160" w:type="dxa"/>
            <w:vAlign w:val="bottom"/>
            <w:tcBorders>
              <w:bottom w:val="single" w:sz="8" w:color="0000EE"/>
            </w:tcBorders>
            <w:gridSpan w:val="18"/>
          </w:tcPr>
          <w:p>
            <w:pPr>
              <w:spacing w:after="0"/>
              <w:rPr>
                <w:rFonts w:ascii="Arial" w:cs="Arial" w:eastAsia="Arial" w:hAnsi="Arial"/>
                <w:sz w:val="17"/>
                <w:szCs w:val="17"/>
                <w:color w:val="0000EE"/>
                <w:w w:val="92"/>
              </w:rPr>
            </w:pPr>
            <w:hyperlink r:id="rId273">
              <w:r>
                <w:rPr>
                  <w:rFonts w:ascii="Arial" w:cs="Arial" w:eastAsia="Arial" w:hAnsi="Arial"/>
                  <w:sz w:val="17"/>
                  <w:szCs w:val="17"/>
                  <w:color w:val="0000EE"/>
                  <w:w w:val="92"/>
                </w:rPr>
                <w:t>Warrant dated March 14, 2017 issued by ACM Research, Inc. to Shengxin (Shanghai) Management Consulting Limited Partnership</w:t>
              </w:r>
            </w:hyperlink>
          </w:p>
        </w:tc>
        <w:tc>
          <w:tcPr>
            <w:tcW w:w="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10.04#</w:t>
            </w:r>
          </w:p>
        </w:tc>
        <w:tc>
          <w:tcPr>
            <w:tcW w:w="780" w:type="dxa"/>
            <w:vAlign w:val="bottom"/>
          </w:tcPr>
          <w:p>
            <w:pPr>
              <w:spacing w:after="0"/>
              <w:rPr>
                <w:sz w:val="24"/>
                <w:szCs w:val="24"/>
                <w:color w:val="auto"/>
              </w:rPr>
            </w:pPr>
          </w:p>
        </w:tc>
        <w:tc>
          <w:tcPr>
            <w:tcW w:w="10020" w:type="dxa"/>
            <w:vAlign w:val="bottom"/>
            <w:tcBorders>
              <w:bottom w:val="single" w:sz="8" w:color="0000EE"/>
            </w:tcBorders>
            <w:gridSpan w:val="23"/>
          </w:tcPr>
          <w:p>
            <w:pPr>
              <w:spacing w:after="0"/>
              <w:rPr>
                <w:rFonts w:ascii="Arial" w:cs="Arial" w:eastAsia="Arial" w:hAnsi="Arial"/>
                <w:sz w:val="17"/>
                <w:szCs w:val="17"/>
                <w:color w:val="0000EE"/>
                <w:w w:val="91"/>
              </w:rPr>
            </w:pPr>
            <w:hyperlink r:id="rId274">
              <w:r>
                <w:rPr>
                  <w:rFonts w:ascii="Arial" w:cs="Arial" w:eastAsia="Arial" w:hAnsi="Arial"/>
                  <w:sz w:val="17"/>
                  <w:szCs w:val="17"/>
                  <w:color w:val="0000EE"/>
                  <w:w w:val="91"/>
                </w:rPr>
                <w:t>Securities Purchase Agreement dated March 23, 2017 between ACM Research, Inc. and Shanghai Science and Technology Venture Capital Co.,</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gridSpan w:val="23"/>
          </w:tcPr>
          <w:p>
            <w:pPr>
              <w:spacing w:after="0" w:line="189" w:lineRule="exact"/>
              <w:rPr>
                <w:rFonts w:ascii="Arial" w:cs="Arial" w:eastAsia="Arial" w:hAnsi="Arial"/>
                <w:sz w:val="17"/>
                <w:szCs w:val="17"/>
                <w:color w:val="0000EE"/>
              </w:rPr>
            </w:pPr>
            <w:hyperlink r:id="rId274">
              <w:r>
                <w:rPr>
                  <w:rFonts w:ascii="Arial" w:cs="Arial" w:eastAsia="Arial" w:hAnsi="Arial"/>
                  <w:sz w:val="17"/>
                  <w:szCs w:val="17"/>
                  <w:color w:val="0000EE"/>
                </w:rPr>
                <w:t>Ltd., as amended</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10.05#</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w w:val="93"/>
              </w:rPr>
            </w:pPr>
            <w:hyperlink r:id="rId275">
              <w:r>
                <w:rPr>
                  <w:rFonts w:ascii="Arial" w:cs="Arial" w:eastAsia="Arial" w:hAnsi="Arial"/>
                  <w:sz w:val="17"/>
                  <w:szCs w:val="17"/>
                  <w:color w:val="0000EE"/>
                  <w:w w:val="93"/>
                </w:rPr>
                <w:t>Securities Purchase Agreement dated August 31, 2017 by and among ACM Research, Inc., Shanghai Pudong High-Tech Investment Co., Ltd.</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1"/>
              </w:rPr>
            </w:pPr>
            <w:hyperlink r:id="rId275">
              <w:r>
                <w:rPr>
                  <w:rFonts w:ascii="Arial" w:cs="Arial" w:eastAsia="Arial" w:hAnsi="Arial"/>
                  <w:sz w:val="17"/>
                  <w:szCs w:val="17"/>
                  <w:color w:val="0000EE"/>
                  <w:w w:val="91"/>
                </w:rPr>
                <w:t>and Pudong Science and Technology (Cayman) Co., Ltd.</w:t>
              </w:r>
            </w:hyperlink>
          </w:p>
        </w:tc>
        <w:tc>
          <w:tcPr>
            <w:tcW w:w="5880" w:type="dxa"/>
            <w:vAlign w:val="bottom"/>
            <w:tcBorders>
              <w:top w:val="single" w:sz="8" w:color="0000EE"/>
            </w:tcBorders>
            <w:gridSpan w:val="15"/>
          </w:tcPr>
          <w:p>
            <w:pPr>
              <w:spacing w:after="0"/>
              <w:rPr>
                <w:sz w:val="16"/>
                <w:szCs w:val="16"/>
                <w:color w:val="auto"/>
              </w:rPr>
            </w:pP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10.06#</w:t>
            </w:r>
          </w:p>
        </w:tc>
        <w:tc>
          <w:tcPr>
            <w:tcW w:w="78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7"/>
                <w:szCs w:val="17"/>
                <w:color w:val="0000EE"/>
                <w:w w:val="92"/>
              </w:rPr>
            </w:pPr>
            <w:hyperlink r:id="rId276">
              <w:r>
                <w:rPr>
                  <w:rFonts w:ascii="Arial" w:cs="Arial" w:eastAsia="Arial" w:hAnsi="Arial"/>
                  <w:sz w:val="17"/>
                  <w:szCs w:val="17"/>
                  <w:color w:val="0000EE"/>
                  <w:w w:val="92"/>
                </w:rPr>
                <w:t>Securities Purchase Agreement dated August 31, 2017 by and among ACM Research, Inc., Shanghai Zhangjiang Science &amp; Technology</w:t>
              </w:r>
            </w:hyperlink>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20" w:type="dxa"/>
            <w:vAlign w:val="bottom"/>
            <w:tcBorders>
              <w:bottom w:val="single" w:sz="8" w:color="0000EE"/>
            </w:tcBorders>
            <w:gridSpan w:val="7"/>
          </w:tcPr>
          <w:p>
            <w:pPr>
              <w:spacing w:after="0" w:line="189" w:lineRule="exact"/>
              <w:rPr>
                <w:rFonts w:ascii="Arial" w:cs="Arial" w:eastAsia="Arial" w:hAnsi="Arial"/>
                <w:sz w:val="17"/>
                <w:szCs w:val="17"/>
                <w:color w:val="0000EE"/>
                <w:w w:val="93"/>
              </w:rPr>
            </w:pPr>
            <w:hyperlink r:id="rId276">
              <w:r>
                <w:rPr>
                  <w:rFonts w:ascii="Arial" w:cs="Arial" w:eastAsia="Arial" w:hAnsi="Arial"/>
                  <w:sz w:val="17"/>
                  <w:szCs w:val="17"/>
                  <w:color w:val="0000EE"/>
                  <w:w w:val="93"/>
                </w:rPr>
                <w:t>Venture Capital Co., Ltd. and Zhangjiang AJ Company Limited</w:t>
              </w:r>
            </w:hyperlink>
          </w:p>
        </w:tc>
        <w:tc>
          <w:tcPr>
            <w:tcW w:w="560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10.07#</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w w:val="96"/>
              </w:rPr>
            </w:pPr>
            <w:hyperlink r:id="rId277">
              <w:r>
                <w:rPr>
                  <w:rFonts w:ascii="Arial" w:cs="Arial" w:eastAsia="Arial" w:hAnsi="Arial"/>
                  <w:sz w:val="17"/>
                  <w:szCs w:val="17"/>
                  <w:color w:val="0000EE"/>
                  <w:w w:val="96"/>
                </w:rPr>
                <w:t>Ordinary Share Purchase Agreement dated September 6, 2017 by and among ACM Research, Inc., Ninebell Co., Ltd. and Moon-Soo Choi</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5780" w:type="dxa"/>
            <w:vAlign w:val="bottom"/>
            <w:gridSpan w:val="1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10.08#</w:t>
            </w:r>
          </w:p>
        </w:tc>
        <w:tc>
          <w:tcPr>
            <w:tcW w:w="780" w:type="dxa"/>
            <w:vAlign w:val="bottom"/>
          </w:tcPr>
          <w:p>
            <w:pPr>
              <w:spacing w:after="0"/>
              <w:rPr>
                <w:sz w:val="24"/>
                <w:szCs w:val="24"/>
                <w:color w:val="auto"/>
              </w:rPr>
            </w:pPr>
          </w:p>
        </w:tc>
        <w:tc>
          <w:tcPr>
            <w:tcW w:w="9860" w:type="dxa"/>
            <w:vAlign w:val="bottom"/>
            <w:tcBorders>
              <w:bottom w:val="single" w:sz="8" w:color="0000EE"/>
            </w:tcBorders>
            <w:gridSpan w:val="22"/>
          </w:tcPr>
          <w:p>
            <w:pPr>
              <w:spacing w:after="0"/>
              <w:rPr>
                <w:rFonts w:ascii="Arial" w:cs="Arial" w:eastAsia="Arial" w:hAnsi="Arial"/>
                <w:sz w:val="17"/>
                <w:szCs w:val="17"/>
                <w:color w:val="0000EE"/>
                <w:w w:val="92"/>
              </w:rPr>
            </w:pPr>
            <w:hyperlink r:id="rId278">
              <w:r>
                <w:rPr>
                  <w:rFonts w:ascii="Arial" w:cs="Arial" w:eastAsia="Arial" w:hAnsi="Arial"/>
                  <w:sz w:val="17"/>
                  <w:szCs w:val="17"/>
                  <w:color w:val="0000EE"/>
                  <w:w w:val="92"/>
                </w:rPr>
                <w:t>Class A Common Stock Purchase Agreement dated September 6, 2017 by and among ACM Research, Inc., Ninebell Co., Ltd. and Moon-Soo</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Borders>
              <w:bottom w:val="single" w:sz="8" w:color="0000EE"/>
            </w:tcBorders>
          </w:tcPr>
          <w:p>
            <w:pPr>
              <w:spacing w:after="0" w:line="189" w:lineRule="exact"/>
              <w:rPr>
                <w:rFonts w:ascii="Arial" w:cs="Arial" w:eastAsia="Arial" w:hAnsi="Arial"/>
                <w:sz w:val="17"/>
                <w:szCs w:val="17"/>
                <w:color w:val="0000EE"/>
                <w:w w:val="91"/>
              </w:rPr>
            </w:pPr>
            <w:hyperlink r:id="rId278">
              <w:r>
                <w:rPr>
                  <w:rFonts w:ascii="Arial" w:cs="Arial" w:eastAsia="Arial" w:hAnsi="Arial"/>
                  <w:sz w:val="17"/>
                  <w:szCs w:val="17"/>
                  <w:color w:val="0000EE"/>
                  <w:w w:val="91"/>
                </w:rPr>
                <w:t>Choi</w:t>
              </w:r>
            </w:hyperlink>
          </w:p>
        </w:tc>
        <w:tc>
          <w:tcPr>
            <w:tcW w:w="96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10.09#</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w w:val="96"/>
              </w:rPr>
            </w:pPr>
            <w:hyperlink r:id="rId279">
              <w:r>
                <w:rPr>
                  <w:rFonts w:ascii="Arial" w:cs="Arial" w:eastAsia="Arial" w:hAnsi="Arial"/>
                  <w:sz w:val="17"/>
                  <w:szCs w:val="17"/>
                  <w:color w:val="0000EE"/>
                  <w:w w:val="96"/>
                </w:rPr>
                <w:t>Form of Second Amended and Restated Registration Rights Agreement to be entered into between ACM Research, Inc. and certain of its</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0"/>
              </w:rPr>
            </w:pPr>
            <w:hyperlink r:id="rId279">
              <w:r>
                <w:rPr>
                  <w:rFonts w:ascii="Arial" w:cs="Arial" w:eastAsia="Arial" w:hAnsi="Arial"/>
                  <w:sz w:val="17"/>
                  <w:szCs w:val="17"/>
                  <w:color w:val="0000EE"/>
                  <w:w w:val="90"/>
                </w:rPr>
                <w:t>stockholders</w:t>
              </w:r>
            </w:hyperlink>
          </w:p>
        </w:tc>
        <w:tc>
          <w:tcPr>
            <w:tcW w:w="8640" w:type="dxa"/>
            <w:vAlign w:val="bottom"/>
            <w:tcBorders>
              <w:top w:val="single" w:sz="8" w:color="0000EE"/>
            </w:tcBorders>
            <w:gridSpan w:val="17"/>
          </w:tcPr>
          <w:p>
            <w:pPr>
              <w:spacing w:after="0"/>
              <w:rPr>
                <w:sz w:val="16"/>
                <w:szCs w:val="16"/>
                <w:color w:val="auto"/>
              </w:rPr>
            </w:pPr>
          </w:p>
        </w:tc>
        <w:tc>
          <w:tcPr>
            <w:tcW w:w="5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10.10#</w:t>
            </w:r>
          </w:p>
        </w:tc>
        <w:tc>
          <w:tcPr>
            <w:tcW w:w="78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7"/>
                <w:szCs w:val="17"/>
                <w:color w:val="0000EE"/>
                <w:w w:val="97"/>
              </w:rPr>
            </w:pPr>
            <w:hyperlink r:id="rId280">
              <w:r>
                <w:rPr>
                  <w:rFonts w:ascii="Arial" w:cs="Arial" w:eastAsia="Arial" w:hAnsi="Arial"/>
                  <w:sz w:val="17"/>
                  <w:szCs w:val="17"/>
                  <w:color w:val="0000EE"/>
                  <w:w w:val="97"/>
                </w:rPr>
                <w:t>Stock Purchase Agreement, dated October 11, 2017, by and among ACM Research, Inc., Xunxin (Shanghai) Capital Co., Limited, Xinxin</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4"/>
              </w:rPr>
            </w:pPr>
            <w:hyperlink r:id="rId280">
              <w:r>
                <w:rPr>
                  <w:rFonts w:ascii="Arial" w:cs="Arial" w:eastAsia="Arial" w:hAnsi="Arial"/>
                  <w:sz w:val="17"/>
                  <w:szCs w:val="17"/>
                  <w:color w:val="0000EE"/>
                  <w:w w:val="94"/>
                </w:rPr>
                <w:t>(Hongkong) Capital Co., Limited and David H. Wang</w:t>
              </w:r>
            </w:hyperlink>
          </w:p>
        </w:tc>
        <w:tc>
          <w:tcPr>
            <w:tcW w:w="5880" w:type="dxa"/>
            <w:vAlign w:val="bottom"/>
            <w:tcBorders>
              <w:top w:val="single" w:sz="8" w:color="0000EE"/>
            </w:tcBorders>
            <w:gridSpan w:val="15"/>
          </w:tcPr>
          <w:p>
            <w:pPr>
              <w:spacing w:after="0"/>
              <w:rPr>
                <w:sz w:val="16"/>
                <w:szCs w:val="16"/>
                <w:color w:val="auto"/>
              </w:rPr>
            </w:pPr>
          </w:p>
        </w:tc>
        <w:tc>
          <w:tcPr>
            <w:tcW w:w="4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00"/>
          </w:cols>
          <w:pgMar w:left="240" w:top="448" w:right="25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Exhibit</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0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0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20" w:type="dxa"/>
            <w:vAlign w:val="bottom"/>
            <w:gridSpan w:val="2"/>
          </w:tcPr>
          <w:p>
            <w:pPr>
              <w:spacing w:after="0"/>
              <w:rPr>
                <w:sz w:val="20"/>
                <w:szCs w:val="20"/>
                <w:color w:val="auto"/>
              </w:rPr>
            </w:pPr>
            <w:r>
              <w:rPr>
                <w:rFonts w:ascii="Arial" w:cs="Arial" w:eastAsia="Arial" w:hAnsi="Arial"/>
                <w:sz w:val="17"/>
                <w:szCs w:val="17"/>
                <w:color w:val="auto"/>
              </w:rPr>
              <w:t>10.11#</w:t>
            </w:r>
          </w:p>
        </w:tc>
        <w:tc>
          <w:tcPr>
            <w:tcW w:w="800" w:type="dxa"/>
            <w:vAlign w:val="bottom"/>
          </w:tcPr>
          <w:p>
            <w:pPr>
              <w:spacing w:after="0"/>
              <w:rPr>
                <w:sz w:val="22"/>
                <w:szCs w:val="22"/>
                <w:color w:val="auto"/>
              </w:rPr>
            </w:pPr>
          </w:p>
        </w:tc>
        <w:tc>
          <w:tcPr>
            <w:tcW w:w="9960" w:type="dxa"/>
            <w:vAlign w:val="bottom"/>
            <w:gridSpan w:val="21"/>
          </w:tcPr>
          <w:p>
            <w:pPr>
              <w:spacing w:after="0"/>
              <w:rPr>
                <w:rFonts w:ascii="Arial" w:cs="Arial" w:eastAsia="Arial" w:hAnsi="Arial"/>
                <w:sz w:val="17"/>
                <w:szCs w:val="17"/>
                <w:color w:val="0000EE"/>
              </w:rPr>
            </w:pPr>
            <w:hyperlink r:id="rId282">
              <w:r>
                <w:rPr>
                  <w:rFonts w:ascii="Arial" w:cs="Arial" w:eastAsia="Arial" w:hAnsi="Arial"/>
                  <w:sz w:val="17"/>
                  <w:szCs w:val="17"/>
                  <w:color w:val="0000EE"/>
                </w:rPr>
                <w:t>Stock Purchase Agreement, dated October 16, 2017, by and between ACM Research, Inc. and Victorious Way Limited</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10.12#</w:t>
            </w:r>
          </w:p>
        </w:tc>
        <w:tc>
          <w:tcPr>
            <w:tcW w:w="80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7"/>
                <w:szCs w:val="17"/>
                <w:color w:val="0000EE"/>
                <w:w w:val="96"/>
              </w:rPr>
            </w:pPr>
            <w:hyperlink r:id="rId283">
              <w:r>
                <w:rPr>
                  <w:rFonts w:ascii="Arial" w:cs="Arial" w:eastAsia="Arial" w:hAnsi="Arial"/>
                  <w:sz w:val="17"/>
                  <w:szCs w:val="17"/>
                  <w:color w:val="0000EE"/>
                  <w:w w:val="96"/>
                </w:rPr>
                <w:t>Nomination and Voting Agreement, dated October 11, 2017, by and among Xinxin (Hongkong) Capital Co., Limited, ACM Research, Inc.,</w:t>
              </w:r>
            </w:hyperlink>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72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r:id="rId283">
              <w:r>
                <w:rPr>
                  <w:rFonts w:ascii="Arial" w:cs="Arial" w:eastAsia="Arial" w:hAnsi="Arial"/>
                  <w:sz w:val="17"/>
                  <w:szCs w:val="17"/>
                  <w:color w:val="0000EE"/>
                </w:rPr>
                <w:t>David H. Wang, and the individuals named therein</w:t>
              </w:r>
            </w:hyperlink>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10.13#</w:t>
            </w:r>
          </w:p>
        </w:tc>
        <w:tc>
          <w:tcPr>
            <w:tcW w:w="800" w:type="dxa"/>
            <w:vAlign w:val="bottom"/>
          </w:tcPr>
          <w:p>
            <w:pPr>
              <w:spacing w:after="0"/>
              <w:rPr>
                <w:sz w:val="24"/>
                <w:szCs w:val="24"/>
                <w:color w:val="auto"/>
              </w:rPr>
            </w:pPr>
          </w:p>
        </w:tc>
        <w:tc>
          <w:tcPr>
            <w:tcW w:w="9960" w:type="dxa"/>
            <w:vAlign w:val="bottom"/>
            <w:tcBorders>
              <w:bottom w:val="single" w:sz="8" w:color="0000EE"/>
            </w:tcBorders>
            <w:gridSpan w:val="21"/>
          </w:tcPr>
          <w:p>
            <w:pPr>
              <w:spacing w:after="0"/>
              <w:rPr>
                <w:rFonts w:ascii="Arial" w:cs="Arial" w:eastAsia="Arial" w:hAnsi="Arial"/>
                <w:sz w:val="17"/>
                <w:szCs w:val="17"/>
                <w:color w:val="0000EE"/>
                <w:w w:val="91"/>
              </w:rPr>
            </w:pPr>
            <w:hyperlink r:id="rId284">
              <w:r>
                <w:rPr>
                  <w:rFonts w:ascii="Arial" w:cs="Arial" w:eastAsia="Arial" w:hAnsi="Arial"/>
                  <w:sz w:val="17"/>
                  <w:szCs w:val="17"/>
                  <w:color w:val="0000EE"/>
                  <w:w w:val="91"/>
                </w:rPr>
                <w:t>Voting Agreement, dated March 23, 2017, by and among Shanghai Technology Venture Capital Co., Ltd. (also known as Shanghai Science and</w:t>
              </w:r>
            </w:hyperlink>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40" w:type="dxa"/>
            <w:vAlign w:val="bottom"/>
            <w:tcBorders>
              <w:bottom w:val="single" w:sz="8" w:color="0000EE"/>
            </w:tcBorders>
            <w:gridSpan w:val="6"/>
          </w:tcPr>
          <w:p>
            <w:pPr>
              <w:spacing w:after="0" w:line="189" w:lineRule="exact"/>
              <w:rPr>
                <w:rFonts w:ascii="Arial" w:cs="Arial" w:eastAsia="Arial" w:hAnsi="Arial"/>
                <w:sz w:val="17"/>
                <w:szCs w:val="17"/>
                <w:color w:val="0000EE"/>
                <w:w w:val="93"/>
              </w:rPr>
            </w:pPr>
            <w:hyperlink r:id="rId284">
              <w:r>
                <w:rPr>
                  <w:rFonts w:ascii="Arial" w:cs="Arial" w:eastAsia="Arial" w:hAnsi="Arial"/>
                  <w:sz w:val="17"/>
                  <w:szCs w:val="17"/>
                  <w:color w:val="0000EE"/>
                  <w:w w:val="93"/>
                </w:rPr>
                <w:t>Technology Venture Capital Co., Ltd.) and ACM Research, Inc.</w:t>
              </w:r>
            </w:hyperlink>
          </w:p>
        </w:tc>
        <w:tc>
          <w:tcPr>
            <w:tcW w:w="55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10.14+#</w:t>
            </w:r>
          </w:p>
        </w:tc>
        <w:tc>
          <w:tcPr>
            <w:tcW w:w="800" w:type="dxa"/>
            <w:vAlign w:val="bottom"/>
          </w:tcPr>
          <w:p>
            <w:pPr>
              <w:spacing w:after="0"/>
              <w:rPr>
                <w:sz w:val="24"/>
                <w:szCs w:val="24"/>
                <w:color w:val="auto"/>
              </w:rPr>
            </w:pPr>
          </w:p>
        </w:tc>
        <w:tc>
          <w:tcPr>
            <w:tcW w:w="3740" w:type="dxa"/>
            <w:vAlign w:val="bottom"/>
            <w:tcBorders>
              <w:bottom w:val="single" w:sz="8" w:color="0000EE"/>
            </w:tcBorders>
            <w:gridSpan w:val="5"/>
          </w:tcPr>
          <w:p>
            <w:pPr>
              <w:spacing w:after="0"/>
              <w:rPr>
                <w:rFonts w:ascii="Arial" w:cs="Arial" w:eastAsia="Arial" w:hAnsi="Arial"/>
                <w:sz w:val="17"/>
                <w:szCs w:val="17"/>
                <w:color w:val="0000EE"/>
                <w:w w:val="93"/>
              </w:rPr>
            </w:pPr>
            <w:hyperlink r:id="rId285">
              <w:r>
                <w:rPr>
                  <w:rFonts w:ascii="Arial" w:cs="Arial" w:eastAsia="Arial" w:hAnsi="Arial"/>
                  <w:sz w:val="17"/>
                  <w:szCs w:val="17"/>
                  <w:color w:val="0000EE"/>
                  <w:w w:val="93"/>
                </w:rPr>
                <w:t>2016 Omnibus Incentive Plan of ACM Research, Inc.</w:t>
              </w:r>
            </w:hyperlink>
          </w:p>
        </w:tc>
        <w:tc>
          <w:tcPr>
            <w:tcW w:w="62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20" w:type="dxa"/>
            <w:vAlign w:val="bottom"/>
            <w:gridSpan w:val="3"/>
          </w:tcPr>
          <w:p>
            <w:pPr>
              <w:spacing w:after="0"/>
              <w:rPr>
                <w:sz w:val="20"/>
                <w:szCs w:val="20"/>
                <w:color w:val="auto"/>
              </w:rPr>
            </w:pPr>
            <w:r>
              <w:rPr>
                <w:rFonts w:ascii="Arial" w:cs="Arial" w:eastAsia="Arial" w:hAnsi="Arial"/>
                <w:sz w:val="17"/>
                <w:szCs w:val="17"/>
                <w:color w:val="auto"/>
              </w:rPr>
              <w:t>10.14(a)+#</w:t>
            </w:r>
          </w:p>
        </w:tc>
        <w:tc>
          <w:tcPr>
            <w:tcW w:w="6840" w:type="dxa"/>
            <w:vAlign w:val="bottom"/>
            <w:tcBorders>
              <w:bottom w:val="single" w:sz="8" w:color="0000EE"/>
            </w:tcBorders>
            <w:gridSpan w:val="15"/>
          </w:tcPr>
          <w:p>
            <w:pPr>
              <w:spacing w:after="0"/>
              <w:rPr>
                <w:rFonts w:ascii="Arial" w:cs="Arial" w:eastAsia="Arial" w:hAnsi="Arial"/>
                <w:sz w:val="17"/>
                <w:szCs w:val="17"/>
                <w:color w:val="0000EE"/>
                <w:w w:val="93"/>
              </w:rPr>
            </w:pPr>
            <w:hyperlink r:id="rId286">
              <w:r>
                <w:rPr>
                  <w:rFonts w:ascii="Arial" w:cs="Arial" w:eastAsia="Arial" w:hAnsi="Arial"/>
                  <w:sz w:val="17"/>
                  <w:szCs w:val="17"/>
                  <w:color w:val="0000EE"/>
                  <w:w w:val="93"/>
                </w:rPr>
                <w:t>Form of Incentive Stock Option Grant Notice and Agreement under 2016 Omnibus Incentive Plan</w:t>
              </w:r>
            </w:hyperlink>
          </w:p>
        </w:tc>
        <w:tc>
          <w:tcPr>
            <w:tcW w:w="3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20" w:type="dxa"/>
            <w:vAlign w:val="bottom"/>
            <w:gridSpan w:val="3"/>
          </w:tcPr>
          <w:p>
            <w:pPr>
              <w:spacing w:after="0"/>
              <w:rPr>
                <w:sz w:val="20"/>
                <w:szCs w:val="20"/>
                <w:color w:val="auto"/>
              </w:rPr>
            </w:pPr>
            <w:r>
              <w:rPr>
                <w:rFonts w:ascii="Arial" w:cs="Arial" w:eastAsia="Arial" w:hAnsi="Arial"/>
                <w:sz w:val="17"/>
                <w:szCs w:val="17"/>
                <w:color w:val="auto"/>
              </w:rPr>
              <w:t>10.14(b)+#</w:t>
            </w:r>
          </w:p>
        </w:tc>
        <w:tc>
          <w:tcPr>
            <w:tcW w:w="9960" w:type="dxa"/>
            <w:vAlign w:val="bottom"/>
            <w:gridSpan w:val="21"/>
          </w:tcPr>
          <w:p>
            <w:pPr>
              <w:spacing w:after="0"/>
              <w:rPr>
                <w:rFonts w:ascii="Arial" w:cs="Arial" w:eastAsia="Arial" w:hAnsi="Arial"/>
                <w:sz w:val="17"/>
                <w:szCs w:val="17"/>
                <w:color w:val="0000EE"/>
              </w:rPr>
            </w:pPr>
            <w:hyperlink r:id="rId287">
              <w:r>
                <w:rPr>
                  <w:rFonts w:ascii="Arial" w:cs="Arial" w:eastAsia="Arial" w:hAnsi="Arial"/>
                  <w:sz w:val="17"/>
                  <w:szCs w:val="17"/>
                  <w:color w:val="0000EE"/>
                </w:rPr>
                <w:t>Form of Non-qualified Stock Option Grant Notice and Agreement under 2016 Omnibus Incentive Plan</w:t>
              </w:r>
            </w:hyperlink>
          </w:p>
        </w:tc>
        <w:tc>
          <w:tcPr>
            <w:tcW w:w="0" w:type="dxa"/>
            <w:vAlign w:val="bottom"/>
          </w:tcPr>
          <w:p>
            <w:pPr>
              <w:spacing w:after="0"/>
              <w:rPr>
                <w:sz w:val="1"/>
                <w:szCs w:val="1"/>
                <w:color w:val="auto"/>
              </w:rPr>
            </w:pPr>
          </w:p>
        </w:tc>
      </w:tr>
      <w:tr>
        <w:trPr>
          <w:trHeight w:val="293"/>
        </w:trPr>
        <w:tc>
          <w:tcPr>
            <w:tcW w:w="1420" w:type="dxa"/>
            <w:vAlign w:val="bottom"/>
            <w:gridSpan w:val="3"/>
          </w:tcPr>
          <w:p>
            <w:pPr>
              <w:spacing w:after="0"/>
              <w:rPr>
                <w:sz w:val="20"/>
                <w:szCs w:val="20"/>
                <w:color w:val="auto"/>
              </w:rPr>
            </w:pPr>
            <w:r>
              <w:rPr>
                <w:rFonts w:ascii="Arial" w:cs="Arial" w:eastAsia="Arial" w:hAnsi="Arial"/>
                <w:sz w:val="17"/>
                <w:szCs w:val="17"/>
                <w:color w:val="auto"/>
              </w:rPr>
              <w:t>10.14(c)+#</w:t>
            </w:r>
          </w:p>
        </w:tc>
        <w:tc>
          <w:tcPr>
            <w:tcW w:w="672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93"/>
              </w:rPr>
            </w:pPr>
            <w:hyperlink r:id="rId288">
              <w:r>
                <w:rPr>
                  <w:rFonts w:ascii="Arial" w:cs="Arial" w:eastAsia="Arial" w:hAnsi="Arial"/>
                  <w:sz w:val="17"/>
                  <w:szCs w:val="17"/>
                  <w:color w:val="0000EE"/>
                  <w:w w:val="93"/>
                </w:rPr>
                <w:t>Form of Restricted Stock Unit Grant Notice and Agreement under 2016 Omnibus Incentive Plan</w:t>
              </w:r>
            </w:hyperlink>
          </w:p>
        </w:tc>
        <w:tc>
          <w:tcPr>
            <w:tcW w:w="440" w:type="dxa"/>
            <w:vAlign w:val="bottom"/>
            <w:tcBorders>
              <w:top w:val="single" w:sz="8" w:color="0000EE"/>
            </w:tcBorders>
            <w:gridSpan w:val="3"/>
          </w:tcPr>
          <w:p>
            <w:pPr>
              <w:spacing w:after="0"/>
              <w:rPr>
                <w:sz w:val="24"/>
                <w:szCs w:val="24"/>
                <w:color w:val="auto"/>
              </w:rPr>
            </w:pPr>
          </w:p>
        </w:tc>
        <w:tc>
          <w:tcPr>
            <w:tcW w:w="2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10.15+#</w:t>
            </w:r>
          </w:p>
        </w:tc>
        <w:tc>
          <w:tcPr>
            <w:tcW w:w="80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7"/>
                <w:szCs w:val="17"/>
                <w:color w:val="0000EE"/>
              </w:rPr>
            </w:pPr>
            <w:hyperlink r:id="rId289">
              <w:r>
                <w:rPr>
                  <w:rFonts w:ascii="Arial" w:cs="Arial" w:eastAsia="Arial" w:hAnsi="Arial"/>
                  <w:sz w:val="17"/>
                  <w:szCs w:val="17"/>
                  <w:color w:val="0000EE"/>
                </w:rPr>
                <w:t>Form of Nonstatutory Stock Option Agreement of ACM Research, Inc.</w:t>
              </w:r>
            </w:hyperlink>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10.16+#</w:t>
            </w:r>
          </w:p>
        </w:tc>
        <w:tc>
          <w:tcPr>
            <w:tcW w:w="80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3"/>
              </w:rPr>
            </w:pPr>
            <w:hyperlink r:id="rId290">
              <w:r>
                <w:rPr>
                  <w:rFonts w:ascii="Arial" w:cs="Arial" w:eastAsia="Arial" w:hAnsi="Arial"/>
                  <w:sz w:val="17"/>
                  <w:szCs w:val="17"/>
                  <w:color w:val="0000EE"/>
                  <w:w w:val="93"/>
                </w:rPr>
                <w:t>1998 Stock Option Plan of ACM Research, Inc.</w:t>
              </w:r>
            </w:hyperlink>
          </w:p>
        </w:tc>
        <w:tc>
          <w:tcPr>
            <w:tcW w:w="1620" w:type="dxa"/>
            <w:vAlign w:val="bottom"/>
            <w:tcBorders>
              <w:top w:val="single" w:sz="8" w:color="0000EE"/>
            </w:tcBorders>
            <w:gridSpan w:val="5"/>
          </w:tcPr>
          <w:p>
            <w:pPr>
              <w:spacing w:after="0"/>
              <w:rPr>
                <w:sz w:val="24"/>
                <w:szCs w:val="24"/>
                <w:color w:val="auto"/>
              </w:rPr>
            </w:pPr>
          </w:p>
        </w:tc>
        <w:tc>
          <w:tcPr>
            <w:tcW w:w="50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20" w:type="dxa"/>
            <w:vAlign w:val="bottom"/>
            <w:gridSpan w:val="3"/>
          </w:tcPr>
          <w:p>
            <w:pPr>
              <w:spacing w:after="0"/>
              <w:rPr>
                <w:sz w:val="20"/>
                <w:szCs w:val="20"/>
                <w:color w:val="auto"/>
              </w:rPr>
            </w:pPr>
            <w:r>
              <w:rPr>
                <w:rFonts w:ascii="Arial" w:cs="Arial" w:eastAsia="Arial" w:hAnsi="Arial"/>
                <w:sz w:val="17"/>
                <w:szCs w:val="17"/>
                <w:color w:val="auto"/>
              </w:rPr>
              <w:t>10.16(a)+#</w:t>
            </w:r>
          </w:p>
        </w:tc>
        <w:tc>
          <w:tcPr>
            <w:tcW w:w="9960" w:type="dxa"/>
            <w:vAlign w:val="bottom"/>
            <w:gridSpan w:val="21"/>
          </w:tcPr>
          <w:p>
            <w:pPr>
              <w:spacing w:after="0"/>
              <w:rPr>
                <w:rFonts w:ascii="Arial" w:cs="Arial" w:eastAsia="Arial" w:hAnsi="Arial"/>
                <w:sz w:val="17"/>
                <w:szCs w:val="17"/>
                <w:color w:val="0000EE"/>
              </w:rPr>
            </w:pPr>
            <w:hyperlink r:id="rId291">
              <w:r>
                <w:rPr>
                  <w:rFonts w:ascii="Arial" w:cs="Arial" w:eastAsia="Arial" w:hAnsi="Arial"/>
                  <w:sz w:val="17"/>
                  <w:szCs w:val="17"/>
                  <w:color w:val="0000EE"/>
                </w:rPr>
                <w:t>Form of Incentive Stock Option Agreement under 1998 Stock Option Plan</w:t>
              </w:r>
            </w:hyperlink>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420" w:type="dxa"/>
            <w:vAlign w:val="bottom"/>
            <w:gridSpan w:val="3"/>
          </w:tcPr>
          <w:p>
            <w:pPr>
              <w:spacing w:after="0"/>
              <w:rPr>
                <w:sz w:val="20"/>
                <w:szCs w:val="20"/>
                <w:color w:val="auto"/>
              </w:rPr>
            </w:pPr>
            <w:r>
              <w:rPr>
                <w:rFonts w:ascii="Arial" w:cs="Arial" w:eastAsia="Arial" w:hAnsi="Arial"/>
                <w:sz w:val="17"/>
                <w:szCs w:val="17"/>
                <w:color w:val="auto"/>
              </w:rPr>
              <w:t>10.16(b)+#</w:t>
            </w:r>
          </w:p>
        </w:tc>
        <w:tc>
          <w:tcPr>
            <w:tcW w:w="9960" w:type="dxa"/>
            <w:vAlign w:val="bottom"/>
            <w:gridSpan w:val="21"/>
          </w:tcPr>
          <w:p>
            <w:pPr>
              <w:spacing w:after="0"/>
              <w:rPr>
                <w:rFonts w:ascii="Arial" w:cs="Arial" w:eastAsia="Arial" w:hAnsi="Arial"/>
                <w:sz w:val="17"/>
                <w:szCs w:val="17"/>
                <w:color w:val="0000EE"/>
              </w:rPr>
            </w:pPr>
            <w:hyperlink r:id="rId292">
              <w:r>
                <w:rPr>
                  <w:rFonts w:ascii="Arial" w:cs="Arial" w:eastAsia="Arial" w:hAnsi="Arial"/>
                  <w:sz w:val="17"/>
                  <w:szCs w:val="17"/>
                  <w:color w:val="0000EE"/>
                </w:rPr>
                <w:t>Form of Non-statutory Stock Option Agreement under 1998 Stock Option Plan</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10.17#</w:t>
            </w:r>
          </w:p>
        </w:tc>
        <w:tc>
          <w:tcPr>
            <w:tcW w:w="80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7"/>
                <w:szCs w:val="17"/>
                <w:color w:val="0000EE"/>
              </w:rPr>
            </w:pPr>
            <w:hyperlink r:id="rId293">
              <w:r>
                <w:rPr>
                  <w:rFonts w:ascii="Arial" w:cs="Arial" w:eastAsia="Arial" w:hAnsi="Arial"/>
                  <w:sz w:val="17"/>
                  <w:szCs w:val="17"/>
                  <w:color w:val="0000EE"/>
                </w:rPr>
                <w:t>Form of Indemnification Agreement to be entered into between ACM Research, Inc. and certain of its directors and officers</w:t>
              </w:r>
            </w:hyperlink>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10.18+#</w:t>
            </w:r>
          </w:p>
        </w:tc>
        <w:tc>
          <w:tcPr>
            <w:tcW w:w="800" w:type="dxa"/>
            <w:vAlign w:val="bottom"/>
          </w:tcPr>
          <w:p>
            <w:pPr>
              <w:spacing w:after="0"/>
              <w:rPr>
                <w:sz w:val="24"/>
                <w:szCs w:val="24"/>
                <w:color w:val="auto"/>
              </w:rPr>
            </w:pPr>
          </w:p>
        </w:tc>
        <w:tc>
          <w:tcPr>
            <w:tcW w:w="7060" w:type="dxa"/>
            <w:vAlign w:val="bottom"/>
            <w:tcBorders>
              <w:top w:val="single" w:sz="8" w:color="0000EE"/>
              <w:bottom w:val="single" w:sz="8" w:color="0000EE"/>
            </w:tcBorders>
            <w:gridSpan w:val="16"/>
          </w:tcPr>
          <w:p>
            <w:pPr>
              <w:spacing w:after="0"/>
              <w:rPr>
                <w:rFonts w:ascii="Arial" w:cs="Arial" w:eastAsia="Arial" w:hAnsi="Arial"/>
                <w:sz w:val="17"/>
                <w:szCs w:val="17"/>
                <w:color w:val="0000EE"/>
                <w:w w:val="93"/>
              </w:rPr>
            </w:pPr>
            <w:hyperlink r:id="rId285">
              <w:r>
                <w:rPr>
                  <w:rFonts w:ascii="Arial" w:cs="Arial" w:eastAsia="Arial" w:hAnsi="Arial"/>
                  <w:sz w:val="17"/>
                  <w:szCs w:val="17"/>
                  <w:color w:val="0000EE"/>
                  <w:w w:val="93"/>
                </w:rPr>
                <w:t>Executive Retention Agreement dated November 14, 2016 between ACM Research, Inc. and Min Xu</w:t>
              </w:r>
            </w:hyperlink>
          </w:p>
        </w:tc>
        <w:tc>
          <w:tcPr>
            <w:tcW w:w="1540" w:type="dxa"/>
            <w:vAlign w:val="bottom"/>
            <w:tcBorders>
              <w:top w:val="single" w:sz="8" w:color="0000EE"/>
            </w:tcBorders>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20" w:type="dxa"/>
            <w:vAlign w:val="bottom"/>
            <w:gridSpan w:val="2"/>
          </w:tcPr>
          <w:p>
            <w:pPr>
              <w:spacing w:after="0"/>
              <w:rPr>
                <w:sz w:val="20"/>
                <w:szCs w:val="20"/>
                <w:color w:val="auto"/>
              </w:rPr>
            </w:pPr>
            <w:r>
              <w:rPr>
                <w:rFonts w:ascii="Arial" w:cs="Arial" w:eastAsia="Arial" w:hAnsi="Arial"/>
                <w:sz w:val="17"/>
                <w:szCs w:val="17"/>
                <w:color w:val="auto"/>
              </w:rPr>
              <w:t>10.19*</w:t>
            </w:r>
          </w:p>
        </w:tc>
        <w:tc>
          <w:tcPr>
            <w:tcW w:w="80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7"/>
                <w:szCs w:val="17"/>
                <w:color w:val="auto"/>
              </w:rPr>
              <w:t>Line of Credit Agreement dated August 21, 2017 between ACM Research (Shanghai), Inc. and Bank of China Pudong Branch</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10.20*</w:t>
            </w:r>
          </w:p>
        </w:tc>
        <w:tc>
          <w:tcPr>
            <w:tcW w:w="80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7"/>
                <w:szCs w:val="17"/>
                <w:color w:val="auto"/>
              </w:rPr>
              <w:t>Line of Credit Agreement dated August 21, 2017 between ACM Research (Shanghai), Inc. and Bank of Shanghai Pudong Branch</w:t>
            </w:r>
          </w:p>
        </w:tc>
        <w:tc>
          <w:tcPr>
            <w:tcW w:w="0" w:type="dxa"/>
            <w:vAlign w:val="bottom"/>
          </w:tcPr>
          <w:p>
            <w:pPr>
              <w:spacing w:after="0"/>
              <w:rPr>
                <w:sz w:val="1"/>
                <w:szCs w:val="1"/>
                <w:color w:val="auto"/>
              </w:rPr>
            </w:pPr>
          </w:p>
        </w:tc>
      </w:tr>
      <w:tr>
        <w:trPr>
          <w:trHeight w:val="274"/>
        </w:trPr>
        <w:tc>
          <w:tcPr>
            <w:tcW w:w="620" w:type="dxa"/>
            <w:vAlign w:val="bottom"/>
            <w:gridSpan w:val="2"/>
          </w:tcPr>
          <w:p>
            <w:pPr>
              <w:spacing w:after="0"/>
              <w:rPr>
                <w:sz w:val="20"/>
                <w:szCs w:val="20"/>
                <w:color w:val="auto"/>
              </w:rPr>
            </w:pPr>
            <w:r>
              <w:rPr>
                <w:rFonts w:ascii="Arial" w:cs="Arial" w:eastAsia="Arial" w:hAnsi="Arial"/>
                <w:sz w:val="17"/>
                <w:szCs w:val="17"/>
                <w:color w:val="auto"/>
              </w:rPr>
              <w:t>21.01#</w:t>
            </w:r>
          </w:p>
        </w:tc>
        <w:tc>
          <w:tcPr>
            <w:tcW w:w="800" w:type="dxa"/>
            <w:vAlign w:val="bottom"/>
          </w:tcPr>
          <w:p>
            <w:pPr>
              <w:spacing w:after="0"/>
              <w:rPr>
                <w:sz w:val="23"/>
                <w:szCs w:val="23"/>
                <w:color w:val="auto"/>
              </w:rPr>
            </w:pPr>
          </w:p>
        </w:tc>
        <w:tc>
          <w:tcPr>
            <w:tcW w:w="3020" w:type="dxa"/>
            <w:vAlign w:val="bottom"/>
            <w:tcBorders>
              <w:bottom w:val="single" w:sz="8" w:color="0000EE"/>
            </w:tcBorders>
            <w:gridSpan w:val="2"/>
          </w:tcPr>
          <w:p>
            <w:pPr>
              <w:spacing w:after="0"/>
              <w:rPr>
                <w:rFonts w:ascii="Arial" w:cs="Arial" w:eastAsia="Arial" w:hAnsi="Arial"/>
                <w:sz w:val="17"/>
                <w:szCs w:val="17"/>
                <w:color w:val="0000EE"/>
                <w:w w:val="94"/>
              </w:rPr>
            </w:pPr>
            <w:hyperlink r:id="rId294">
              <w:r>
                <w:rPr>
                  <w:rFonts w:ascii="Arial" w:cs="Arial" w:eastAsia="Arial" w:hAnsi="Arial"/>
                  <w:sz w:val="17"/>
                  <w:szCs w:val="17"/>
                  <w:color w:val="0000EE"/>
                  <w:w w:val="94"/>
                </w:rPr>
                <w:t>List of Subsidiaries of ACM Research, Inc.</w:t>
              </w:r>
            </w:hyperlink>
          </w:p>
        </w:tc>
        <w:tc>
          <w:tcPr>
            <w:tcW w:w="6940" w:type="dxa"/>
            <w:vAlign w:val="bottom"/>
            <w:gridSpan w:val="19"/>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23.01</w:t>
            </w:r>
          </w:p>
        </w:tc>
        <w:tc>
          <w:tcPr>
            <w:tcW w:w="80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3"/>
              </w:rPr>
              <w:t>Consent of BDO China Shu Lan Pan Certified Public Accountants LLP</w:t>
            </w:r>
          </w:p>
        </w:tc>
        <w:tc>
          <w:tcPr>
            <w:tcW w:w="4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20" w:type="dxa"/>
            <w:vAlign w:val="bottom"/>
            <w:gridSpan w:val="2"/>
          </w:tcPr>
          <w:p>
            <w:pPr>
              <w:spacing w:after="0"/>
              <w:rPr>
                <w:sz w:val="20"/>
                <w:szCs w:val="20"/>
                <w:color w:val="auto"/>
              </w:rPr>
            </w:pPr>
            <w:r>
              <w:rPr>
                <w:rFonts w:ascii="Arial" w:cs="Arial" w:eastAsia="Arial" w:hAnsi="Arial"/>
                <w:sz w:val="17"/>
                <w:szCs w:val="17"/>
                <w:color w:val="auto"/>
              </w:rPr>
              <w:t>23.02*</w:t>
            </w:r>
          </w:p>
        </w:tc>
        <w:tc>
          <w:tcPr>
            <w:tcW w:w="80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274"/>
        </w:trPr>
        <w:tc>
          <w:tcPr>
            <w:tcW w:w="620" w:type="dxa"/>
            <w:vAlign w:val="bottom"/>
            <w:gridSpan w:val="2"/>
          </w:tcPr>
          <w:p>
            <w:pPr>
              <w:spacing w:after="0"/>
              <w:rPr>
                <w:sz w:val="20"/>
                <w:szCs w:val="20"/>
                <w:color w:val="auto"/>
              </w:rPr>
            </w:pPr>
            <w:r>
              <w:rPr>
                <w:rFonts w:ascii="Arial" w:cs="Arial" w:eastAsia="Arial" w:hAnsi="Arial"/>
                <w:sz w:val="17"/>
                <w:szCs w:val="17"/>
                <w:color w:val="auto"/>
              </w:rPr>
              <w:t>24.01#</w:t>
            </w:r>
          </w:p>
        </w:tc>
        <w:tc>
          <w:tcPr>
            <w:tcW w:w="800" w:type="dxa"/>
            <w:vAlign w:val="bottom"/>
          </w:tcPr>
          <w:p>
            <w:pPr>
              <w:spacing w:after="0"/>
              <w:rPr>
                <w:sz w:val="23"/>
                <w:szCs w:val="23"/>
                <w:color w:val="auto"/>
              </w:rPr>
            </w:pPr>
          </w:p>
        </w:tc>
        <w:tc>
          <w:tcPr>
            <w:tcW w:w="6240" w:type="dxa"/>
            <w:vAlign w:val="bottom"/>
            <w:tcBorders>
              <w:bottom w:val="single" w:sz="8" w:color="0000EE"/>
            </w:tcBorders>
            <w:gridSpan w:val="13"/>
          </w:tcPr>
          <w:p>
            <w:pPr>
              <w:spacing w:after="0"/>
              <w:rPr>
                <w:rFonts w:ascii="Arial" w:cs="Arial" w:eastAsia="Arial" w:hAnsi="Arial"/>
                <w:sz w:val="17"/>
                <w:szCs w:val="17"/>
                <w:color w:val="0000EE"/>
                <w:w w:val="93"/>
              </w:rPr>
            </w:pPr>
            <w:hyperlink r:id="rId295">
              <w:r>
                <w:rPr>
                  <w:rFonts w:ascii="Arial" w:cs="Arial" w:eastAsia="Arial" w:hAnsi="Arial"/>
                  <w:sz w:val="17"/>
                  <w:szCs w:val="17"/>
                  <w:color w:val="0000EE"/>
                  <w:w w:val="93"/>
                </w:rPr>
                <w:t>Power of Attorney (included on signature page of Form S-1 filed on September 13, 2017)</w:t>
              </w:r>
            </w:hyperlink>
          </w:p>
        </w:tc>
        <w:tc>
          <w:tcPr>
            <w:tcW w:w="372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20" w:type="dxa"/>
            <w:vAlign w:val="bottom"/>
            <w:gridSpan w:val="2"/>
          </w:tcPr>
          <w:p>
            <w:pPr>
              <w:spacing w:after="0"/>
              <w:rPr>
                <w:sz w:val="20"/>
                <w:szCs w:val="20"/>
                <w:color w:val="auto"/>
              </w:rPr>
            </w:pPr>
            <w:r>
              <w:rPr>
                <w:rFonts w:ascii="Arial" w:cs="Arial" w:eastAsia="Arial" w:hAnsi="Arial"/>
                <w:sz w:val="17"/>
                <w:szCs w:val="17"/>
                <w:color w:val="auto"/>
              </w:rPr>
              <w:t>99.01</w:t>
            </w:r>
          </w:p>
        </w:tc>
        <w:tc>
          <w:tcPr>
            <w:tcW w:w="80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Arial" w:cs="Arial" w:eastAsia="Arial" w:hAnsi="Arial"/>
                <w:sz w:val="17"/>
                <w:szCs w:val="17"/>
                <w:color w:val="0000EE"/>
              </w:rPr>
              <w:t>Consent of Director Nominee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283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6" w:lineRule="exact"/>
        <w:rPr>
          <w:sz w:val="20"/>
          <w:szCs w:val="20"/>
          <w:color w:val="auto"/>
        </w:rPr>
      </w:pPr>
    </w:p>
    <w:p>
      <w:pPr>
        <w:ind w:left="460" w:hanging="456"/>
        <w:spacing w:after="0"/>
        <w:tabs>
          <w:tab w:leader="none" w:pos="4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5" w:lineRule="exact"/>
        <w:rPr>
          <w:sz w:val="20"/>
          <w:szCs w:val="20"/>
          <w:color w:val="auto"/>
        </w:rPr>
      </w:pPr>
    </w:p>
    <w:p>
      <w:pPr>
        <w:ind w:left="460" w:hanging="456"/>
        <w:spacing w:after="0"/>
        <w:tabs>
          <w:tab w:leader="none" w:pos="4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3" w:lineRule="exact"/>
        <w:rPr>
          <w:sz w:val="20"/>
          <w:szCs w:val="20"/>
          <w:color w:val="auto"/>
        </w:rPr>
      </w:pPr>
    </w:p>
    <w:p>
      <w:pPr>
        <w:ind w:left="460" w:hanging="456"/>
        <w:spacing w:after="0"/>
        <w:tabs>
          <w:tab w:leader="none" w:pos="4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Consolidated Financial Statement Schedules</w:t>
      </w:r>
    </w:p>
    <w:p>
      <w:pPr>
        <w:spacing w:after="0" w:line="123"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48" w:right="27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right="620" w:firstLine="457"/>
        <w:spacing w:after="0" w:line="287"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30" w:lineRule="exact"/>
        <w:rPr>
          <w:sz w:val="20"/>
          <w:szCs w:val="20"/>
          <w:color w:val="auto"/>
        </w:rPr>
      </w:pPr>
    </w:p>
    <w:p>
      <w:pPr>
        <w:ind w:left="920" w:right="160" w:hanging="459"/>
        <w:spacing w:after="0" w:line="296" w:lineRule="auto"/>
        <w:tabs>
          <w:tab w:leader="none" w:pos="9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6"/>
          <w:szCs w:val="16"/>
          <w:color w:val="auto"/>
        </w:rPr>
      </w:pPr>
    </w:p>
    <w:p>
      <w:pPr>
        <w:jc w:val="both"/>
        <w:ind w:left="920" w:right="120" w:hanging="459"/>
        <w:spacing w:after="0" w:line="271" w:lineRule="auto"/>
        <w:tabs>
          <w:tab w:leader="none" w:pos="9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400"/>
          </w:cols>
          <w:pgMar w:left="240" w:top="448" w:right="25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Fremont, State of California, on October 25, 2017.</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ACM RESEARCH, INC.</w:t>
      </w:r>
    </w:p>
    <w:p>
      <w:pPr>
        <w:spacing w:after="0" w:line="33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7"/>
          <w:szCs w:val="17"/>
          <w:color w:val="auto"/>
        </w:rPr>
        <w:t>By:</w:t>
        <w:tab/>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H. W</w:t>
      </w:r>
      <w:r>
        <w:rPr>
          <w:rFonts w:ascii="Arial" w:cs="Arial" w:eastAsia="Arial" w:hAnsi="Arial"/>
          <w:sz w:val="14"/>
          <w:szCs w:val="14"/>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15875</wp:posOffset>
            </wp:positionV>
            <wp:extent cx="26073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1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Chief Executive Officer and President</w:t>
      </w:r>
    </w:p>
    <w:p>
      <w:pPr>
        <w:spacing w:after="0" w:line="209"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October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3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60" w:type="dxa"/>
            <w:vAlign w:val="bottom"/>
          </w:tcPr>
          <w:p>
            <w:pPr>
              <w:spacing w:after="0"/>
              <w:rPr>
                <w:sz w:val="15"/>
                <w:szCs w:val="15"/>
                <w:color w:val="auto"/>
              </w:rPr>
            </w:pPr>
          </w:p>
        </w:tc>
      </w:tr>
      <w:tr>
        <w:trPr>
          <w:trHeight w:val="397"/>
        </w:trPr>
        <w:tc>
          <w:tcPr>
            <w:tcW w:w="9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H. W</w:t>
            </w:r>
            <w:r>
              <w:rPr>
                <w:rFonts w:ascii="Arial" w:cs="Arial" w:eastAsia="Arial" w:hAnsi="Arial"/>
                <w:sz w:val="14"/>
                <w:szCs w:val="14"/>
                <w:color w:val="auto"/>
              </w:rPr>
              <w:t>ANG</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w w:val="93"/>
              </w:rPr>
              <w:t>Chief Executive Officer, President and Director</w:t>
            </w:r>
          </w:p>
        </w:tc>
      </w:tr>
      <w:tr>
        <w:trPr>
          <w:trHeight w:val="220"/>
        </w:trPr>
        <w:tc>
          <w:tcPr>
            <w:tcW w:w="900" w:type="dxa"/>
            <w:vAlign w:val="bottom"/>
          </w:tcPr>
          <w:p>
            <w:pPr>
              <w:spacing w:after="0"/>
              <w:rPr>
                <w:sz w:val="19"/>
                <w:szCs w:val="19"/>
                <w:color w:val="auto"/>
              </w:rPr>
            </w:pPr>
          </w:p>
        </w:tc>
        <w:tc>
          <w:tcPr>
            <w:tcW w:w="428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5"/>
              </w:rPr>
              <w:t>David H. Wang</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412"/>
        </w:trPr>
        <w:tc>
          <w:tcPr>
            <w:tcW w:w="9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IN</w:t>
            </w:r>
            <w:r>
              <w:rPr>
                <w:rFonts w:ascii="Arial" w:cs="Arial" w:eastAsia="Arial" w:hAnsi="Arial"/>
                <w:sz w:val="17"/>
                <w:szCs w:val="17"/>
                <w:color w:val="auto"/>
              </w:rPr>
              <w:t xml:space="preserve"> X</w:t>
            </w:r>
            <w:r>
              <w:rPr>
                <w:rFonts w:ascii="Arial" w:cs="Arial" w:eastAsia="Arial" w:hAnsi="Arial"/>
                <w:sz w:val="14"/>
                <w:szCs w:val="14"/>
                <w:color w:val="auto"/>
              </w:rPr>
              <w:t>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 and Treasurer</w:t>
            </w:r>
          </w:p>
        </w:tc>
      </w:tr>
      <w:tr>
        <w:trPr>
          <w:trHeight w:val="220"/>
        </w:trPr>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80" w:type="dxa"/>
            <w:vAlign w:val="bottom"/>
            <w:gridSpan w:val="2"/>
          </w:tcPr>
          <w:p>
            <w:pPr>
              <w:jc w:val="center"/>
              <w:ind w:right="2300"/>
              <w:spacing w:after="0"/>
              <w:rPr>
                <w:sz w:val="20"/>
                <w:szCs w:val="20"/>
                <w:color w:val="auto"/>
              </w:rPr>
            </w:pPr>
            <w:r>
              <w:rPr>
                <w:rFonts w:ascii="Arial" w:cs="Arial" w:eastAsia="Arial" w:hAnsi="Arial"/>
                <w:sz w:val="17"/>
                <w:szCs w:val="17"/>
                <w:b w:val="1"/>
                <w:bCs w:val="1"/>
                <w:color w:val="auto"/>
              </w:rPr>
              <w:t>Min Xu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r>
      <w:tr>
        <w:trPr>
          <w:trHeight w:val="412"/>
        </w:trPr>
        <w:tc>
          <w:tcPr>
            <w:tcW w:w="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313"/>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900" w:type="dxa"/>
            <w:vAlign w:val="bottom"/>
          </w:tcPr>
          <w:p>
            <w:pPr>
              <w:spacing w:after="0"/>
              <w:rPr>
                <w:sz w:val="19"/>
                <w:szCs w:val="19"/>
                <w:color w:val="auto"/>
              </w:rPr>
            </w:pPr>
          </w:p>
        </w:tc>
        <w:tc>
          <w:tcPr>
            <w:tcW w:w="4280" w:type="dxa"/>
            <w:vAlign w:val="bottom"/>
            <w:gridSpan w:val="3"/>
          </w:tcPr>
          <w:p>
            <w:pPr>
              <w:jc w:val="center"/>
              <w:ind w:right="880"/>
              <w:spacing w:after="0"/>
              <w:rPr>
                <w:sz w:val="20"/>
                <w:szCs w:val="20"/>
                <w:color w:val="auto"/>
              </w:rPr>
            </w:pPr>
            <w:r>
              <w:rPr>
                <w:rFonts w:ascii="Arial" w:cs="Arial" w:eastAsia="Arial" w:hAnsi="Arial"/>
                <w:sz w:val="17"/>
                <w:szCs w:val="17"/>
                <w:b w:val="1"/>
                <w:bCs w:val="1"/>
                <w:color w:val="auto"/>
                <w:w w:val="95"/>
              </w:rPr>
              <w:t>Haiping Dun</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313"/>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900" w:type="dxa"/>
            <w:vAlign w:val="bottom"/>
          </w:tcPr>
          <w:p>
            <w:pPr>
              <w:spacing w:after="0"/>
              <w:rPr>
                <w:sz w:val="19"/>
                <w:szCs w:val="19"/>
                <w:color w:val="auto"/>
              </w:rPr>
            </w:pPr>
          </w:p>
        </w:tc>
        <w:tc>
          <w:tcPr>
            <w:tcW w:w="428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5"/>
              </w:rPr>
              <w:t>Chenming Hu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313"/>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auto"/>
            </w:tcBorders>
          </w:tcPr>
          <w:p>
            <w:pPr>
              <w:spacing w:after="0"/>
              <w:rPr>
                <w:sz w:val="24"/>
                <w:szCs w:val="24"/>
                <w:color w:val="auto"/>
              </w:rPr>
            </w:pP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900" w:type="dxa"/>
            <w:vAlign w:val="bottom"/>
          </w:tcPr>
          <w:p>
            <w:pPr>
              <w:spacing w:after="0"/>
              <w:rPr>
                <w:sz w:val="19"/>
                <w:szCs w:val="19"/>
                <w:color w:val="auto"/>
              </w:rPr>
            </w:pPr>
          </w:p>
        </w:tc>
        <w:tc>
          <w:tcPr>
            <w:tcW w:w="428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7"/>
              </w:rPr>
              <w:t>Tracy Liu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w:t>
            </w:r>
            <w:r>
              <w:rPr>
                <w:rFonts w:ascii="Arial" w:cs="Arial" w:eastAsia="Arial" w:hAnsi="Arial"/>
                <w:sz w:val="14"/>
                <w:szCs w:val="14"/>
                <w:color w:val="auto"/>
              </w:rPr>
              <w:t>Y</w:t>
            </w:r>
            <w:r>
              <w:rPr>
                <w:rFonts w:ascii="Arial" w:cs="Arial" w:eastAsia="Arial" w:hAnsi="Arial"/>
                <w:sz w:val="17"/>
                <w:szCs w:val="17"/>
                <w:color w:val="auto"/>
              </w:rPr>
              <w:t>:</w:t>
            </w:r>
          </w:p>
        </w:tc>
        <w:tc>
          <w:tcPr>
            <w:tcW w:w="428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IN</w:t>
            </w:r>
            <w:r>
              <w:rPr>
                <w:rFonts w:ascii="Arial" w:cs="Arial" w:eastAsia="Arial" w:hAnsi="Arial"/>
                <w:sz w:val="17"/>
                <w:szCs w:val="17"/>
                <w:color w:val="auto"/>
              </w:rPr>
              <w:t xml:space="preserve"> X</w:t>
            </w:r>
            <w:r>
              <w:rPr>
                <w:rFonts w:ascii="Arial" w:cs="Arial" w:eastAsia="Arial" w:hAnsi="Arial"/>
                <w:sz w:val="14"/>
                <w:szCs w:val="14"/>
                <w:color w:val="auto"/>
              </w:rPr>
              <w:t>U</w:t>
            </w: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9"/>
        </w:trPr>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80" w:type="dxa"/>
            <w:vAlign w:val="bottom"/>
            <w:gridSpan w:val="2"/>
          </w:tcPr>
          <w:p>
            <w:pPr>
              <w:jc w:val="center"/>
              <w:ind w:right="2300"/>
              <w:spacing w:after="0" w:line="189" w:lineRule="exact"/>
              <w:rPr>
                <w:sz w:val="20"/>
                <w:szCs w:val="20"/>
                <w:color w:val="auto"/>
              </w:rPr>
            </w:pPr>
            <w:r>
              <w:rPr>
                <w:rFonts w:ascii="Arial" w:cs="Arial" w:eastAsia="Arial" w:hAnsi="Arial"/>
                <w:sz w:val="17"/>
                <w:szCs w:val="17"/>
                <w:b w:val="1"/>
                <w:bCs w:val="1"/>
                <w:color w:val="auto"/>
              </w:rPr>
              <w:t>Min Xu</w:t>
            </w: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1"/>
        </w:trPr>
        <w:tc>
          <w:tcPr>
            <w:tcW w:w="900" w:type="dxa"/>
            <w:vAlign w:val="bottom"/>
          </w:tcPr>
          <w:p>
            <w:pPr>
              <w:spacing w:after="0"/>
              <w:rPr>
                <w:sz w:val="19"/>
                <w:szCs w:val="19"/>
                <w:color w:val="auto"/>
              </w:rPr>
            </w:pPr>
          </w:p>
        </w:tc>
        <w:tc>
          <w:tcPr>
            <w:tcW w:w="4280" w:type="dxa"/>
            <w:vAlign w:val="bottom"/>
            <w:gridSpan w:val="3"/>
          </w:tcPr>
          <w:p>
            <w:pPr>
              <w:jc w:val="center"/>
              <w:ind w:right="900"/>
              <w:spacing w:after="0"/>
              <w:rPr>
                <w:sz w:val="20"/>
                <w:szCs w:val="20"/>
                <w:color w:val="auto"/>
              </w:rPr>
            </w:pPr>
            <w:r>
              <w:rPr>
                <w:rFonts w:ascii="Arial" w:cs="Arial" w:eastAsia="Arial" w:hAnsi="Arial"/>
                <w:sz w:val="17"/>
                <w:szCs w:val="17"/>
                <w:color w:val="auto"/>
                <w:w w:val="97"/>
              </w:rPr>
              <w:t>Attorney-in-Fact</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65"/>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40" w:type="dxa"/>
            <w:vAlign w:val="bottom"/>
            <w:gridSpan w:val="3"/>
          </w:tcPr>
          <w:p>
            <w:pPr>
              <w:ind w:left="400"/>
              <w:spacing w:after="0"/>
              <w:rPr>
                <w:sz w:val="20"/>
                <w:szCs w:val="20"/>
                <w:color w:val="auto"/>
              </w:rPr>
            </w:pPr>
            <w:r>
              <w:rPr>
                <w:rFonts w:ascii="Arial" w:cs="Arial" w:eastAsia="Arial" w:hAnsi="Arial"/>
                <w:sz w:val="17"/>
                <w:szCs w:val="17"/>
                <w:color w:val="auto"/>
              </w:rPr>
              <w:t>II-6</w:t>
            </w:r>
          </w:p>
        </w:tc>
      </w:tr>
    </w:tbl>
    <w:p>
      <w:pPr>
        <w:sectPr>
          <w:pgSz w:w="11900" w:h="16838" w:orient="portrait"/>
          <w:cols w:equalWidth="0" w:num="1">
            <w:col w:w="11260"/>
          </w:cols>
          <w:pgMar w:left="240" w:top="448" w:right="3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38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6"/>
        </w:trPr>
        <w:tc>
          <w:tcPr>
            <w:tcW w:w="120" w:type="dxa"/>
            <w:vAlign w:val="bottom"/>
          </w:tcPr>
          <w:p>
            <w:pPr>
              <w:spacing w:after="0"/>
              <w:rPr>
                <w:sz w:val="24"/>
                <w:szCs w:val="2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Exhibit</w:t>
            </w:r>
          </w:p>
        </w:tc>
        <w:tc>
          <w:tcPr>
            <w:tcW w:w="50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b w:val="1"/>
                <w:bCs w:val="1"/>
                <w:color w:val="auto"/>
              </w:rPr>
              <w:t>No.</w:t>
            </w:r>
          </w:p>
        </w:tc>
        <w:tc>
          <w:tcPr>
            <w:tcW w:w="6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1.01#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Certificate of Incorporation of ACM Research, Inc., as amended (currently in effect)</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3.02#</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Bylaws of ACM Research, Inc. (currently in effect)</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3.03#</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3.04#</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4.01#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4.02#</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rPr>
              <w:t>5.01*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Form of Opinion of K&amp;L Gates LLP</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10.02#</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10.03#</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Limited Partnership and ACM Research (Shanghai), Inc.</w:t>
            </w:r>
          </w:p>
        </w:tc>
        <w:tc>
          <w:tcPr>
            <w:tcW w:w="0" w:type="dxa"/>
            <w:vAlign w:val="bottom"/>
          </w:tcPr>
          <w:p>
            <w:pPr>
              <w:spacing w:after="0"/>
              <w:rPr>
                <w:sz w:val="1"/>
                <w:szCs w:val="1"/>
                <w:color w:val="auto"/>
              </w:rPr>
            </w:pPr>
          </w:p>
        </w:tc>
      </w:tr>
      <w:tr>
        <w:trPr>
          <w:trHeight w:val="313"/>
        </w:trPr>
        <w:tc>
          <w:tcPr>
            <w:tcW w:w="1160" w:type="dxa"/>
            <w:vAlign w:val="bottom"/>
            <w:gridSpan w:val="3"/>
          </w:tcPr>
          <w:p>
            <w:pPr>
              <w:jc w:val="right"/>
              <w:ind w:right="480"/>
              <w:spacing w:after="0"/>
              <w:rPr>
                <w:sz w:val="20"/>
                <w:szCs w:val="20"/>
                <w:color w:val="auto"/>
              </w:rPr>
            </w:pPr>
            <w:r>
              <w:rPr>
                <w:rFonts w:ascii="Arial" w:cs="Arial" w:eastAsia="Arial" w:hAnsi="Arial"/>
                <w:sz w:val="17"/>
                <w:szCs w:val="17"/>
                <w:color w:val="auto"/>
                <w:w w:val="90"/>
              </w:rPr>
              <w:t>10.03(a)#</w:t>
            </w: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7"/>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10.04#</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1"/>
              </w:rPr>
              <w:t>Securities Purchase Agreement dated March 23, 2017 between ACM Research, Inc. and Shanghai Science and Technology Venture Capital</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Co., Ltd., as amended</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10.05#</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Securities Purchase Agreement dated August 31, 2017 by and among ACM Research, Inc., Shanghai Pudong High-Tech Investment Co.,</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Ltd. and Pudong Science and Technology (Cayman) Co., Ltd.</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10.06#</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Securities Purchase Agreement dated August 31, 2017 by and among ACM Research, Inc., Shanghai Zhangjiang Science &amp; Technology</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Venture Capital Co., Ltd. and Zhangjiang AJ Company Limited</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10.07#</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2"/>
              </w:rPr>
              <w:t>Ordinary Share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10.08#</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Class A Common Stock Purchase Agreement dated September 6, 2017 by and among ACM Research, Inc., Ninebell Co., Ltd. and Moon-</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Soo Choi</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10.09#</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Form of Second Amended and Restated Registration Rights Agreement to be entered into between ACM Research, Inc. and certain of its</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stockholders</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10.10#</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4"/>
              </w:rPr>
              <w:t>Stock Purchase Agreement, dated October 11, 2017, by and among ACM Research, Inc., Xunxin (Shanghai) Capital Co., Limited, Xinxin</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(Hongkong) Capital Co., Limited and David H. Wang</w:t>
            </w:r>
          </w:p>
        </w:tc>
        <w:tc>
          <w:tcPr>
            <w:tcW w:w="0" w:type="dxa"/>
            <w:vAlign w:val="bottom"/>
          </w:tcPr>
          <w:p>
            <w:pPr>
              <w:spacing w:after="0"/>
              <w:rPr>
                <w:sz w:val="1"/>
                <w:szCs w:val="1"/>
                <w:color w:val="auto"/>
              </w:rPr>
            </w:pPr>
          </w:p>
        </w:tc>
      </w:tr>
      <w:tr>
        <w:trPr>
          <w:trHeight w:val="313"/>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10.11#</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10.12#</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3"/>
              </w:rPr>
              <w:t>Nomination and Voting Agreement, dated October 11, 2017, by and among Xinxin (Hongkong) Capital Co., Limited, ACM Research, Inc.,</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David H. Wang, and the individuals named therein</w:t>
            </w:r>
          </w:p>
        </w:tc>
        <w:tc>
          <w:tcPr>
            <w:tcW w:w="0" w:type="dxa"/>
            <w:vAlign w:val="bottom"/>
          </w:tcPr>
          <w:p>
            <w:pPr>
              <w:spacing w:after="0"/>
              <w:rPr>
                <w:sz w:val="1"/>
                <w:szCs w:val="1"/>
                <w:color w:val="auto"/>
              </w:rPr>
            </w:pPr>
          </w:p>
        </w:tc>
      </w:tr>
      <w:tr>
        <w:trPr>
          <w:trHeight w:val="301"/>
        </w:trPr>
        <w:tc>
          <w:tcPr>
            <w:tcW w:w="560" w:type="dxa"/>
            <w:vAlign w:val="bottom"/>
            <w:gridSpan w:val="2"/>
          </w:tcPr>
          <w:p>
            <w:pPr>
              <w:jc w:val="right"/>
              <w:ind w:right="11"/>
              <w:spacing w:after="0"/>
              <w:rPr>
                <w:sz w:val="20"/>
                <w:szCs w:val="20"/>
                <w:color w:val="auto"/>
              </w:rPr>
            </w:pPr>
            <w:r>
              <w:rPr>
                <w:rFonts w:ascii="Arial" w:cs="Arial" w:eastAsia="Arial" w:hAnsi="Arial"/>
                <w:sz w:val="17"/>
                <w:szCs w:val="17"/>
                <w:color w:val="auto"/>
                <w:w w:val="88"/>
              </w:rPr>
              <w:t>10.13#</w:t>
            </w:r>
          </w:p>
        </w:tc>
        <w:tc>
          <w:tcPr>
            <w:tcW w:w="600" w:type="dxa"/>
            <w:vAlign w:val="bottom"/>
          </w:tcPr>
          <w:p>
            <w:pPr>
              <w:spacing w:after="0"/>
              <w:rPr>
                <w:sz w:val="24"/>
                <w:szCs w:val="24"/>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w w:val="92"/>
              </w:rPr>
              <w:t>Voting Agreement, dated March 23, 2017, by and among Shanghai Technology Venture Capital Co., Ltd. (also known as Shanghai Science</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and Technology Venture Capital Co., Ltd.) and ACM Research, Inc.</w:t>
            </w:r>
          </w:p>
        </w:tc>
        <w:tc>
          <w:tcPr>
            <w:tcW w:w="0" w:type="dxa"/>
            <w:vAlign w:val="bottom"/>
          </w:tcPr>
          <w:p>
            <w:pPr>
              <w:spacing w:after="0"/>
              <w:rPr>
                <w:sz w:val="1"/>
                <w:szCs w:val="1"/>
                <w:color w:val="auto"/>
              </w:rPr>
            </w:pPr>
          </w:p>
        </w:tc>
      </w:tr>
      <w:tr>
        <w:trPr>
          <w:trHeight w:val="313"/>
        </w:trPr>
        <w:tc>
          <w:tcPr>
            <w:tcW w:w="1160" w:type="dxa"/>
            <w:vAlign w:val="bottom"/>
            <w:gridSpan w:val="3"/>
          </w:tcPr>
          <w:p>
            <w:pPr>
              <w:jc w:val="right"/>
              <w:ind w:right="580"/>
              <w:spacing w:after="0"/>
              <w:rPr>
                <w:sz w:val="20"/>
                <w:szCs w:val="20"/>
                <w:color w:val="auto"/>
              </w:rPr>
            </w:pPr>
            <w:r>
              <w:rPr>
                <w:rFonts w:ascii="Arial" w:cs="Arial" w:eastAsia="Arial" w:hAnsi="Arial"/>
                <w:sz w:val="17"/>
                <w:szCs w:val="17"/>
                <w:color w:val="auto"/>
                <w:w w:val="90"/>
              </w:rPr>
              <w:t>10.14+#</w:t>
            </w:r>
          </w:p>
        </w:tc>
        <w:tc>
          <w:tcPr>
            <w:tcW w:w="10180" w:type="dxa"/>
            <w:vAlign w:val="bottom"/>
            <w:gridSpan w:val="3"/>
          </w:tcPr>
          <w:p>
            <w:pPr>
              <w:ind w:left="500"/>
              <w:spacing w:after="0"/>
              <w:rPr>
                <w:sz w:val="20"/>
                <w:szCs w:val="20"/>
                <w:color w:val="auto"/>
              </w:rPr>
            </w:pPr>
            <w:r>
              <w:rPr>
                <w:rFonts w:ascii="Arial" w:cs="Arial" w:eastAsia="Arial" w:hAnsi="Arial"/>
                <w:sz w:val="17"/>
                <w:szCs w:val="17"/>
                <w:color w:val="auto"/>
              </w:rPr>
              <w:t>2016 Omnibus Incentive Plan of ACM Research, Inc.</w:t>
            </w:r>
          </w:p>
        </w:tc>
        <w:tc>
          <w:tcPr>
            <w:tcW w:w="0" w:type="dxa"/>
            <w:vAlign w:val="bottom"/>
          </w:tcPr>
          <w:p>
            <w:pPr>
              <w:spacing w:after="0"/>
              <w:rPr>
                <w:sz w:val="1"/>
                <w:szCs w:val="1"/>
                <w:color w:val="auto"/>
              </w:rPr>
            </w:pPr>
          </w:p>
        </w:tc>
      </w:tr>
      <w:tr>
        <w:trPr>
          <w:trHeight w:val="352"/>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80" w:type="dxa"/>
            <w:vAlign w:val="bottom"/>
            <w:gridSpan w:val="3"/>
          </w:tcPr>
          <w:p>
            <w:pPr>
              <w:ind w:left="4420"/>
              <w:spacing w:after="0"/>
              <w:rPr>
                <w:sz w:val="20"/>
                <w:szCs w:val="20"/>
                <w:color w:val="auto"/>
              </w:rPr>
            </w:pPr>
            <w:r>
              <w:rPr>
                <w:rFonts w:ascii="Arial" w:cs="Arial" w:eastAsia="Arial" w:hAnsi="Arial"/>
                <w:sz w:val="17"/>
                <w:szCs w:val="17"/>
                <w:color w:val="auto"/>
              </w:rPr>
              <w:t>II-7</w:t>
            </w:r>
          </w:p>
        </w:tc>
        <w:tc>
          <w:tcPr>
            <w:tcW w:w="0" w:type="dxa"/>
            <w:vAlign w:val="bottom"/>
          </w:tcPr>
          <w:p>
            <w:pPr>
              <w:spacing w:after="0"/>
              <w:rPr>
                <w:sz w:val="1"/>
                <w:szCs w:val="1"/>
                <w:color w:val="auto"/>
              </w:rPr>
            </w:pPr>
          </w:p>
        </w:tc>
      </w:tr>
    </w:tbl>
    <w:p>
      <w:pPr>
        <w:sectPr>
          <w:pgSz w:w="11900" w:h="16838" w:orient="portrait"/>
          <w:cols w:equalWidth="0" w:num="1">
            <w:col w:w="11340"/>
          </w:cols>
          <w:pgMar w:left="240" w:top="448" w:right="3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Exhibit</w:t>
            </w:r>
          </w:p>
        </w:tc>
        <w:tc>
          <w:tcPr>
            <w:tcW w:w="4980" w:type="dxa"/>
            <w:vAlign w:val="bottom"/>
            <w:vMerge w:val="restart"/>
          </w:tcPr>
          <w:p>
            <w:pPr>
              <w:spacing w:after="0"/>
              <w:rPr>
                <w:sz w:val="14"/>
                <w:szCs w:val="14"/>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5"/>
                <w:szCs w:val="15"/>
                <w:color w:val="auto"/>
              </w:rPr>
            </w:pPr>
          </w:p>
        </w:tc>
        <w:tc>
          <w:tcPr>
            <w:tcW w:w="4980" w:type="dxa"/>
            <w:vAlign w:val="bottom"/>
            <w:vMerge w:val="continue"/>
          </w:tcPr>
          <w:p>
            <w:pPr>
              <w:spacing w:after="0"/>
              <w:rPr>
                <w:sz w:val="15"/>
                <w:szCs w:val="15"/>
                <w:color w:val="auto"/>
              </w:rPr>
            </w:pPr>
          </w:p>
        </w:tc>
        <w:tc>
          <w:tcPr>
            <w:tcW w:w="4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260" w:type="dxa"/>
            <w:vAlign w:val="bottom"/>
            <w:gridSpan w:val="3"/>
          </w:tcPr>
          <w:p>
            <w:pPr>
              <w:spacing w:after="0"/>
              <w:rPr>
                <w:sz w:val="20"/>
                <w:szCs w:val="20"/>
                <w:color w:val="auto"/>
              </w:rPr>
            </w:pPr>
            <w:r>
              <w:rPr>
                <w:rFonts w:ascii="Arial" w:cs="Arial" w:eastAsia="Arial" w:hAnsi="Arial"/>
                <w:sz w:val="17"/>
                <w:szCs w:val="17"/>
                <w:color w:val="auto"/>
              </w:rPr>
              <w:t>10.14(a)+#</w:t>
            </w: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260" w:type="dxa"/>
            <w:vAlign w:val="bottom"/>
            <w:gridSpan w:val="3"/>
          </w:tcPr>
          <w:p>
            <w:pPr>
              <w:spacing w:after="0"/>
              <w:rPr>
                <w:sz w:val="20"/>
                <w:szCs w:val="20"/>
                <w:color w:val="auto"/>
              </w:rPr>
            </w:pPr>
            <w:r>
              <w:rPr>
                <w:rFonts w:ascii="Arial" w:cs="Arial" w:eastAsia="Arial" w:hAnsi="Arial"/>
                <w:sz w:val="17"/>
                <w:szCs w:val="17"/>
                <w:color w:val="auto"/>
              </w:rPr>
              <w:t>10.14(b)+#</w:t>
            </w: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260" w:type="dxa"/>
            <w:vAlign w:val="bottom"/>
            <w:gridSpan w:val="3"/>
          </w:tcPr>
          <w:p>
            <w:pPr>
              <w:spacing w:after="0"/>
              <w:rPr>
                <w:sz w:val="20"/>
                <w:szCs w:val="20"/>
                <w:color w:val="auto"/>
              </w:rPr>
            </w:pPr>
            <w:r>
              <w:rPr>
                <w:rFonts w:ascii="Arial" w:cs="Arial" w:eastAsia="Arial" w:hAnsi="Arial"/>
                <w:sz w:val="17"/>
                <w:szCs w:val="17"/>
                <w:color w:val="auto"/>
              </w:rPr>
              <w:t>10.14(c)+#</w:t>
            </w: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10.15+#</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Nonstatutory Stock Option Agreement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10.16+#</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1998 Stock Option Plan of ACM Research, Inc.</w:t>
            </w:r>
          </w:p>
        </w:tc>
        <w:tc>
          <w:tcPr>
            <w:tcW w:w="0" w:type="dxa"/>
            <w:vAlign w:val="bottom"/>
          </w:tcPr>
          <w:p>
            <w:pPr>
              <w:spacing w:after="0"/>
              <w:rPr>
                <w:sz w:val="1"/>
                <w:szCs w:val="1"/>
                <w:color w:val="auto"/>
              </w:rPr>
            </w:pPr>
          </w:p>
        </w:tc>
      </w:tr>
      <w:tr>
        <w:trPr>
          <w:trHeight w:val="313"/>
        </w:trPr>
        <w:tc>
          <w:tcPr>
            <w:tcW w:w="1260" w:type="dxa"/>
            <w:vAlign w:val="bottom"/>
            <w:gridSpan w:val="3"/>
          </w:tcPr>
          <w:p>
            <w:pPr>
              <w:spacing w:after="0"/>
              <w:rPr>
                <w:sz w:val="20"/>
                <w:szCs w:val="20"/>
                <w:color w:val="auto"/>
              </w:rPr>
            </w:pPr>
            <w:r>
              <w:rPr>
                <w:rFonts w:ascii="Arial" w:cs="Arial" w:eastAsia="Arial" w:hAnsi="Arial"/>
                <w:sz w:val="17"/>
                <w:szCs w:val="17"/>
                <w:color w:val="auto"/>
              </w:rPr>
              <w:t>10.16(a)+#</w:t>
            </w: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Incentive Stock Option Agreement under 1998 Stock Option Plan</w:t>
            </w:r>
          </w:p>
        </w:tc>
        <w:tc>
          <w:tcPr>
            <w:tcW w:w="0" w:type="dxa"/>
            <w:vAlign w:val="bottom"/>
          </w:tcPr>
          <w:p>
            <w:pPr>
              <w:spacing w:after="0"/>
              <w:rPr>
                <w:sz w:val="1"/>
                <w:szCs w:val="1"/>
                <w:color w:val="auto"/>
              </w:rPr>
            </w:pPr>
          </w:p>
        </w:tc>
      </w:tr>
      <w:tr>
        <w:trPr>
          <w:trHeight w:val="313"/>
        </w:trPr>
        <w:tc>
          <w:tcPr>
            <w:tcW w:w="1260" w:type="dxa"/>
            <w:vAlign w:val="bottom"/>
            <w:gridSpan w:val="3"/>
          </w:tcPr>
          <w:p>
            <w:pPr>
              <w:spacing w:after="0"/>
              <w:rPr>
                <w:sz w:val="20"/>
                <w:szCs w:val="20"/>
                <w:color w:val="auto"/>
              </w:rPr>
            </w:pPr>
            <w:r>
              <w:rPr>
                <w:rFonts w:ascii="Arial" w:cs="Arial" w:eastAsia="Arial" w:hAnsi="Arial"/>
                <w:sz w:val="17"/>
                <w:szCs w:val="17"/>
                <w:color w:val="auto"/>
              </w:rPr>
              <w:t>10.16(b)+#</w:t>
            </w: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Form of Non-statutory Stock Option Agreement under 1998 Stock Option Plan</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10.17#</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w w:val="97"/>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w w:val="96"/>
              </w:rPr>
              <w:t>10.18+#</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10.19*</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w w:val="95"/>
              </w:rPr>
              <w:t>Line of Credit Agreement dated August 21, 2017 between ACM Research (Shanghai), Inc. and Bank of China Pudong Branch</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10.20*</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w w:val="92"/>
              </w:rPr>
              <w:t>Line of Credit Agreement dated August 21, 2017 between ACM Research (Shanghai), Inc. and Bank of Shanghai Pudong Branch</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21.01#</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List of Subsidiaries of ACM Research, Inc.</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23.01</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Consent of BDO China Shu Lan Pan Certified Public Accountants LLP</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23.02*</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24.01#</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Power of Attorney (included on signature page of Form S-1 filed on September 13, 2017)</w:t>
            </w:r>
          </w:p>
        </w:tc>
        <w:tc>
          <w:tcPr>
            <w:tcW w:w="0" w:type="dxa"/>
            <w:vAlign w:val="bottom"/>
          </w:tcPr>
          <w:p>
            <w:pPr>
              <w:spacing w:after="0"/>
              <w:rPr>
                <w:sz w:val="1"/>
                <w:szCs w:val="1"/>
                <w:color w:val="auto"/>
              </w:rPr>
            </w:pPr>
          </w:p>
        </w:tc>
      </w:tr>
      <w:tr>
        <w:trPr>
          <w:trHeight w:val="313"/>
        </w:trPr>
        <w:tc>
          <w:tcPr>
            <w:tcW w:w="620" w:type="dxa"/>
            <w:vAlign w:val="bottom"/>
            <w:gridSpan w:val="2"/>
          </w:tcPr>
          <w:p>
            <w:pPr>
              <w:spacing w:after="0"/>
              <w:rPr>
                <w:sz w:val="20"/>
                <w:szCs w:val="20"/>
                <w:color w:val="auto"/>
              </w:rPr>
            </w:pPr>
            <w:r>
              <w:rPr>
                <w:rFonts w:ascii="Arial" w:cs="Arial" w:eastAsia="Arial" w:hAnsi="Arial"/>
                <w:sz w:val="17"/>
                <w:szCs w:val="17"/>
                <w:color w:val="auto"/>
              </w:rPr>
              <w:t>99.01</w:t>
            </w:r>
          </w:p>
        </w:tc>
        <w:tc>
          <w:tcPr>
            <w:tcW w:w="640" w:type="dxa"/>
            <w:vAlign w:val="bottom"/>
          </w:tcPr>
          <w:p>
            <w:pPr>
              <w:spacing w:after="0"/>
              <w:rPr>
                <w:sz w:val="24"/>
                <w:szCs w:val="24"/>
                <w:color w:val="auto"/>
              </w:rPr>
            </w:pPr>
          </w:p>
        </w:tc>
        <w:tc>
          <w:tcPr>
            <w:tcW w:w="9500" w:type="dxa"/>
            <w:vAlign w:val="bottom"/>
            <w:gridSpan w:val="3"/>
          </w:tcPr>
          <w:p>
            <w:pPr>
              <w:ind w:left="500"/>
              <w:spacing w:after="0"/>
              <w:rPr>
                <w:sz w:val="20"/>
                <w:szCs w:val="20"/>
                <w:color w:val="auto"/>
              </w:rPr>
            </w:pPr>
            <w:r>
              <w:rPr>
                <w:rFonts w:ascii="Arial" w:cs="Arial" w:eastAsia="Arial" w:hAnsi="Arial"/>
                <w:sz w:val="17"/>
                <w:szCs w:val="17"/>
                <w:color w:val="auto"/>
              </w:rPr>
              <w:t>Consent of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83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460" w:hanging="456"/>
        <w:spacing w:after="0"/>
        <w:tabs>
          <w:tab w:leader="none" w:pos="4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5" w:lineRule="exact"/>
        <w:rPr>
          <w:sz w:val="20"/>
          <w:szCs w:val="20"/>
          <w:color w:val="auto"/>
        </w:rPr>
      </w:pPr>
    </w:p>
    <w:p>
      <w:pPr>
        <w:ind w:left="460" w:hanging="456"/>
        <w:spacing w:after="0"/>
        <w:tabs>
          <w:tab w:leader="none" w:pos="4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3" w:lineRule="exact"/>
        <w:rPr>
          <w:sz w:val="20"/>
          <w:szCs w:val="20"/>
          <w:color w:val="auto"/>
        </w:rPr>
      </w:pPr>
    </w:p>
    <w:p>
      <w:pPr>
        <w:ind w:left="460" w:hanging="456"/>
        <w:spacing w:after="0"/>
        <w:tabs>
          <w:tab w:leader="none" w:pos="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II-8</w:t>
      </w:r>
    </w:p>
    <w:p>
      <w:pPr>
        <w:sectPr>
          <w:pgSz w:w="11900" w:h="16838" w:orient="portrait"/>
          <w:cols w:equalWidth="0" w:num="1">
            <w:col w:w="10760"/>
          </w:cols>
          <w:pgMar w:left="240" w:top="448" w:right="89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23.01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Fremont, California 94539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Form S-1 of ACM Research, Inc. of our report dated September 13, 2017, relating to the consolidated financial statements of ACM Research, Inc. for the years ended December 31, 2016 and 2015, which is contained in that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caption “Experts” in the Prospectus.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October 25, 2017</w:t>
      </w:r>
    </w:p>
    <w:p>
      <w:pPr>
        <w:sectPr>
          <w:pgSz w:w="11900" w:h="16838" w:orient="portrait"/>
          <w:cols w:equalWidth="0" w:num="1">
            <w:col w:w="11420"/>
          </w:cols>
          <w:pgMar w:left="240" w:top="12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99.01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DIRECTOR NOMINEE</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Rule 438 under the Securities Act of 1933, as amended, the undersigned hereby consents to being named and described in the Registration Statement on Form S-1, File No. 333-220451, of ACM Research, Inc.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The undersigned also consents to the filing of this consent as an exhibit to the Registration Statement and any amendments thereto.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consent as of October 25, 2017.</w:t>
      </w:r>
    </w:p>
    <w:p>
      <w:pPr>
        <w:spacing w:after="0" w:line="200" w:lineRule="exact"/>
        <w:rPr>
          <w:sz w:val="20"/>
          <w:szCs w:val="20"/>
          <w:color w:val="auto"/>
        </w:rPr>
      </w:pP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28975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Yinan Xiang</w:t>
      </w:r>
    </w:p>
    <w:p>
      <w:pPr>
        <w:sectPr>
          <w:pgSz w:w="11900" w:h="16838" w:orient="portrait"/>
          <w:cols w:equalWidth="0" w:num="1">
            <w:col w:w="11420"/>
          </w:cols>
          <w:pgMar w:left="240" w:top="121" w:right="23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1150620" cy="9683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150620" cy="96837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October 25,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mark.johnson@klgates.com</w:t>
      </w:r>
    </w:p>
    <w:p>
      <w:pPr>
        <w:spacing w:after="0" w:line="141" w:lineRule="exact"/>
        <w:rPr>
          <w:sz w:val="20"/>
          <w:szCs w:val="20"/>
          <w:color w:val="auto"/>
        </w:rPr>
      </w:pPr>
    </w:p>
    <w:p>
      <w:pPr>
        <w:sectPr>
          <w:pgSz w:w="11900" w:h="16838" w:orient="portrait"/>
          <w:cols w:equalWidth="0" w:num="2">
            <w:col w:w="7180" w:space="720"/>
            <w:col w:w="3480"/>
          </w:cols>
          <w:pgMar w:left="240" w:top="1440" w:right="279" w:bottom="1440" w:gutter="0" w:footer="0" w:header="0"/>
        </w:sectPr>
      </w:pPr>
    </w:p>
    <w:p>
      <w:pPr>
        <w:ind w:left="7900"/>
        <w:spacing w:after="0"/>
        <w:rPr>
          <w:sz w:val="20"/>
          <w:szCs w:val="20"/>
          <w:color w:val="auto"/>
        </w:rPr>
      </w:pPr>
      <w:r>
        <w:rPr>
          <w:rFonts w:ascii="Arial" w:cs="Arial" w:eastAsia="Arial" w:hAnsi="Arial"/>
          <w:sz w:val="15"/>
          <w:szCs w:val="15"/>
          <w:color w:val="auto"/>
        </w:rPr>
        <w:t>T +1 617 261 3260</w:t>
      </w:r>
    </w:p>
    <w:p>
      <w:pPr>
        <w:spacing w:after="0" w:line="48"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F +1 617 261 3175</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Amanda Ravitz</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Laurie Abbott</w:t>
      </w:r>
    </w:p>
    <w:p>
      <w:pPr>
        <w:sectPr>
          <w:pgSz w:w="11900" w:h="16838" w:orient="portrait"/>
          <w:cols w:equalWidth="0" w:num="1">
            <w:col w:w="11380"/>
          </w:cols>
          <w:pgMar w:left="240" w:top="1440" w:right="279" w:bottom="1440" w:gutter="0" w:footer="0" w:header="0"/>
          <w:type w:val="continuous"/>
        </w:sectPr>
      </w:pP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Re:</w:t>
        <w:tab/>
        <w:t>ACM Research, Inc.</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Amendment No. 2 to Registration Statement on Form S-1</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Filed October 25, 2017</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File No. 333-220451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are submitting this letter on behalf of ACM Research, Inc. (the “</w:t>
      </w:r>
      <w:r>
        <w:rPr>
          <w:rFonts w:ascii="Arial" w:cs="Arial" w:eastAsia="Arial" w:hAnsi="Arial"/>
          <w:sz w:val="17"/>
          <w:szCs w:val="17"/>
          <w:i w:val="1"/>
          <w:iCs w:val="1"/>
          <w:color w:val="auto"/>
        </w:rPr>
        <w:t>Company</w:t>
      </w:r>
      <w:r>
        <w:rPr>
          <w:rFonts w:ascii="Arial" w:cs="Arial" w:eastAsia="Arial" w:hAnsi="Arial"/>
          <w:sz w:val="17"/>
          <w:szCs w:val="17"/>
          <w:color w:val="auto"/>
        </w:rPr>
        <w:t>”) in response to comments from the staff (the “</w:t>
      </w:r>
      <w:r>
        <w:rPr>
          <w:rFonts w:ascii="Arial" w:cs="Arial" w:eastAsia="Arial" w:hAnsi="Arial"/>
          <w:sz w:val="17"/>
          <w:szCs w:val="17"/>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received in a telephone conference on October 24, 2017 relating to pre-effective Amendment No. 1, filed by the Company with the Commission on October 18, 2017 (“</w:t>
      </w:r>
      <w:r>
        <w:rPr>
          <w:rFonts w:ascii="Arial" w:cs="Arial" w:eastAsia="Arial" w:hAnsi="Arial"/>
          <w:sz w:val="17"/>
          <w:szCs w:val="17"/>
          <w:i w:val="1"/>
          <w:iCs w:val="1"/>
          <w:color w:val="auto"/>
        </w:rPr>
        <w:t>Amendment No. 1</w:t>
      </w:r>
      <w:r>
        <w:rPr>
          <w:rFonts w:ascii="Arial" w:cs="Arial" w:eastAsia="Arial" w:hAnsi="Arial"/>
          <w:sz w:val="17"/>
          <w:szCs w:val="17"/>
          <w:color w:val="auto"/>
        </w:rPr>
        <w:t>”), to the Registration Statement on Form S-1, File No. 333-220451, of the Company filed with the Commission on September 13, 2017 (the “</w:t>
      </w:r>
      <w:r>
        <w:rPr>
          <w:rFonts w:ascii="Arial" w:cs="Arial" w:eastAsia="Arial" w:hAnsi="Arial"/>
          <w:sz w:val="17"/>
          <w:szCs w:val="17"/>
          <w:i w:val="1"/>
          <w:iCs w:val="1"/>
          <w:color w:val="auto"/>
        </w:rPr>
        <w:t>Initial Registration Statement</w:t>
      </w:r>
      <w:r>
        <w:rPr>
          <w:rFonts w:ascii="Arial" w:cs="Arial" w:eastAsia="Arial" w:hAnsi="Arial"/>
          <w:sz w:val="17"/>
          <w:szCs w:val="17"/>
          <w:color w:val="auto"/>
        </w:rPr>
        <w:t>”). Contemporaneously herewith, the Company is filing via EDGAR Amendment No. 2 to the Initial Registration Statement (“</w:t>
      </w:r>
      <w:r>
        <w:rPr>
          <w:rFonts w:ascii="Arial" w:cs="Arial" w:eastAsia="Arial" w:hAnsi="Arial"/>
          <w:sz w:val="17"/>
          <w:szCs w:val="17"/>
          <w:i w:val="1"/>
          <w:iCs w:val="1"/>
          <w:color w:val="auto"/>
        </w:rPr>
        <w:t>Amendment No. 2</w:t>
      </w:r>
      <w:r>
        <w:rPr>
          <w:rFonts w:ascii="Arial" w:cs="Arial" w:eastAsia="Arial" w:hAnsi="Arial"/>
          <w:sz w:val="17"/>
          <w:szCs w:val="17"/>
          <w:color w:val="auto"/>
        </w:rPr>
        <w:t>”). For the convenience of the Staff, we are delivering by overnight courier copies of Amendment No. 2 marked to show changes from Amendment No. 1.</w:t>
      </w:r>
    </w:p>
    <w:p>
      <w:pPr>
        <w:spacing w:after="0" w:line="180" w:lineRule="exact"/>
        <w:rPr>
          <w:sz w:val="20"/>
          <w:szCs w:val="20"/>
          <w:color w:val="auto"/>
        </w:rPr>
      </w:pPr>
    </w:p>
    <w:p>
      <w:pPr>
        <w:ind w:right="140" w:firstLine="457"/>
        <w:spacing w:after="0" w:line="323" w:lineRule="auto"/>
        <w:rPr>
          <w:sz w:val="20"/>
          <w:szCs w:val="20"/>
          <w:color w:val="auto"/>
        </w:rPr>
      </w:pPr>
      <w:r>
        <w:rPr>
          <w:rFonts w:ascii="Arial" w:cs="Arial" w:eastAsia="Arial" w:hAnsi="Arial"/>
          <w:sz w:val="15"/>
          <w:szCs w:val="15"/>
          <w:color w:val="auto"/>
        </w:rPr>
        <w:t>We have set forth below, in italicized, bold type, paraphrased summaries of the comments provided during our telephone conference with the Staff. The response of the Company to each comment is set forth immediately following the comment. For convenience, we have associated each of the comments with the section of Amendment No. 1 it principally addresses, and we then have presented the comments in the order in which those sections appear in Amendment No. 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Outside Front Cover Page</w:t>
      </w:r>
    </w:p>
    <w:p>
      <w:pPr>
        <w:spacing w:after="0" w:line="136" w:lineRule="exact"/>
        <w:rPr>
          <w:sz w:val="20"/>
          <w:szCs w:val="20"/>
          <w:color w:val="auto"/>
        </w:rPr>
      </w:pPr>
    </w:p>
    <w:p>
      <w:pPr>
        <w:ind w:left="460" w:right="80" w:hanging="456"/>
        <w:spacing w:after="0" w:line="320" w:lineRule="auto"/>
        <w:tabs>
          <w:tab w:leader="none" w:pos="46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the reference to a 3.5% placement fee in the paragraph following the pricing box. Please clarify whether the 3.5% is a discount to the purchase price payable by the private placement investors or whether it is simply a fee payable by the company to the placement agents.</w:t>
      </w:r>
    </w:p>
    <w:p>
      <w:pPr>
        <w:spacing w:after="0" w:line="3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7"/>
          <w:szCs w:val="17"/>
          <w:color w:val="auto"/>
        </w:rPr>
        <w:t>The Company has revised the referenced disclosure in Amendment No. 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K&amp;L Gates LLP</w:t>
      </w:r>
    </w:p>
    <w:p>
      <w:pPr>
        <w:spacing w:after="0" w:line="25" w:lineRule="exact"/>
        <w:rPr>
          <w:sz w:val="20"/>
          <w:szCs w:val="20"/>
          <w:color w:val="auto"/>
        </w:rPr>
      </w:pPr>
    </w:p>
    <w:p>
      <w:pPr>
        <w:spacing w:after="0"/>
        <w:tabs>
          <w:tab w:leader="none" w:pos="3040" w:val="left"/>
          <w:tab w:leader="none" w:pos="5060" w:val="left"/>
          <w:tab w:leader="none" w:pos="5920" w:val="left"/>
        </w:tabs>
        <w:rPr>
          <w:sz w:val="20"/>
          <w:szCs w:val="20"/>
          <w:color w:val="auto"/>
        </w:rPr>
      </w:pPr>
      <w:r>
        <w:rPr>
          <w:rFonts w:ascii="Arial" w:cs="Arial" w:eastAsia="Arial" w:hAnsi="Arial"/>
          <w:sz w:val="17"/>
          <w:szCs w:val="17"/>
          <w:color w:val="auto"/>
        </w:rPr>
        <w:t>STATE STREET FINANCIAL CENTER</w:t>
        <w:tab/>
        <w:t>ONE LINCOLN STREET</w:t>
        <w:tab/>
        <w:t>BOSTON</w:t>
      </w:r>
      <w:r>
        <w:rPr>
          <w:sz w:val="20"/>
          <w:szCs w:val="20"/>
          <w:color w:val="auto"/>
        </w:rPr>
        <w:tab/>
      </w:r>
      <w:r>
        <w:rPr>
          <w:rFonts w:ascii="Arial" w:cs="Arial" w:eastAsia="Arial" w:hAnsi="Arial"/>
          <w:sz w:val="16"/>
          <w:szCs w:val="16"/>
          <w:color w:val="auto"/>
        </w:rPr>
        <w:t>MA 02111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 +1 617 261 3100 F +1 617 261 3175 klgates.com</w:t>
      </w:r>
    </w:p>
    <w:p>
      <w:pPr>
        <w:sectPr>
          <w:pgSz w:w="11900" w:h="16838" w:orient="portrait"/>
          <w:cols w:equalWidth="0" w:num="1">
            <w:col w:w="11380"/>
          </w:cols>
          <w:pgMar w:left="240" w:top="1440" w:right="279"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Prospectus Summary—Our Company—Preliminary Operating Results for the Nine Months Ended September 30, 2017</w:t>
      </w:r>
    </w:p>
    <w:p>
      <w:pPr>
        <w:spacing w:after="0" w:line="136" w:lineRule="exact"/>
        <w:rPr>
          <w:sz w:val="20"/>
          <w:szCs w:val="20"/>
          <w:color w:val="auto"/>
        </w:rPr>
      </w:pPr>
    </w:p>
    <w:p>
      <w:pPr>
        <w:ind w:left="460" w:right="760" w:hanging="456"/>
        <w:spacing w:after="0" w:line="287" w:lineRule="auto"/>
        <w:tabs>
          <w:tab w:leader="none" w:pos="46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provide further explanation for the decrease in gross margin from the nine months ended September 30, 2016 to the nine months ended September 30, 2017.</w:t>
      </w:r>
    </w:p>
    <w:p>
      <w:pPr>
        <w:spacing w:after="0" w:line="5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has revised the referenced disclosure in Amendment No. 2.</w:t>
      </w:r>
    </w:p>
    <w:p>
      <w:pPr>
        <w:spacing w:after="0" w:line="247" w:lineRule="exact"/>
        <w:rPr>
          <w:rFonts w:ascii="Arial" w:cs="Arial" w:eastAsia="Arial" w:hAnsi="Arial"/>
          <w:sz w:val="17"/>
          <w:szCs w:val="17"/>
          <w:b w:val="1"/>
          <w:bCs w:val="1"/>
          <w:color w:val="auto"/>
        </w:rPr>
      </w:pPr>
    </w:p>
    <w:p>
      <w:pPr>
        <w:ind w:left="460" w:right="520" w:hanging="456"/>
        <w:spacing w:after="0" w:line="357" w:lineRule="auto"/>
        <w:tabs>
          <w:tab w:leader="none" w:pos="460"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inclusion of preliminary estimates of revenue and gross margin for the nine months ended September 30, 2017. Please provide more complete and balanced disclosure for investors by addressing your expected operating expenses and net income for the period.</w:t>
      </w:r>
    </w:p>
    <w:p>
      <w:pPr>
        <w:spacing w:after="0" w:line="8" w:lineRule="exact"/>
        <w:rPr>
          <w:rFonts w:ascii="Arial" w:cs="Arial" w:eastAsia="Arial" w:hAnsi="Arial"/>
          <w:sz w:val="15"/>
          <w:szCs w:val="15"/>
          <w:b w:val="1"/>
          <w:bCs w:val="1"/>
          <w:color w:val="auto"/>
        </w:rPr>
      </w:pPr>
    </w:p>
    <w:p>
      <w:pPr>
        <w:ind w:left="460" w:right="220"/>
        <w:spacing w:after="0" w:line="287" w:lineRule="auto"/>
        <w:rPr>
          <w:rFonts w:ascii="Arial" w:cs="Arial" w:eastAsia="Arial" w:hAnsi="Arial"/>
          <w:sz w:val="15"/>
          <w:szCs w:val="15"/>
          <w:b w:val="1"/>
          <w:bCs w:val="1"/>
          <w:color w:val="auto"/>
        </w:rPr>
      </w:pPr>
      <w:r>
        <w:rPr>
          <w:rFonts w:ascii="Arial" w:cs="Arial" w:eastAsia="Arial" w:hAnsi="Arial"/>
          <w:sz w:val="17"/>
          <w:szCs w:val="17"/>
          <w:color w:val="auto"/>
        </w:rPr>
        <w:t>The Company has revised the referenced disclosure in Amendment No. 2 to include estimates of total operating expenses and loss before income taxes for the nine months ended September 30,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36" w:lineRule="exact"/>
        <w:rPr>
          <w:sz w:val="20"/>
          <w:szCs w:val="20"/>
          <w:color w:val="auto"/>
        </w:rPr>
      </w:pPr>
    </w:p>
    <w:p>
      <w:pPr>
        <w:ind w:left="460" w:right="120" w:hanging="456"/>
        <w:spacing w:after="0" w:line="271" w:lineRule="auto"/>
        <w:tabs>
          <w:tab w:leader="none" w:pos="46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consider whether it is appropriate to include a risk factor with respect to voting control that could be exercised by one or both of the concurrent private placement investors. In particular, please advise whether the company considers the two private placement investors to be acting as a “group” in connection with their proposed investments in the company.</w:t>
      </w:r>
    </w:p>
    <w:p>
      <w:pPr>
        <w:spacing w:after="0" w:line="67" w:lineRule="exact"/>
        <w:rPr>
          <w:rFonts w:ascii="Arial" w:cs="Arial" w:eastAsia="Arial" w:hAnsi="Arial"/>
          <w:sz w:val="17"/>
          <w:szCs w:val="17"/>
          <w:b w:val="1"/>
          <w:bCs w:val="1"/>
          <w:color w:val="auto"/>
        </w:rPr>
      </w:pPr>
    </w:p>
    <w:p>
      <w:pPr>
        <w:ind w:left="460" w:right="6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One of the private placement investors, XinXin (Hongkong) Capital Co., Limited (“</w:t>
      </w:r>
      <w:r>
        <w:rPr>
          <w:rFonts w:ascii="Arial" w:cs="Arial" w:eastAsia="Arial" w:hAnsi="Arial"/>
          <w:sz w:val="17"/>
          <w:szCs w:val="17"/>
          <w:i w:val="1"/>
          <w:iCs w:val="1"/>
          <w:color w:val="auto"/>
        </w:rPr>
        <w:t>XinXin</w:t>
      </w:r>
      <w:r>
        <w:rPr>
          <w:rFonts w:ascii="Arial" w:cs="Arial" w:eastAsia="Arial" w:hAnsi="Arial"/>
          <w:sz w:val="17"/>
          <w:szCs w:val="17"/>
          <w:color w:val="auto"/>
        </w:rPr>
        <w:t>”), will have the right to nominate a director of the Company. Neither of the two private placement investors will, however, possess voting control based upon the stock being purchased in the concurrent private placement. Immediately following the offering, XinXin and Victorious Way Limited will hold only 1.4% and 0.8%, respectively, of the total voting power of the Company’s common stock.</w:t>
      </w:r>
    </w:p>
    <w:p>
      <w:pPr>
        <w:spacing w:after="0" w:line="71" w:lineRule="exact"/>
        <w:rPr>
          <w:rFonts w:ascii="Arial" w:cs="Arial" w:eastAsia="Arial" w:hAnsi="Arial"/>
          <w:sz w:val="17"/>
          <w:szCs w:val="17"/>
          <w:b w:val="1"/>
          <w:bCs w:val="1"/>
          <w:color w:val="auto"/>
        </w:rPr>
      </w:pPr>
    </w:p>
    <w:p>
      <w:pPr>
        <w:ind w:left="460" w:right="12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Based on the Company’s experience with each of the two private placement investors, the Company does not believe those investors constitute a “group” in which the two entities are combined in furtherance of a common objective or are otherwise acting in concert. The Company notes that even if the two investors were to be deemed to constitute a “group,” they would control only 2.2% of the total voting power of the Company’s common stock immediately following the offering.</w:t>
      </w:r>
    </w:p>
    <w:p>
      <w:pPr>
        <w:spacing w:after="0" w:line="71" w:lineRule="exact"/>
        <w:rPr>
          <w:rFonts w:ascii="Arial" w:cs="Arial" w:eastAsia="Arial" w:hAnsi="Arial"/>
          <w:sz w:val="17"/>
          <w:szCs w:val="17"/>
          <w:b w:val="1"/>
          <w:bCs w:val="1"/>
          <w:color w:val="auto"/>
        </w:rPr>
      </w:pPr>
    </w:p>
    <w:p>
      <w:pPr>
        <w:ind w:left="460" w:right="2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As a result of the limited voting power to be held by the private placement investors, the Company does not believe it is appropriate to include additional risk factor disclosure with respect to the two investors’ stock ownership after the offering.</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Concurrent Private Placement</w:t>
      </w:r>
    </w:p>
    <w:p>
      <w:pPr>
        <w:spacing w:after="0" w:line="136" w:lineRule="exact"/>
        <w:rPr>
          <w:sz w:val="20"/>
          <w:szCs w:val="20"/>
          <w:color w:val="auto"/>
        </w:rPr>
      </w:pPr>
    </w:p>
    <w:p>
      <w:pPr>
        <w:ind w:left="460" w:right="240" w:hanging="456"/>
        <w:spacing w:after="0" w:line="271" w:lineRule="auto"/>
        <w:tabs>
          <w:tab w:leader="none" w:pos="46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the descriptions in Amendment No. 1 of the purchase price to be paid by XinXin (Hongkong) Capital Co., Limited in connection with the concurrent private placement. Please reconcile this description with the provisions of Section 2(a) of the Stock Purchase Agreement dated October 11, 2017 filed as Exhibit 10.10 to Amendment No. 1.</w:t>
      </w:r>
    </w:p>
    <w:p>
      <w:pPr>
        <w:spacing w:after="0" w:line="6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6"/>
          <w:szCs w:val="16"/>
          <w:color w:val="auto"/>
        </w:rPr>
        <w:t>In substance, XinXin has agreed to pay a purchase price equal to the lesser of (a) the initial public offering price paid by investors in the public offering and</w:t>
      </w:r>
    </w:p>
    <w:p>
      <w:pPr>
        <w:spacing w:after="0" w:line="36" w:lineRule="exact"/>
        <w:rPr>
          <w:rFonts w:ascii="Arial" w:cs="Arial" w:eastAsia="Arial" w:hAnsi="Arial"/>
          <w:sz w:val="17"/>
          <w:szCs w:val="17"/>
          <w:b w:val="1"/>
          <w:bCs w:val="1"/>
          <w:color w:val="auto"/>
        </w:rPr>
      </w:pPr>
    </w:p>
    <w:p>
      <w:pPr>
        <w:jc w:val="both"/>
        <w:ind w:left="460" w:right="1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(b) $10.50. For reasons specific to XinXin, the contractual language does not provide for this result directly. Instead, Section 2(a) specifies that XinXin will pay an aggregate purchase price equal to $10.50 per share ($8,750,000 in total), subject to adjustment as specified in clauses (i) through (iii) of Section 2(a). Clauses (i) and</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25,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5" w:right="239" w:bottom="1440" w:gutter="0" w:footer="0" w:header="0"/>
        </w:sectPr>
      </w:pPr>
    </w:p>
    <w:bookmarkStart w:id="208" w:name="page209"/>
    <w:bookmarkEnd w:id="208"/>
    <w:p>
      <w:pPr>
        <w:ind w:left="460" w:right="18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(ii) provide that if the initial public offering is less $10.50, XinXin will pay a purchase price equal to the initial public offering price (assuming it does not choose to allow the placement to terminate if the initial public offering price is less than $8.40). Clause (iii) confirms that $10.50 is the maximum purchase price that XinXin will be required to pay. As a result, the disclosure in Amendment No. 1 and Amendment No. 2 accurately describes the purchase price to be paid by XinXin, in a manner that is simpler and more direct than the contractual language.</w:t>
      </w:r>
    </w:p>
    <w:p>
      <w:pPr>
        <w:spacing w:after="0" w:line="202" w:lineRule="exact"/>
        <w:rPr>
          <w:sz w:val="20"/>
          <w:szCs w:val="20"/>
          <w:color w:val="auto"/>
        </w:rPr>
      </w:pPr>
    </w:p>
    <w:p>
      <w:pPr>
        <w:ind w:left="460" w:right="80" w:hanging="456"/>
        <w:spacing w:after="0" w:line="287" w:lineRule="auto"/>
        <w:tabs>
          <w:tab w:leader="none" w:pos="46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the timing of the concurrent private placement. Please advise as to why the company believes the concurrent private placement did not involve a general solicitation as a result of the company’s filing of its Registration Statement on Form S-1.</w:t>
      </w:r>
    </w:p>
    <w:p>
      <w:pPr>
        <w:spacing w:after="0" w:line="53" w:lineRule="exact"/>
        <w:rPr>
          <w:rFonts w:ascii="Arial" w:cs="Arial" w:eastAsia="Arial" w:hAnsi="Arial"/>
          <w:sz w:val="17"/>
          <w:szCs w:val="17"/>
          <w:b w:val="1"/>
          <w:bCs w:val="1"/>
          <w:color w:val="auto"/>
        </w:rPr>
      </w:pPr>
    </w:p>
    <w:p>
      <w:pPr>
        <w:ind w:left="4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Both of the investors in the concurrent private placement began discussing and negotiating a potential investment prior to the Company’s filing of its initial Registration Statement on Form S-1 on September 13, 2017. As a result, the Company does not believe the concurrent private placement should be integrated with the public offering contemplated by Amendment No. 2.</w:t>
      </w:r>
    </w:p>
    <w:p>
      <w:pPr>
        <w:spacing w:after="0" w:line="67" w:lineRule="exact"/>
        <w:rPr>
          <w:rFonts w:ascii="Arial" w:cs="Arial" w:eastAsia="Arial" w:hAnsi="Arial"/>
          <w:sz w:val="17"/>
          <w:szCs w:val="17"/>
          <w:b w:val="1"/>
          <w:bCs w:val="1"/>
          <w:color w:val="auto"/>
        </w:rPr>
      </w:pPr>
    </w:p>
    <w:p>
      <w:pPr>
        <w:ind w:left="460" w:right="22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The Company has advised us that it began discussing a potential private placement with Sino IC Capital Co., Limited (“</w:t>
      </w:r>
      <w:r>
        <w:rPr>
          <w:rFonts w:ascii="Arial" w:cs="Arial" w:eastAsia="Arial" w:hAnsi="Arial"/>
          <w:sz w:val="17"/>
          <w:szCs w:val="17"/>
          <w:i w:val="1"/>
          <w:iCs w:val="1"/>
          <w:color w:val="auto"/>
        </w:rPr>
        <w:t>Sino</w:t>
      </w:r>
      <w:r>
        <w:rPr>
          <w:rFonts w:ascii="Arial" w:cs="Arial" w:eastAsia="Arial" w:hAnsi="Arial"/>
          <w:sz w:val="17"/>
          <w:szCs w:val="17"/>
          <w:color w:val="auto"/>
        </w:rPr>
        <w:t>”) and Walden International (“</w:t>
      </w:r>
      <w:r>
        <w:rPr>
          <w:rFonts w:ascii="Arial" w:cs="Arial" w:eastAsia="Arial" w:hAnsi="Arial"/>
          <w:sz w:val="17"/>
          <w:szCs w:val="17"/>
          <w:i w:val="1"/>
          <w:iCs w:val="1"/>
          <w:color w:val="auto"/>
        </w:rPr>
        <w:t>Walden</w:t>
      </w:r>
      <w:r>
        <w:rPr>
          <w:rFonts w:ascii="Arial" w:cs="Arial" w:eastAsia="Arial" w:hAnsi="Arial"/>
          <w:sz w:val="17"/>
          <w:szCs w:val="17"/>
          <w:color w:val="auto"/>
        </w:rPr>
        <w:t>”) in December 2016, prior to the initial confidential submission of the Company’s draft registration statement on Form S-1. The Company’s discussions with Sino and Walden continued during the first several months of 2017, while the parties negotiated the terms of a potential investment in the Company by affiliates of Sino and Walden.</w:t>
      </w:r>
    </w:p>
    <w:p>
      <w:pPr>
        <w:spacing w:after="0" w:line="71" w:lineRule="exact"/>
        <w:rPr>
          <w:rFonts w:ascii="Arial" w:cs="Arial" w:eastAsia="Arial" w:hAnsi="Arial"/>
          <w:sz w:val="17"/>
          <w:szCs w:val="17"/>
          <w:b w:val="1"/>
          <w:bCs w:val="1"/>
          <w:color w:val="auto"/>
        </w:rPr>
      </w:pPr>
    </w:p>
    <w:p>
      <w:pPr>
        <w:ind w:left="460" w:right="40"/>
        <w:spacing w:after="0" w:line="299" w:lineRule="auto"/>
        <w:rPr>
          <w:rFonts w:ascii="Arial" w:cs="Arial" w:eastAsia="Arial" w:hAnsi="Arial"/>
          <w:sz w:val="17"/>
          <w:szCs w:val="17"/>
          <w:b w:val="1"/>
          <w:bCs w:val="1"/>
          <w:color w:val="auto"/>
        </w:rPr>
      </w:pPr>
      <w:r>
        <w:rPr>
          <w:rFonts w:ascii="Arial" w:cs="Arial" w:eastAsia="Arial" w:hAnsi="Arial"/>
          <w:sz w:val="15"/>
          <w:szCs w:val="15"/>
          <w:color w:val="auto"/>
        </w:rPr>
        <w:t>In July 2017 Walden advised the Company that it intended to purchase its shares of Class A common stock and then, shortly thereafter, transfer those shares to a newly formed entity that would be owned equally by Walden and China Everbright Limited (“</w:t>
      </w:r>
      <w:r>
        <w:rPr>
          <w:rFonts w:ascii="Arial" w:cs="Arial" w:eastAsia="Arial" w:hAnsi="Arial"/>
          <w:sz w:val="15"/>
          <w:szCs w:val="15"/>
          <w:i w:val="1"/>
          <w:iCs w:val="1"/>
          <w:color w:val="auto"/>
        </w:rPr>
        <w:t>Everbright</w:t>
      </w:r>
      <w:r>
        <w:rPr>
          <w:rFonts w:ascii="Arial" w:cs="Arial" w:eastAsia="Arial" w:hAnsi="Arial"/>
          <w:sz w:val="15"/>
          <w:szCs w:val="15"/>
          <w:color w:val="auto"/>
        </w:rPr>
        <w:t>”). (The shares could not initially be issued to the new entity due to timing constraints unrelated to the private placement.) Everbright initially became involved in the proposed investment at the invitation of Walden. Although Walden continued to act as lead investor, Everbright representatives began performing their internal diligence and investment processes in connection with the proposed transaction, which included discussions and negotiations between the Company and Everbright. In early October 2017, Walden and Everbright advised the Company that the proposed investment structure had changed again, and that Victorious Way Limited, an indirect subsidiary of Everbright, would purchase the shares of the Company’s Class A common stock in the concurrent private placement. Thereafter the Company continued its negotiations with Everbright until the stock purchase agreements for the concurrent private placement were executed as of October 16, 2017.</w:t>
      </w:r>
    </w:p>
    <w:p>
      <w:pPr>
        <w:spacing w:after="0" w:line="53" w:lineRule="exact"/>
        <w:rPr>
          <w:rFonts w:ascii="Arial" w:cs="Arial" w:eastAsia="Arial" w:hAnsi="Arial"/>
          <w:sz w:val="17"/>
          <w:szCs w:val="17"/>
          <w:b w:val="1"/>
          <w:bCs w:val="1"/>
          <w:color w:val="auto"/>
        </w:rPr>
      </w:pPr>
    </w:p>
    <w:p>
      <w:pPr>
        <w:ind w:left="460" w:right="2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 engaged in substantive discussions and negotiations with each of Sino and Everbright prior to the filing of the Initial Registration Statement on September 13, 2017. During the course of those discussions and negotiations, the Company was able to obtain and evaluate information as to the financial circumstances and sophistication of each of Sino and Everbright. The Company therefore respectfully submits that it had a “pre-existing” and “substantive” relationship with each of Sino and Everbright prior to the filing of the Initial Registration Statement and that the concurrent private placement has not involved a general solicitation resulting from the public filing of the Initial Registration Statement.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25,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Exhibits</w:t>
      </w:r>
    </w:p>
    <w:p>
      <w:pPr>
        <w:spacing w:after="0" w:line="136" w:lineRule="exact"/>
        <w:rPr>
          <w:sz w:val="20"/>
          <w:szCs w:val="20"/>
          <w:color w:val="auto"/>
        </w:rPr>
      </w:pPr>
    </w:p>
    <w:p>
      <w:pPr>
        <w:ind w:left="460" w:right="1420" w:hanging="456"/>
        <w:spacing w:after="0" w:line="415" w:lineRule="auto"/>
        <w:tabs>
          <w:tab w:leader="none" w:pos="46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Please file a consent pursuant to which the individual identified in Amendment No. 1 consents to being named as a director nominee. </w:t>
      </w:r>
      <w:r>
        <w:rPr>
          <w:rFonts w:ascii="Arial" w:cs="Arial" w:eastAsia="Arial" w:hAnsi="Arial"/>
          <w:sz w:val="17"/>
          <w:szCs w:val="17"/>
          <w:color w:val="auto"/>
        </w:rPr>
        <w:t>A consent of Yinan Xiang, as director nominee, is included as Exhibit 99.01 to Amendment No. 2.</w:t>
      </w:r>
    </w:p>
    <w:p>
      <w:pPr>
        <w:spacing w:after="0" w:line="80" w:lineRule="exact"/>
        <w:rPr>
          <w:rFonts w:ascii="Arial" w:cs="Arial" w:eastAsia="Arial" w:hAnsi="Arial"/>
          <w:sz w:val="17"/>
          <w:szCs w:val="17"/>
          <w:b w:val="1"/>
          <w:bCs w:val="1"/>
          <w:color w:val="auto"/>
        </w:rPr>
      </w:pPr>
    </w:p>
    <w:p>
      <w:pPr>
        <w:ind w:left="460" w:right="100" w:hanging="456"/>
        <w:spacing w:after="0" w:line="287" w:lineRule="auto"/>
        <w:tabs>
          <w:tab w:leader="none" w:pos="46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If the company intends to file an additional pre-effective amendment to address the above matters, please recall that the amendment will need to include an updated consent of the company’s independent accountants.</w:t>
      </w:r>
    </w:p>
    <w:p>
      <w:pPr>
        <w:spacing w:after="0" w:line="5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An updated consent of BDO China Shu Lan Pan Certified Public Accountants LLP is included as Exhibit 23.01 to Amendment No. 2.</w:t>
      </w:r>
    </w:p>
    <w:p>
      <w:pPr>
        <w:spacing w:after="0" w:line="222" w:lineRule="exact"/>
        <w:rPr>
          <w:sz w:val="20"/>
          <w:szCs w:val="20"/>
          <w:color w:val="auto"/>
        </w:rPr>
      </w:pPr>
    </w:p>
    <w:p>
      <w:pPr>
        <w:jc w:val="center"/>
        <w:spacing w:after="0"/>
        <w:tabs>
          <w:tab w:leader="none" w:pos="140" w:val="left"/>
          <w:tab w:leader="none" w:pos="200" w:val="left"/>
        </w:tabs>
        <w:rPr>
          <w:sz w:val="20"/>
          <w:szCs w:val="20"/>
          <w:color w:val="auto"/>
        </w:rPr>
      </w:pPr>
      <w:r>
        <w:rPr>
          <w:rFonts w:ascii="Arial" w:cs="Arial" w:eastAsia="Arial" w:hAnsi="Arial"/>
          <w:sz w:val="17"/>
          <w:szCs w:val="17"/>
          <w:color w:val="auto"/>
        </w:rPr>
        <w:t>*</w:t>
        <w:tab/>
        <w:t>*</w:t>
        <w:tab/>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do not hesitate to contact me at (617) 261-3260 if you have any questions or would like additional information regarding this matter.</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Mark L. Johnson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365" w:lineRule="exact"/>
        <w:rPr>
          <w:sz w:val="20"/>
          <w:szCs w:val="20"/>
          <w:color w:val="auto"/>
        </w:rPr>
      </w:pPr>
    </w:p>
    <w:p>
      <w:pPr>
        <w:ind w:left="460" w:right="8360" w:hanging="456"/>
        <w:spacing w:after="0" w:line="263" w:lineRule="auto"/>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David H. Wang, ACM Research, Inc. Min Xu, ACM Research, Inc.</w:t>
      </w:r>
    </w:p>
    <w:p>
      <w:pPr>
        <w:ind w:left="460"/>
        <w:spacing w:after="0"/>
        <w:rPr>
          <w:rFonts w:ascii="Arial" w:cs="Arial" w:eastAsia="Arial" w:hAnsi="Arial"/>
          <w:sz w:val="17"/>
          <w:szCs w:val="17"/>
          <w:color w:val="auto"/>
        </w:rPr>
      </w:pPr>
      <w:r>
        <w:rPr>
          <w:rFonts w:ascii="Arial" w:cs="Arial" w:eastAsia="Arial" w:hAnsi="Arial"/>
          <w:sz w:val="17"/>
          <w:szCs w:val="17"/>
          <w:color w:val="auto"/>
        </w:rPr>
        <w:t>Seo Salimi, Goodwin Procter LLP</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25,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4</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decimal"/>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1)"/>
      <w:numFmt w:val="decimal"/>
      <w:start w:val="1"/>
    </w:lvl>
  </w:abstractNum>
  <w:abstractNum w:abstractNumId="9">
    <w:nsid w:val="76272110"/>
    <w:multiLevelType w:val="hybridMultilevel"/>
    <w:lvl w:ilvl="0">
      <w:lvlJc w:val="left"/>
      <w:lvlText w:val="•"/>
      <w:numFmt w:val="bullet"/>
      <w:start w:val="1"/>
    </w:lvl>
    <w:lvl w:ilvl="1">
      <w:lvlJc w:val="left"/>
      <w:lvlText w:val="(%2)"/>
      <w:numFmt w:val="lowerLetter"/>
      <w:start w:val="1"/>
    </w:lvl>
  </w:abstractNum>
  <w:abstractNum w:abstractNumId="10">
    <w:nsid w:val="4C04A8AF"/>
    <w:multiLevelType w:val="hybridMultilevel"/>
    <w:lvl w:ilvl="0">
      <w:lvlJc w:val="left"/>
      <w:lvlText w:val="(%1)"/>
      <w:numFmt w:val="decimal"/>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lvl w:ilvl="1">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lvl w:ilvl="1">
      <w:lvlJc w:val="left"/>
      <w:lvlText w:val="(%2)"/>
      <w:numFmt w:val="lowerLetter"/>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1)"/>
      <w:numFmt w:val="decimal"/>
      <w:start w:val="1"/>
    </w:lvl>
  </w:abstractNum>
  <w:abstractNum w:abstractNumId="46">
    <w:nsid w:val="53299938"/>
    <w:multiLevelType w:val="hybridMultilevel"/>
    <w:lvl w:ilvl="0">
      <w:lvlJc w:val="left"/>
      <w:lvlText w:val="(%1)"/>
      <w:numFmt w:val="decimal"/>
      <w:start w:val="1"/>
    </w:lvl>
  </w:abstractNum>
  <w:abstractNum w:abstractNumId="47">
    <w:nsid w:val="1FBFE8E0"/>
    <w:multiLevelType w:val="hybridMultilevel"/>
    <w:lvl w:ilvl="0">
      <w:lvlJc w:val="left"/>
      <w:lvlText w:val="(%1)"/>
      <w:numFmt w:val="decimal"/>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1)"/>
      <w:numFmt w:val="lowerLetter"/>
      <w:start w:val="2"/>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1)"/>
      <w:numFmt w:val="lowerLetter"/>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
      <w:numFmt w:val="bullet"/>
      <w:start w:val="1"/>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1)"/>
      <w:numFmt w:val="decimal"/>
      <w:start w:val="1"/>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
      <w:numFmt w:val="bullet"/>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1)"/>
      <w:numFmt w:val="decimal"/>
      <w:start w:val="1"/>
    </w:lvl>
  </w:abstractNum>
  <w:abstractNum w:abstractNumId="104">
    <w:nsid w:val="57D2F10E"/>
    <w:multiLevelType w:val="hybridMultilevel"/>
    <w:lvl w:ilvl="0">
      <w:lvlJc w:val="left"/>
      <w:lvlText w:val="(%1)"/>
      <w:numFmt w:val="decimal"/>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
      <w:numFmt w:val="bullet"/>
      <w:start w:val="1"/>
    </w:lvl>
  </w:abstractNum>
  <w:abstractNum w:abstractNumId="107">
    <w:nsid w:val="2E48F044"/>
    <w:multiLevelType w:val="hybridMultilevel"/>
    <w:lvl w:ilvl="0">
      <w:lvlJc w:val="left"/>
      <w:lvlText w:val="•"/>
      <w:numFmt w:val="bullet"/>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1)"/>
      <w:numFmt w:val="decimal"/>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1)"/>
      <w:numFmt w:val="decimal"/>
      <w:start w:val="1"/>
    </w:lvl>
  </w:abstractNum>
  <w:abstractNum w:abstractNumId="129">
    <w:nsid w:val="631B64D4"/>
    <w:multiLevelType w:val="hybridMultilevel"/>
    <w:lvl w:ilvl="0">
      <w:lvlJc w:val="left"/>
      <w:lvlText w:val="•"/>
      <w:numFmt w:val="bullet"/>
      <w:start w:val="1"/>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
      <w:numFmt w:val="bullet"/>
      <w:start w:val="1"/>
    </w:lvl>
  </w:abstractNum>
  <w:abstractNum w:abstractNumId="132">
    <w:nsid w:val="6E534CDE"/>
    <w:multiLevelType w:val="hybridMultilevel"/>
    <w:lvl w:ilvl="0">
      <w:lvlJc w:val="left"/>
      <w:lvlText w:val="•"/>
      <w:numFmt w:val="bullet"/>
      <w:start w:val="1"/>
    </w:lvl>
  </w:abstractNum>
  <w:abstractNum w:abstractNumId="133">
    <w:nsid w:val="1A0DDE32"/>
    <w:multiLevelType w:val="hybridMultilevel"/>
    <w:lvl w:ilvl="0">
      <w:lvlJc w:val="left"/>
      <w:lvlText w:val="•"/>
      <w:numFmt w:val="bullet"/>
      <w:start w:val="1"/>
    </w:lvl>
  </w:abstractNum>
  <w:abstractNum w:abstractNumId="134">
    <w:nsid w:val="65968C1C"/>
    <w:multiLevelType w:val="hybridMultilevel"/>
    <w:lvl w:ilvl="0">
      <w:lvlJc w:val="left"/>
      <w:lvlText w:val="•"/>
      <w:numFmt w:val="bullet"/>
      <w:start w:val="1"/>
    </w:lvl>
  </w:abstractNum>
  <w:abstractNum w:abstractNumId="135">
    <w:nsid w:val="46263DEC"/>
    <w:multiLevelType w:val="hybridMultilevel"/>
    <w:lvl w:ilvl="0">
      <w:lvlJc w:val="left"/>
      <w:lvlText w:val="•"/>
      <w:numFmt w:val="bullet"/>
      <w:start w:val="1"/>
    </w:lvl>
  </w:abstractNum>
  <w:abstractNum w:abstractNumId="136">
    <w:nsid w:val="260D8C4A"/>
    <w:multiLevelType w:val="hybridMultilevel"/>
    <w:lvl w:ilvl="0">
      <w:lvlJc w:val="left"/>
      <w:lvlText w:val="•"/>
      <w:numFmt w:val="bullet"/>
      <w:start w:val="1"/>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1."/>
      <w:numFmt w:val="decimal"/>
      <w:start w:val="718"/>
    </w:lvl>
  </w:abstractNum>
  <w:abstractNum w:abstractNumId="141">
    <w:nsid w:val="49C0E823"/>
    <w:multiLevelType w:val="hybridMultilevel"/>
    <w:lvl w:ilvl="0">
      <w:lvlJc w:val="left"/>
      <w:lvlText w:val="(%1)"/>
      <w:numFmt w:val="decimal"/>
      <w:start w:val="8"/>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decimal"/>
      <w:start w:val="1"/>
    </w:lvl>
  </w:abstractNum>
  <w:abstractNum w:abstractNumId="144">
    <w:nsid w:val="6EAA85FB"/>
    <w:multiLevelType w:val="hybridMultilevel"/>
    <w:lvl w:ilvl="0">
      <w:lvlJc w:val="left"/>
      <w:lvlText w:val="(%1)"/>
      <w:numFmt w:val="decimal"/>
      <w:start w:val="1"/>
    </w:lvl>
  </w:abstractNum>
  <w:abstractNum w:abstractNumId="145">
    <w:nsid w:val="3F06ECB2"/>
    <w:multiLevelType w:val="hybridMultilevel"/>
    <w:lvl w:ilvl="0">
      <w:lvlJc w:val="left"/>
      <w:lvlText w:val="(%1)"/>
      <w:numFmt w:val="decimal"/>
      <w:start w:val="2"/>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1)"/>
      <w:numFmt w:val="decimal"/>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1."/>
      <w:numFmt w:val="decimal"/>
      <w:start w:val="1"/>
    </w:lvl>
  </w:abstractNum>
  <w:abstractNum w:abstractNumId="158">
    <w:nsid w:val="16CF80F1"/>
    <w:multiLevelType w:val="hybridMultilevel"/>
    <w:lvl w:ilvl="0">
      <w:lvlJc w:val="left"/>
      <w:lvlText w:val="%1."/>
      <w:numFmt w:val="decimal"/>
      <w:start w:val="2"/>
    </w:lvl>
  </w:abstractNum>
  <w:abstractNum w:abstractNumId="159">
    <w:nsid w:val="1C695DEC"/>
    <w:multiLevelType w:val="hybridMultilevel"/>
    <w:lvl w:ilvl="0">
      <w:lvlJc w:val="left"/>
      <w:lvlText w:val="%1."/>
      <w:numFmt w:val="decimal"/>
      <w:start w:val="4"/>
    </w:lvl>
  </w:abstractNum>
  <w:abstractNum w:abstractNumId="160">
    <w:nsid w:val="3FCFAED9"/>
    <w:multiLevelType w:val="hybridMultilevel"/>
    <w:lvl w:ilvl="0">
      <w:lvlJc w:val="left"/>
      <w:lvlText w:val="%1."/>
      <w:numFmt w:val="decimal"/>
      <w:start w:val="5"/>
    </w:lvl>
  </w:abstractNum>
  <w:abstractNum w:abstractNumId="161">
    <w:nsid w:val="F856867"/>
    <w:multiLevelType w:val="hybridMultilevel"/>
    <w:lvl w:ilvl="0">
      <w:lvlJc w:val="left"/>
      <w:lvlText w:val="%1."/>
      <w:numFmt w:val="decimal"/>
      <w:start w:val="6"/>
    </w:lvl>
  </w:abstractNum>
  <w:abstractNum w:abstractNumId="162">
    <w:nsid w:val="11B1CC33"/>
    <w:multiLevelType w:val="hybridMultilevel"/>
    <w:lvl w:ilvl="0">
      <w:lvlJc w:val="left"/>
      <w:lvlText w:val="%1."/>
      <w:numFmt w:val="decimal"/>
      <w:start w:val="7"/>
    </w:lvl>
  </w:abstractNum>
  <w:abstractNum w:abstractNumId="163">
    <w:nsid w:val="2E22FB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81"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jpe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264" Type="http://schemas.openxmlformats.org/officeDocument/2006/relationships/hyperlink" Target="http://www.sec.gov/Archives/edgar/data/1680062/000119312517312780/d311227dex101.htm" TargetMode="External"/><Relationship Id="rId265" Type="http://schemas.openxmlformats.org/officeDocument/2006/relationships/hyperlink" Target="http://www.sec.gov/Archives/edgar/data/1680062/000119312517283955/d311227dex301.htm" TargetMode="External"/><Relationship Id="rId266" Type="http://schemas.openxmlformats.org/officeDocument/2006/relationships/hyperlink" Target="http://www.sec.gov/Archives/edgar/data/1680062/000119312517283955/d311227dex302.htm" TargetMode="External"/><Relationship Id="rId267" Type="http://schemas.openxmlformats.org/officeDocument/2006/relationships/hyperlink" Target="http://www.sec.gov/Archives/edgar/data/1680062/000119312517312780/d311227dex304.htm" TargetMode="External"/><Relationship Id="rId268" Type="http://schemas.openxmlformats.org/officeDocument/2006/relationships/hyperlink" Target="http://www.sec.gov/Archives/edgar/data/1680062/000119312517312780/d311227dex401.htm" TargetMode="External"/><Relationship Id="rId269" Type="http://schemas.openxmlformats.org/officeDocument/2006/relationships/hyperlink" Target="http://www.sec.gov/Archives/edgar/data/1680062/000119312517312780/d311227dex402.htm" TargetMode="External"/><Relationship Id="rId270" Type="http://schemas.openxmlformats.org/officeDocument/2006/relationships/hyperlink" Target="http://www.sec.gov/Archives/edgar/data/1680062/000119312517283955/d311227dex1001.htm" TargetMode="External"/><Relationship Id="rId271" Type="http://schemas.openxmlformats.org/officeDocument/2006/relationships/hyperlink" Target="http://www.sec.gov/Archives/edgar/data/1680062/000119312517283955/d311227dex1002.htm" TargetMode="External"/><Relationship Id="rId272" Type="http://schemas.openxmlformats.org/officeDocument/2006/relationships/hyperlink" Target="http://www.sec.gov/Archives/edgar/data/1680062/000119312517283955/d311227dex1003.htm" TargetMode="External"/><Relationship Id="rId273" Type="http://schemas.openxmlformats.org/officeDocument/2006/relationships/hyperlink" Target="http://www.sec.gov/Archives/edgar/data/1680062/000119312517283955/d311227dex1003a.htm" TargetMode="External"/><Relationship Id="rId274" Type="http://schemas.openxmlformats.org/officeDocument/2006/relationships/hyperlink" Target="http://www.sec.gov/Archives/edgar/data/1680062/000119312517312780/d311227dex1004.htm" TargetMode="External"/><Relationship Id="rId275" Type="http://schemas.openxmlformats.org/officeDocument/2006/relationships/hyperlink" Target="http://www.sec.gov/Archives/edgar/data/1680062/000119312517283955/d311227dex1005.htm" TargetMode="External"/><Relationship Id="rId276" Type="http://schemas.openxmlformats.org/officeDocument/2006/relationships/hyperlink" Target="http://www.sec.gov/Archives/edgar/data/1680062/000119312517283955/d311227dex1006.htm" TargetMode="External"/><Relationship Id="rId277" Type="http://schemas.openxmlformats.org/officeDocument/2006/relationships/hyperlink" Target="http://www.sec.gov/Archives/edgar/data/1680062/000119312517312780/d311227dex1007.htm" TargetMode="External"/><Relationship Id="rId278" Type="http://schemas.openxmlformats.org/officeDocument/2006/relationships/hyperlink" Target="http://www.sec.gov/Archives/edgar/data/1680062/000119312517312780/d311227dex1008.htm" TargetMode="External"/><Relationship Id="rId279" Type="http://schemas.openxmlformats.org/officeDocument/2006/relationships/hyperlink" Target="http://www.sec.gov/Archives/edgar/data/1680062/000119312517312780/d311227dex1009.htm" TargetMode="External"/><Relationship Id="rId280" Type="http://schemas.openxmlformats.org/officeDocument/2006/relationships/hyperlink" Target="http://www.sec.gov/Archives/edgar/data/1680062/000119312517312780/d311227dex1010.htm" TargetMode="External"/><Relationship Id="rId282" Type="http://schemas.openxmlformats.org/officeDocument/2006/relationships/hyperlink" Target="http://www.sec.gov/Archives/edgar/data/1680062/000119312517312780/d311227dex1011.htm" TargetMode="External"/><Relationship Id="rId283" Type="http://schemas.openxmlformats.org/officeDocument/2006/relationships/hyperlink" Target="http://www.sec.gov/Archives/edgar/data/1680062/000119312517312780/d311227dex1012.htm" TargetMode="External"/><Relationship Id="rId284" Type="http://schemas.openxmlformats.org/officeDocument/2006/relationships/hyperlink" Target="http://www.sec.gov/Archives/edgar/data/1680062/000119312517312780/d311227dex1013.htm" TargetMode="External"/><Relationship Id="rId285" Type="http://schemas.openxmlformats.org/officeDocument/2006/relationships/hyperlink" Target="http://www.sec.gov/Archives/edgar/data/1680062/000119312517283955/d311227dex1014.htm" TargetMode="External"/><Relationship Id="rId286" Type="http://schemas.openxmlformats.org/officeDocument/2006/relationships/hyperlink" Target="http://www.sec.gov/Archives/edgar/data/1680062/000119312517283955/d311227dex1010a.htm" TargetMode="External"/><Relationship Id="rId287" Type="http://schemas.openxmlformats.org/officeDocument/2006/relationships/hyperlink" Target="http://www.sec.gov/Archives/edgar/data/1680062/000119312517283955/d311227dex1010b.htm" TargetMode="External"/><Relationship Id="rId288" Type="http://schemas.openxmlformats.org/officeDocument/2006/relationships/hyperlink" Target="http://www.sec.gov/Archives/edgar/data/1680062/000119312517283955/d311227dex1010c.htm" TargetMode="External"/><Relationship Id="rId289" Type="http://schemas.openxmlformats.org/officeDocument/2006/relationships/hyperlink" Target="http://www.sec.gov/Archives/edgar/data/1680062/000119312517283955/d311227dex1011.htm" TargetMode="External"/><Relationship Id="rId290" Type="http://schemas.openxmlformats.org/officeDocument/2006/relationships/hyperlink" Target="http://www.sec.gov/Archives/edgar/data/1680062/000119312517283955/d311227dex1012.htm" TargetMode="External"/><Relationship Id="rId291" Type="http://schemas.openxmlformats.org/officeDocument/2006/relationships/hyperlink" Target="http://www.sec.gov/Archives/edgar/data/1680062/000119312517283955/d311227dex1012a.htm" TargetMode="External"/><Relationship Id="rId292" Type="http://schemas.openxmlformats.org/officeDocument/2006/relationships/hyperlink" Target="http://www.sec.gov/Archives/edgar/data/1680062/000119312517283955/d311227dex1012b.htm" TargetMode="External"/><Relationship Id="rId293" Type="http://schemas.openxmlformats.org/officeDocument/2006/relationships/hyperlink" Target="http://www.sec.gov/Archives/edgar/data/1680062/000119312517283955/d311227dex1013.htm" TargetMode="External"/><Relationship Id="rId294" Type="http://schemas.openxmlformats.org/officeDocument/2006/relationships/hyperlink" Target="http://www.sec.gov/Archives/edgar/data/1680062/000119312517283955/d311227dex2101.htm" TargetMode="External"/><Relationship Id="rId295" Type="http://schemas.openxmlformats.org/officeDocument/2006/relationships/hyperlink" Target="http://www.sec.gov/Archives/edgar/data/1680062/000119312517283955/d311227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2019-12-08T06:08:28Z</dcterms:created>
  <dcterms:modified xsi:type="dcterms:W3CDTF">2019-12-08T06:08:28Z</dcterms:modified>
</cp:coreProperties>
</file>