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Feng Lisa</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right="740"/>
        <w:spacing w:after="0" w:line="316"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18"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680" w:type="dxa"/>
            <w:vAlign w:val="bottom"/>
            <w:gridSpan w:val="8"/>
          </w:tcPr>
          <w:p>
            <w:pPr>
              <w:jc w:val="center"/>
              <w:ind w:right="31"/>
              <w:spacing w:after="0" w:line="114"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ind w:left="20"/>
              <w:spacing w:after="0" w:line="124"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4"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15,000</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w:t>
            </w: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25,760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09/16/2020</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15,000</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72.3</w:t>
            </w: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10,760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spacing w:after="0"/>
              <w:rPr>
                <w:sz w:val="15"/>
                <w:szCs w:val="15"/>
                <w:color w:val="auto"/>
              </w:rPr>
            </w:pP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5.31</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09/16/2020</w:t>
            </w:r>
          </w:p>
        </w:tc>
        <w:tc>
          <w:tcPr>
            <w:tcW w:w="1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00" w:type="dxa"/>
            <w:vAlign w:val="bottom"/>
            <w:vMerge w:val="restart"/>
          </w:tcPr>
          <w:p>
            <w:pPr>
              <w:ind w:left="420"/>
              <w:spacing w:after="0" w:line="142" w:lineRule="exact"/>
              <w:rPr>
                <w:sz w:val="20"/>
                <w:szCs w:val="20"/>
                <w:color w:val="auto"/>
              </w:rPr>
            </w:pPr>
            <w:r>
              <w:rPr>
                <w:rFonts w:ascii="Times New Roman" w:cs="Times New Roman" w:eastAsia="Times New Roman" w:hAnsi="Times New Roman"/>
                <w:sz w:val="13"/>
                <w:szCs w:val="13"/>
                <w:color w:val="0000FF"/>
              </w:rPr>
              <w:t>15,000</w:t>
            </w: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01/24/2028</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-3265805</wp:posOffset>
            </wp:positionV>
            <wp:extent cx="7033895" cy="3308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30835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16, 2020, the reporting person exercised a previously issued stock option to purchase 15,000 shares of Class A Common Stock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and became exercisable as to 7,500 shares on January 1, 2019 and the remaining 22,500 shares vest and become exercisable in equal monthly installments over the following 36 months, subject to continued service through each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of ACM Research (Shanghai), Inc., a subsidiary of the Issuer</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Mark L. Johnson,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09/18/2020</w:t>
            </w:r>
          </w:p>
        </w:tc>
        <w:tc>
          <w:tcPr>
            <w:tcW w:w="0" w:type="dxa"/>
            <w:vAlign w:val="bottom"/>
          </w:tcPr>
          <w:p>
            <w:pPr>
              <w:spacing w:after="0"/>
              <w:rPr>
                <w:sz w:val="1"/>
                <w:szCs w:val="1"/>
                <w:color w:val="auto"/>
              </w:rPr>
            </w:pPr>
          </w:p>
        </w:tc>
      </w:tr>
      <w:tr>
        <w:trPr>
          <w:trHeight w:val="88"/>
        </w:trPr>
        <w:tc>
          <w:tcPr>
            <w:tcW w:w="14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in-Fact for Lisa Feng</w:t>
            </w:r>
          </w:p>
        </w:tc>
        <w:tc>
          <w:tcPr>
            <w:tcW w:w="7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977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2020-09-18T16:31:39Z</dcterms:created>
  <dcterms:modified xsi:type="dcterms:W3CDTF">2020-09-18T16:31:39Z</dcterms:modified>
</cp:coreProperties>
</file>