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4D4D4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4D4D4F"/>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4D4D4F"/>
        </w:rPr>
        <w:t>SCHEDULE 14A</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4D4D4F"/>
        </w:rPr>
        <w:t>Proxy Statement Pursuant to</w:t>
      </w:r>
    </w:p>
    <w:p>
      <w:pPr>
        <w:jc w:val="center"/>
        <w:spacing w:after="0"/>
        <w:rPr>
          <w:sz w:val="20"/>
          <w:szCs w:val="20"/>
          <w:color w:val="auto"/>
        </w:rPr>
      </w:pPr>
      <w:r>
        <w:rPr>
          <w:rFonts w:ascii="Arial" w:cs="Arial" w:eastAsia="Arial" w:hAnsi="Arial"/>
          <w:sz w:val="22"/>
          <w:szCs w:val="22"/>
          <w:b w:val="1"/>
          <w:bCs w:val="1"/>
          <w:color w:val="4D4D4F"/>
        </w:rPr>
        <w:t>Section 14(a) of the Securities Exchange Act of 1934</w:t>
      </w:r>
    </w:p>
    <w:p>
      <w:pPr>
        <w:spacing w:after="0" w:line="166" w:lineRule="exact"/>
        <w:rPr>
          <w:sz w:val="24"/>
          <w:szCs w:val="24"/>
          <w:color w:val="auto"/>
        </w:rPr>
      </w:pPr>
    </w:p>
    <w:p>
      <w:pPr>
        <w:spacing w:after="0" w:line="207" w:lineRule="exact"/>
        <w:tabs>
          <w:tab w:leader="none" w:pos="7720" w:val="left"/>
        </w:tabs>
        <w:rPr>
          <w:sz w:val="20"/>
          <w:szCs w:val="20"/>
          <w:color w:val="auto"/>
        </w:rPr>
      </w:pPr>
      <w:r>
        <w:rPr>
          <w:rFonts w:ascii="Arial" w:cs="Arial" w:eastAsia="Arial" w:hAnsi="Arial"/>
          <w:sz w:val="18"/>
          <w:szCs w:val="18"/>
          <w:color w:val="4D4D4F"/>
        </w:rPr>
        <w:t xml:space="preserve">Filed by the Registrant </w:t>
      </w:r>
      <w:r>
        <w:rPr>
          <w:rFonts w:ascii="MS PGothic" w:cs="MS PGothic" w:eastAsia="MS PGothic" w:hAnsi="MS PGothic"/>
          <w:sz w:val="18"/>
          <w:szCs w:val="18"/>
          <w:color w:val="4D4D4F"/>
        </w:rPr>
        <w:t>☒</w:t>
      </w:r>
      <w:r>
        <w:rPr>
          <w:sz w:val="20"/>
          <w:szCs w:val="20"/>
          <w:color w:val="auto"/>
        </w:rPr>
        <w:tab/>
      </w:r>
      <w:r>
        <w:rPr>
          <w:rFonts w:ascii="Arial" w:cs="Arial" w:eastAsia="Arial" w:hAnsi="Arial"/>
          <w:sz w:val="17"/>
          <w:szCs w:val="17"/>
          <w:color w:val="4D4D4F"/>
        </w:rPr>
        <w:t xml:space="preserve">Filed by a Party other than the Registrant </w:t>
      </w:r>
      <w:r>
        <w:rPr>
          <w:rFonts w:ascii="MS PGothic" w:cs="MS PGothic" w:eastAsia="MS PGothic" w:hAnsi="MS PGothic"/>
          <w:sz w:val="17"/>
          <w:szCs w:val="17"/>
          <w:color w:val="4D4D4F"/>
        </w:rPr>
        <w: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4D4D4F"/>
        </w:rPr>
        <w:t>Check the appropriate box:</w:t>
      </w:r>
    </w:p>
    <w:p>
      <w:pPr>
        <w:ind w:left="340" w:hanging="332"/>
        <w:spacing w:after="0"/>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color w:val="4D4D4F"/>
        </w:rPr>
        <w:t>Preliminary Proxy Statement</w:t>
      </w:r>
    </w:p>
    <w:p>
      <w:pPr>
        <w:ind w:left="340" w:hanging="332"/>
        <w:spacing w:after="0" w:line="234" w:lineRule="auto"/>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b w:val="1"/>
          <w:bCs w:val="1"/>
          <w:color w:val="4D4D4F"/>
        </w:rPr>
        <w:t>Confidential, for Use of the Commission Only (as permitted by Rule 14a-6(e)(2))</w:t>
      </w:r>
    </w:p>
    <w:p>
      <w:pPr>
        <w:spacing w:after="0" w:line="202" w:lineRule="exact"/>
        <w:rPr>
          <w:rFonts w:ascii="MS PGothic" w:cs="MS PGothic" w:eastAsia="MS PGothic" w:hAnsi="MS PGothic"/>
          <w:sz w:val="18"/>
          <w:szCs w:val="18"/>
          <w:color w:val="4D4D4F"/>
        </w:rPr>
      </w:pPr>
      <w:r>
        <w:rPr>
          <w:rFonts w:ascii="MS PGothic" w:cs="MS PGothic" w:eastAsia="MS PGothic" w:hAnsi="MS PGothic"/>
          <w:sz w:val="18"/>
          <w:szCs w:val="18"/>
          <w:color w:val="4D4D4F"/>
        </w:rPr>
        <w:t>☒</w:t>
      </w:r>
      <w:r>
        <w:rPr>
          <w:rFonts w:ascii="Arial" w:cs="Arial" w:eastAsia="Arial" w:hAnsi="Arial"/>
          <w:sz w:val="18"/>
          <w:szCs w:val="18"/>
          <w:color w:val="4D4D4F"/>
        </w:rPr>
        <w:t xml:space="preserve"> Definitive Proxy Statement</w:t>
      </w:r>
    </w:p>
    <w:p>
      <w:pPr>
        <w:ind w:left="340" w:hanging="332"/>
        <w:spacing w:after="0" w:line="234" w:lineRule="auto"/>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color w:val="4D4D4F"/>
        </w:rPr>
        <w:t>Definitive Additional Materials</w:t>
      </w:r>
    </w:p>
    <w:p>
      <w:pPr>
        <w:ind w:left="340" w:hanging="332"/>
        <w:spacing w:after="0"/>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color w:val="4D4D4F"/>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134620</wp:posOffset>
            </wp:positionV>
            <wp:extent cx="81407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07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4D4D4F"/>
        </w:rPr>
        <w:t>ACM Research,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4D4D4F"/>
        </w:rPr>
        <w:t>(Name of Registrant as Specified In Its Charter)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4D4D4F"/>
        </w:rPr>
        <w:t>Payment of Filing Fee (Check the appropriate box):</w:t>
      </w:r>
    </w:p>
    <w:p>
      <w:pPr>
        <w:spacing w:after="0" w:line="63"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4D4D4F"/>
        </w:rPr>
        <w:t>No fee required.</w:t>
      </w:r>
    </w:p>
    <w:p>
      <w:pPr>
        <w:spacing w:after="0" w:line="59"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4D4D4F"/>
        </w:rPr>
        <w:t>Fee computed on table below per Exchange Act Rules 14a-6(i)(1) and 0-11.</w:t>
      </w:r>
    </w:p>
    <w:p>
      <w:pPr>
        <w:ind w:left="980" w:hanging="540"/>
        <w:spacing w:after="0"/>
        <w:tabs>
          <w:tab w:leader="none" w:pos="98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Title of each class of securities to which transaction applies:</w:t>
      </w:r>
    </w:p>
    <w:p>
      <w:pPr>
        <w:spacing w:after="0" w:line="225" w:lineRule="exact"/>
        <w:rPr>
          <w:rFonts w:ascii="Arial" w:cs="Arial" w:eastAsia="Arial" w:hAnsi="Arial"/>
          <w:sz w:val="18"/>
          <w:szCs w:val="18"/>
          <w:color w:val="4D4D4F"/>
        </w:rPr>
      </w:pPr>
    </w:p>
    <w:p>
      <w:pPr>
        <w:ind w:left="980" w:hanging="540"/>
        <w:spacing w:after="0"/>
        <w:tabs>
          <w:tab w:leader="none" w:pos="98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Aggregate number of securities to which transaction applies:</w:t>
      </w:r>
    </w:p>
    <w:p>
      <w:pPr>
        <w:spacing w:after="0" w:line="225" w:lineRule="exact"/>
        <w:rPr>
          <w:rFonts w:ascii="Arial" w:cs="Arial" w:eastAsia="Arial" w:hAnsi="Arial"/>
          <w:sz w:val="18"/>
          <w:szCs w:val="18"/>
          <w:color w:val="4D4D4F"/>
        </w:rPr>
      </w:pPr>
    </w:p>
    <w:p>
      <w:pPr>
        <w:ind w:left="980" w:hanging="540"/>
        <w:spacing w:after="0" w:line="246" w:lineRule="auto"/>
        <w:tabs>
          <w:tab w:leader="none" w:pos="98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4D4D4F"/>
        </w:rPr>
      </w:pPr>
    </w:p>
    <w:p>
      <w:pPr>
        <w:ind w:left="980" w:hanging="540"/>
        <w:spacing w:after="0"/>
        <w:tabs>
          <w:tab w:leader="none" w:pos="98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Proposed maximum aggregate value of transaction:</w:t>
      </w:r>
    </w:p>
    <w:p>
      <w:pPr>
        <w:spacing w:after="0" w:line="225" w:lineRule="exact"/>
        <w:rPr>
          <w:rFonts w:ascii="Arial" w:cs="Arial" w:eastAsia="Arial" w:hAnsi="Arial"/>
          <w:sz w:val="18"/>
          <w:szCs w:val="18"/>
          <w:color w:val="4D4D4F"/>
        </w:rPr>
      </w:pPr>
    </w:p>
    <w:p>
      <w:pPr>
        <w:ind w:left="980" w:hanging="540"/>
        <w:spacing w:after="0"/>
        <w:tabs>
          <w:tab w:leader="none" w:pos="98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Total fee paid:</w:t>
      </w:r>
    </w:p>
    <w:p>
      <w:pPr>
        <w:spacing w:after="0" w:line="121" w:lineRule="exact"/>
        <w:rPr>
          <w:rFonts w:ascii="Arial" w:cs="Arial" w:eastAsia="Arial" w:hAnsi="Arial"/>
          <w:sz w:val="18"/>
          <w:szCs w:val="18"/>
          <w:color w:val="4D4D4F"/>
        </w:rPr>
      </w:pPr>
    </w:p>
    <w:p>
      <w:pPr>
        <w:ind w:left="440" w:hanging="432"/>
        <w:spacing w:after="0"/>
        <w:tabs>
          <w:tab w:leader="none" w:pos="440" w:val="left"/>
        </w:tabs>
        <w:numPr>
          <w:ilvl w:val="0"/>
          <w:numId w:val="3"/>
        </w:numPr>
        <w:rPr>
          <w:rFonts w:ascii="MS PGothic" w:cs="MS PGothic" w:eastAsia="MS PGothic" w:hAnsi="MS PGothic"/>
          <w:sz w:val="36"/>
          <w:szCs w:val="36"/>
          <w:color w:val="auto"/>
          <w:vertAlign w:val="superscript"/>
        </w:rPr>
      </w:pPr>
      <w:r>
        <w:rPr>
          <w:rFonts w:ascii="Arial" w:cs="Arial" w:eastAsia="Arial" w:hAnsi="Arial"/>
          <w:sz w:val="18"/>
          <w:szCs w:val="18"/>
          <w:color w:val="4D4D4F"/>
        </w:rPr>
        <w:t>Fee paid previously with preliminary materials.</w:t>
      </w:r>
    </w:p>
    <w:p>
      <w:pPr>
        <w:ind w:left="440" w:hanging="432"/>
        <w:spacing w:after="0" w:line="234" w:lineRule="auto"/>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4D4D4F"/>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980" w:hanging="540"/>
        <w:spacing w:after="0"/>
        <w:tabs>
          <w:tab w:leader="none" w:pos="98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Amount Previously Paid:</w:t>
      </w:r>
    </w:p>
    <w:p>
      <w:pPr>
        <w:spacing w:after="0" w:line="238" w:lineRule="exact"/>
        <w:rPr>
          <w:rFonts w:ascii="Arial" w:cs="Arial" w:eastAsia="Arial" w:hAnsi="Arial"/>
          <w:sz w:val="18"/>
          <w:szCs w:val="18"/>
          <w:color w:val="4D4D4F"/>
        </w:rPr>
      </w:pPr>
    </w:p>
    <w:p>
      <w:pPr>
        <w:ind w:left="980" w:hanging="540"/>
        <w:spacing w:after="0"/>
        <w:tabs>
          <w:tab w:leader="none" w:pos="98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Form, Schedule or Registration Statement No.:</w:t>
      </w:r>
    </w:p>
    <w:p>
      <w:pPr>
        <w:spacing w:after="0" w:line="238" w:lineRule="exact"/>
        <w:rPr>
          <w:rFonts w:ascii="Arial" w:cs="Arial" w:eastAsia="Arial" w:hAnsi="Arial"/>
          <w:sz w:val="18"/>
          <w:szCs w:val="18"/>
          <w:color w:val="4D4D4F"/>
        </w:rPr>
      </w:pPr>
    </w:p>
    <w:p>
      <w:pPr>
        <w:ind w:left="980" w:hanging="540"/>
        <w:spacing w:after="0"/>
        <w:tabs>
          <w:tab w:leader="none" w:pos="98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Filing Party:</w:t>
      </w:r>
    </w:p>
    <w:p>
      <w:pPr>
        <w:spacing w:after="0" w:line="238" w:lineRule="exact"/>
        <w:rPr>
          <w:rFonts w:ascii="Arial" w:cs="Arial" w:eastAsia="Arial" w:hAnsi="Arial"/>
          <w:sz w:val="18"/>
          <w:szCs w:val="18"/>
          <w:color w:val="4D4D4F"/>
        </w:rPr>
      </w:pPr>
    </w:p>
    <w:p>
      <w:pPr>
        <w:ind w:left="980" w:hanging="540"/>
        <w:spacing w:after="0"/>
        <w:tabs>
          <w:tab w:leader="none" w:pos="980" w:val="left"/>
        </w:tabs>
        <w:numPr>
          <w:ilvl w:val="1"/>
          <w:numId w:val="3"/>
        </w:numPr>
        <w:rPr>
          <w:rFonts w:ascii="Arial" w:cs="Arial" w:eastAsia="Arial" w:hAnsi="Arial"/>
          <w:sz w:val="18"/>
          <w:szCs w:val="18"/>
          <w:color w:val="4D4D4F"/>
        </w:rPr>
      </w:pPr>
      <w:r>
        <w:rPr>
          <w:rFonts w:ascii="Arial" w:cs="Arial" w:eastAsia="Arial" w:hAnsi="Arial"/>
          <w:sz w:val="18"/>
          <w:szCs w:val="18"/>
          <w:color w:val="4D4D4F"/>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126365</wp:posOffset>
            </wp:positionV>
            <wp:extent cx="65151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-147320</wp:posOffset>
            </wp:positionV>
            <wp:extent cx="65151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-430530</wp:posOffset>
            </wp:positionV>
            <wp:extent cx="65151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-713105</wp:posOffset>
            </wp:positionV>
            <wp:extent cx="65151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-1416050</wp:posOffset>
            </wp:positionV>
            <wp:extent cx="65151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-1690370</wp:posOffset>
            </wp:positionV>
            <wp:extent cx="65151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-1964690</wp:posOffset>
            </wp:positionV>
            <wp:extent cx="65151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-2367915</wp:posOffset>
            </wp:positionV>
            <wp:extent cx="65151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-2642235</wp:posOffset>
            </wp:positionV>
            <wp:extent cx="65151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391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39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58"/>
          <w:szCs w:val="58"/>
          <w:color w:val="FFFFFF"/>
        </w:rPr>
        <w:t>NOTICE OF</w:t>
      </w:r>
    </w:p>
    <w:p>
      <w:pPr>
        <w:jc w:val="center"/>
        <w:ind w:right="-120"/>
        <w:spacing w:after="0"/>
        <w:rPr>
          <w:sz w:val="20"/>
          <w:szCs w:val="20"/>
          <w:color w:val="auto"/>
        </w:rPr>
      </w:pPr>
      <w:r>
        <w:rPr>
          <w:rFonts w:ascii="Arial" w:cs="Arial" w:eastAsia="Arial" w:hAnsi="Arial"/>
          <w:sz w:val="57"/>
          <w:szCs w:val="57"/>
          <w:color w:val="FFFFFF"/>
        </w:rPr>
        <w:t>2021 ANNUAL MEETING</w:t>
      </w:r>
    </w:p>
    <w:p>
      <w:pPr>
        <w:spacing w:after="0" w:line="6" w:lineRule="exact"/>
        <w:rPr>
          <w:sz w:val="20"/>
          <w:szCs w:val="20"/>
          <w:color w:val="auto"/>
        </w:rPr>
      </w:pPr>
    </w:p>
    <w:p>
      <w:pPr>
        <w:jc w:val="center"/>
        <w:ind w:right="-120"/>
        <w:spacing w:after="0"/>
        <w:rPr>
          <w:sz w:val="20"/>
          <w:szCs w:val="20"/>
          <w:color w:val="auto"/>
        </w:rPr>
      </w:pPr>
      <w:r>
        <w:rPr>
          <w:rFonts w:ascii="Arial" w:cs="Arial" w:eastAsia="Arial" w:hAnsi="Arial"/>
          <w:sz w:val="58"/>
          <w:szCs w:val="58"/>
          <w:color w:val="FFFFFF"/>
        </w:rPr>
        <w:t>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0"/>
        <w:spacing w:after="0"/>
        <w:rPr>
          <w:sz w:val="20"/>
          <w:szCs w:val="20"/>
          <w:color w:val="auto"/>
        </w:rPr>
      </w:pPr>
      <w:r>
        <w:rPr>
          <w:rFonts w:ascii="Arial" w:cs="Arial" w:eastAsia="Arial" w:hAnsi="Arial"/>
          <w:sz w:val="32"/>
          <w:szCs w:val="32"/>
          <w:i w:val="1"/>
          <w:iCs w:val="1"/>
          <w:color w:val="FFFFFF"/>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
        <w:spacing w:after="0"/>
        <w:rPr>
          <w:sz w:val="20"/>
          <w:szCs w:val="20"/>
          <w:color w:val="auto"/>
        </w:rPr>
      </w:pPr>
      <w:r>
        <w:rPr>
          <w:rFonts w:ascii="Arial" w:cs="Arial" w:eastAsia="Arial" w:hAnsi="Arial"/>
          <w:sz w:val="50"/>
          <w:szCs w:val="50"/>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123190</wp:posOffset>
            </wp:positionV>
            <wp:extent cx="7132320" cy="2168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168525"/>
                    </a:xfrm>
                    <a:prstGeom prst="rect">
                      <a:avLst/>
                    </a:prstGeom>
                    <a:noFill/>
                  </pic:spPr>
                </pic:pic>
              </a:graphicData>
            </a:graphic>
          </wp:anchor>
        </w:drawing>
      </w:r>
    </w:p>
    <w:p>
      <w:pPr>
        <w:sectPr>
          <w:pgSz w:w="11900" w:h="16838" w:orient="portrait"/>
          <w:cols w:equalWidth="0" w:num="1">
            <w:col w:w="9159"/>
          </w:cols>
          <w:pgMar w:left="1300" w:top="1440" w:right="1440"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2021 Annual Meeting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FFFFFF"/>
        </w:rPr>
        <w:t>June 2, 2021</w:t>
      </w:r>
    </w:p>
    <w:p>
      <w:pPr>
        <w:spacing w:after="0"/>
        <w:rPr>
          <w:sz w:val="20"/>
          <w:szCs w:val="20"/>
          <w:color w:val="auto"/>
        </w:rPr>
      </w:pPr>
      <w:r>
        <w:rPr>
          <w:rFonts w:ascii="Arial" w:cs="Arial" w:eastAsia="Arial" w:hAnsi="Arial"/>
          <w:sz w:val="22"/>
          <w:szCs w:val="22"/>
          <w:color w:val="FFFFFF"/>
        </w:rPr>
        <w:t>7 a.m., Pacific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9"/>
          <w:szCs w:val="19"/>
          <w:color w:val="FFFFFF"/>
        </w:rPr>
        <w:t xml:space="preserve">Virtual-only meeting, with webcast access at </w:t>
      </w:r>
      <w:r>
        <w:rPr>
          <w:rFonts w:ascii="Arial" w:cs="Arial" w:eastAsia="Arial" w:hAnsi="Arial"/>
          <w:sz w:val="19"/>
          <w:szCs w:val="19"/>
          <w:i w:val="1"/>
          <w:iCs w:val="1"/>
          <w:color w:val="FFFFFF"/>
        </w:rPr>
        <w:t>virtualshareholdermeeting.com/ACMR2021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Inside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FFFFFF"/>
        </w:rPr>
        <w:t>CEO’s letter to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FFFFFF"/>
        </w:rPr>
        <w:t>Information on four voting proposals:</w:t>
      </w:r>
    </w:p>
    <w:p>
      <w:pPr>
        <w:spacing w:after="0" w:line="267" w:lineRule="exact"/>
        <w:rPr>
          <w:sz w:val="20"/>
          <w:szCs w:val="20"/>
          <w:color w:val="auto"/>
        </w:rPr>
      </w:pPr>
    </w:p>
    <w:p>
      <w:pPr>
        <w:ind w:left="700"/>
        <w:spacing w:after="0"/>
        <w:rPr>
          <w:sz w:val="20"/>
          <w:szCs w:val="20"/>
          <w:color w:val="auto"/>
        </w:rPr>
      </w:pPr>
      <w:r>
        <w:rPr>
          <w:rFonts w:ascii="Arial" w:cs="Arial" w:eastAsia="Arial" w:hAnsi="Arial"/>
          <w:sz w:val="16"/>
          <w:szCs w:val="16"/>
          <w:color w:val="FFFFFF"/>
        </w:rPr>
        <w:t>Election of five directors</w:t>
      </w:r>
    </w:p>
    <w:p>
      <w:pPr>
        <w:spacing w:after="0" w:line="154" w:lineRule="exact"/>
        <w:rPr>
          <w:sz w:val="20"/>
          <w:szCs w:val="20"/>
          <w:color w:val="auto"/>
        </w:rPr>
      </w:pPr>
    </w:p>
    <w:p>
      <w:pPr>
        <w:ind w:left="700" w:right="139"/>
        <w:spacing w:after="0" w:line="275" w:lineRule="auto"/>
        <w:rPr>
          <w:sz w:val="20"/>
          <w:szCs w:val="20"/>
          <w:color w:val="auto"/>
        </w:rPr>
      </w:pPr>
      <w:r>
        <w:rPr>
          <w:rFonts w:ascii="Arial" w:cs="Arial" w:eastAsia="Arial" w:hAnsi="Arial"/>
          <w:sz w:val="16"/>
          <w:szCs w:val="16"/>
          <w:color w:val="FFFFFF"/>
        </w:rPr>
        <w:t>Amendments to certificate of incorporation principally to increase numbers of authorized shares of common stock</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color w:val="FFFFFF"/>
          <w:shd w:val="clear" w:color="auto" w:fill="4D4D4F"/>
        </w:rPr>
        <w:t>Ratification of appointment of independent</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color w:val="FFFFFF"/>
        </w:rPr>
        <w:t>auditor for 2021</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6"/>
          <w:szCs w:val="16"/>
          <w:color w:val="FFFFFF"/>
        </w:rPr>
        <w:t>Advisory vote on 2020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379095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080" w:space="720"/>
            <w:col w:w="4359"/>
          </w:cols>
          <w:pgMar w:left="1300" w:top="1440" w:right="1440"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22"/>
          <w:szCs w:val="22"/>
          <w:b w:val="1"/>
          <w:bCs w:val="1"/>
          <w:color w:val="4D4D4F"/>
        </w:rPr>
        <w:drawing>
          <wp:anchor simplePos="0" relativeHeight="251657728" behindDoc="1" locked="0" layoutInCell="0" allowOverlap="1">
            <wp:simplePos x="0" y="0"/>
            <wp:positionH relativeFrom="page">
              <wp:posOffset>208280</wp:posOffset>
            </wp:positionH>
            <wp:positionV relativeFrom="page">
              <wp:posOffset>88900</wp:posOffset>
            </wp:positionV>
            <wp:extent cx="1217295" cy="762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62635"/>
                    </a:xfrm>
                    <a:prstGeom prst="rect">
                      <a:avLst/>
                    </a:prstGeom>
                    <a:noFill/>
                  </pic:spPr>
                </pic:pic>
              </a:graphicData>
            </a:graphic>
          </wp:anchor>
        </w:drawing>
        <w:t>42307 Osgood Rd, Suite I</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4D4D4F"/>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4D4D4F"/>
        </w:rPr>
        <w:t>April 23,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4D4D4F"/>
        </w:rPr>
        <w:t>Dear Fellow Stockholder:</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It is my pleasure to invite you to attend the Annual Meeting of Stockholders of ACM Research, Inc. to be held on June 2, 2021, at 7 a.m., Pacific time. This year’s Annual Meeting will be a “virtual meeting” conducted via live audio webcast, consistent with our prior practice and with prudent planning in light of the public health risks attributable to the COVID-19 (Coronavirus) pandemic. Each holder of Class A or Class B common stock as of 5 p.m., Eastern time, on the record date of April 8, 2021, will be able to participate in the Annual Meeting by accessing a live webcast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xml:space="preserve"> and entering the control number included on the stockholder’s Notice of Internet Availability of Proxy Materials or proxy card. Stockholders will also be able to vote their shares and submit questions via the Internet during the meeting by participating in the webcast.</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During the Annual Meeting, stockholders will be asked to elect the entire board of directors, to approve amendments to our certificate of incorporation principally to increase the numbers of authorized shares of common stock, and to ratify the appointment of BDO China Shu Lun Pan Certified Public Accountants LLP as our independent auditor for 2021. We will also be asking stockholders to approve, by an advisory vote, our 2020 executive compensation as disclosed in the Proxy Statement for the Annual Meeting (a “say-on-pay”) vote. Each of these matters is important, and we urge you to vote in favor of the election of each of the director nominees, the amendments to our certificate of incorporation, the ratification of the appointment of our independent auditor, and the say-on-pay vote.</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are furnishing proxy materials to our stockholders over the Internet. This process expedites the delivery of proxy materials to our stockholders, lowers our costs and reduces the environmental impact of the Annual Meeting. Today we are sending to each of our stockholders a Notice of Internet Availability of Proxy Materials containing instructions on how to access our Proxy Statement for the Annual Meeting and our 2020 Annual Report to Stockholders, as well as how to vote via proxy either by telephone or over the Internet.</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It is important that you vote your shares of Class A and Class B common stock virtually or by proxy, regardless of the number of shares you own. You will find the instructions for voting on your Notice of Internet Availability of Proxy Materials or proxy card. We appreciate your prompt attention.</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board invites you to participate in the Annual Meeting so that management can listen to your suggestions, answer your questions, and discuss business developments and trends with you. Thank you for your support, and we look forward to joining you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4D4D4F"/>
        </w:rPr>
        <w:t>Sincerely,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4D4D4F"/>
        </w:rPr>
        <w:t>David H. Wang</w:t>
      </w:r>
    </w:p>
    <w:p>
      <w:pPr>
        <w:spacing w:after="0"/>
        <w:rPr>
          <w:sz w:val="20"/>
          <w:szCs w:val="20"/>
          <w:color w:val="auto"/>
        </w:rPr>
      </w:pPr>
      <w:r>
        <w:rPr>
          <w:rFonts w:ascii="Arial" w:cs="Arial" w:eastAsia="Arial" w:hAnsi="Arial"/>
          <w:sz w:val="18"/>
          <w:szCs w:val="18"/>
          <w:i w:val="1"/>
          <w:iCs w:val="1"/>
          <w:color w:val="4D4D4F"/>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i w:val="1"/>
          <w:iCs w:val="1"/>
          <w:color w:val="4D4D4F"/>
        </w:rPr>
        <w:drawing>
          <wp:anchor simplePos="0" relativeHeight="251657728" behindDoc="1" locked="0" layoutInCell="0" allowOverlap="1">
            <wp:simplePos x="0" y="0"/>
            <wp:positionH relativeFrom="page">
              <wp:posOffset>208280</wp:posOffset>
            </wp:positionH>
            <wp:positionV relativeFrom="page">
              <wp:posOffset>88900</wp:posOffset>
            </wp:positionV>
            <wp:extent cx="1217295" cy="737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37235"/>
                    </a:xfrm>
                    <a:prstGeom prst="rect">
                      <a:avLst/>
                    </a:prstGeom>
                    <a:noFill/>
                  </pic:spPr>
                </pic:pic>
              </a:graphicData>
            </a:graphic>
          </wp:anchor>
        </w:drawing>
        <w:t>NOTICE OF</w:t>
      </w:r>
    </w:p>
    <w:p>
      <w:pPr>
        <w:spacing w:after="0" w:line="45"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4D4D4F"/>
        </w:rPr>
        <w:t>2021 ANNUAL MEETING OF STOCKHOLDERS</w:t>
      </w:r>
    </w:p>
    <w:p>
      <w:pPr>
        <w:sectPr>
          <w:pgSz w:w="11900" w:h="16838" w:orient="portrait"/>
          <w:cols w:equalWidth="0" w:num="1">
            <w:col w:w="11240"/>
          </w:cols>
          <w:pgMar w:left="320" w:top="731"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To Stockholders of 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4D4D4F"/>
        </w:rPr>
        <w:t>The board of directors is soliciting proxies for use at the ACM Research, Inc. 2021 Annual Meeting. You are receiving the enclosed proxy statement because you were a holder of Class A or Class B common stock as of 5 p.m., Eastern time, on the record date of April 8, 2021 and therefore are entitled to vote at the Annual Meeting.</w:t>
      </w:r>
    </w:p>
    <w:p>
      <w:pPr>
        <w:spacing w:after="0" w:line="154"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4D4D4F"/>
        </w:rPr>
        <w:t>You may participate in the Annual Meeting, including casting votes and submitting questions, by accessing a</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4D4D4F"/>
        </w:rPr>
        <w:t xml:space="preserve">live webcast at </w:t>
      </w:r>
      <w:r>
        <w:rPr>
          <w:rFonts w:ascii="Arial" w:cs="Arial" w:eastAsia="Arial" w:hAnsi="Arial"/>
          <w:sz w:val="22"/>
          <w:szCs w:val="22"/>
          <w:i w:val="1"/>
          <w:iCs w:val="1"/>
          <w:color w:val="4D4D4F"/>
        </w:rPr>
        <w:t xml:space="preserve">virtualshareholdermeeting.com/ACMR2021 </w:t>
      </w:r>
      <w:r>
        <w:rPr>
          <w:rFonts w:ascii="Arial" w:cs="Arial" w:eastAsia="Arial" w:hAnsi="Arial"/>
          <w:sz w:val="22"/>
          <w:szCs w:val="22"/>
          <w:color w:val="4D4D4F"/>
        </w:rPr>
        <w:t>and then</w:t>
      </w:r>
      <w:r>
        <w:rPr>
          <w:rFonts w:ascii="Arial" w:cs="Arial" w:eastAsia="Arial" w:hAnsi="Arial"/>
          <w:sz w:val="22"/>
          <w:szCs w:val="22"/>
          <w:i w:val="1"/>
          <w:iCs w:val="1"/>
          <w:color w:val="4D4D4F"/>
        </w:rPr>
        <w:t xml:space="preserve"> </w:t>
      </w:r>
      <w:r>
        <w:rPr>
          <w:rFonts w:ascii="Arial" w:cs="Arial" w:eastAsia="Arial" w:hAnsi="Arial"/>
          <w:sz w:val="22"/>
          <w:szCs w:val="22"/>
          <w:color w:val="4D4D4F"/>
        </w:rPr>
        <w:t>using the 16-digit control number provided on the Notice of Internet Availability of Proxy Materials or proxy card being delivered to the stockholder. Online check-in to the Annual Meeting will begin at 6:45 a.m., Pacific time, and stockholders are encouraged to allow time to log in to the meeting webcast and test their computer audio system. There will be no physical location for the Annual Meeting. The Annual Meeting will be held to consider and vote upon:</w:t>
      </w:r>
    </w:p>
    <w:p>
      <w:pPr>
        <w:spacing w:after="0" w:line="37"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17365D"/>
        </w:rPr>
        <w:t>Proposal 1.</w:t>
      </w:r>
      <w:r>
        <w:rPr>
          <w:sz w:val="20"/>
          <w:szCs w:val="20"/>
          <w:color w:val="auto"/>
        </w:rPr>
        <w:tab/>
      </w:r>
      <w:r>
        <w:rPr>
          <w:rFonts w:ascii="Arial" w:cs="Arial" w:eastAsia="Arial" w:hAnsi="Arial"/>
          <w:sz w:val="16"/>
          <w:szCs w:val="16"/>
          <w:b w:val="1"/>
          <w:bCs w:val="1"/>
          <w:color w:val="17365D"/>
        </w:rPr>
        <w:t>Election of five directors</w:t>
      </w:r>
    </w:p>
    <w:p>
      <w:pPr>
        <w:spacing w:after="0" w:line="59" w:lineRule="exact"/>
        <w:rPr>
          <w:sz w:val="20"/>
          <w:szCs w:val="20"/>
          <w:color w:val="auto"/>
        </w:rPr>
      </w:pPr>
    </w:p>
    <w:p>
      <w:pPr>
        <w:jc w:val="both"/>
        <w:ind w:left="1300" w:right="20" w:hanging="1295"/>
        <w:spacing w:after="0" w:line="266" w:lineRule="auto"/>
        <w:tabs>
          <w:tab w:leader="none" w:pos="1280" w:val="left"/>
        </w:tabs>
        <w:rPr>
          <w:sz w:val="20"/>
          <w:szCs w:val="20"/>
          <w:color w:val="auto"/>
        </w:rPr>
      </w:pPr>
      <w:r>
        <w:rPr>
          <w:rFonts w:ascii="Arial" w:cs="Arial" w:eastAsia="Arial" w:hAnsi="Arial"/>
          <w:sz w:val="16"/>
          <w:szCs w:val="16"/>
          <w:b w:val="1"/>
          <w:bCs w:val="1"/>
          <w:color w:val="17365D"/>
        </w:rPr>
        <w:t>Proposal 2.</w:t>
      </w:r>
      <w:r>
        <w:rPr>
          <w:sz w:val="20"/>
          <w:szCs w:val="20"/>
          <w:color w:val="auto"/>
        </w:rPr>
        <w:tab/>
      </w:r>
      <w:r>
        <w:rPr>
          <w:rFonts w:ascii="Arial" w:cs="Arial" w:eastAsia="Arial" w:hAnsi="Arial"/>
          <w:sz w:val="16"/>
          <w:szCs w:val="16"/>
          <w:b w:val="1"/>
          <w:bCs w:val="1"/>
          <w:color w:val="17365D"/>
        </w:rPr>
        <w:t>Amendments to certificate of incorporation principally to increase numbers of authorized shares of common stock</w:t>
      </w:r>
    </w:p>
    <w:p>
      <w:pPr>
        <w:spacing w:after="0" w:line="9" w:lineRule="exact"/>
        <w:rPr>
          <w:sz w:val="20"/>
          <w:szCs w:val="20"/>
          <w:color w:val="auto"/>
        </w:rPr>
      </w:pPr>
    </w:p>
    <w:p>
      <w:pPr>
        <w:jc w:val="both"/>
        <w:ind w:left="1300" w:right="20" w:hanging="1295"/>
        <w:spacing w:after="0" w:line="281" w:lineRule="auto"/>
        <w:tabs>
          <w:tab w:leader="none" w:pos="1280" w:val="left"/>
        </w:tabs>
        <w:rPr>
          <w:sz w:val="20"/>
          <w:szCs w:val="20"/>
          <w:color w:val="auto"/>
        </w:rPr>
      </w:pPr>
      <w:r>
        <w:rPr>
          <w:rFonts w:ascii="Arial" w:cs="Arial" w:eastAsia="Arial" w:hAnsi="Arial"/>
          <w:sz w:val="16"/>
          <w:szCs w:val="16"/>
          <w:b w:val="1"/>
          <w:bCs w:val="1"/>
          <w:color w:val="17365D"/>
        </w:rPr>
        <w:t>Proposal 3.</w:t>
      </w:r>
      <w:r>
        <w:rPr>
          <w:sz w:val="20"/>
          <w:szCs w:val="20"/>
          <w:color w:val="auto"/>
        </w:rPr>
        <w:tab/>
      </w:r>
      <w:r>
        <w:rPr>
          <w:rFonts w:ascii="Arial" w:cs="Arial" w:eastAsia="Arial" w:hAnsi="Arial"/>
          <w:sz w:val="16"/>
          <w:szCs w:val="16"/>
          <w:b w:val="1"/>
          <w:bCs w:val="1"/>
          <w:color w:val="17365D"/>
        </w:rPr>
        <w:t>Ratification of appointment of independent auditor for 2021</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17365D"/>
        </w:rPr>
        <w:t>Proposal 4.</w:t>
      </w:r>
      <w:r>
        <w:rPr>
          <w:sz w:val="20"/>
          <w:szCs w:val="20"/>
          <w:color w:val="auto"/>
        </w:rPr>
        <w:tab/>
      </w:r>
      <w:r>
        <w:rPr>
          <w:rFonts w:ascii="Arial" w:cs="Arial" w:eastAsia="Arial" w:hAnsi="Arial"/>
          <w:sz w:val="16"/>
          <w:szCs w:val="16"/>
          <w:b w:val="1"/>
          <w:bCs w:val="1"/>
          <w:color w:val="17365D"/>
        </w:rPr>
        <w:t>Advisory vote on 2020 executive compensation</w:t>
      </w:r>
    </w:p>
    <w:p>
      <w:pPr>
        <w:spacing w:after="0" w:line="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4D4D4F"/>
        </w:rPr>
        <w:t>In addition, any other business properly presented may be acted upon at the Annual Meeting. Each share of Class A common stock is entitled to one vote, and each share of Class B common stock is entitled to twenty votes, for each director position and other proposal.</w:t>
      </w:r>
    </w:p>
    <w:p>
      <w:pPr>
        <w:spacing w:after="0" w:line="9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4D4D4F"/>
        </w:rPr>
        <w:t>In accordance with Securities and Exchange Commission rules, we are providing stockholders with access to proxy materials on the Internet, instead of mailing printed copies. We are mailing to stockholders, commencing on or about April 23, 2021, a Notice of Internet Availability of Proxy Materials to provide:</w:t>
      </w:r>
    </w:p>
    <w:p>
      <w:pPr>
        <w:spacing w:after="0" w:line="47" w:lineRule="exact"/>
        <w:rPr>
          <w:sz w:val="20"/>
          <w:szCs w:val="20"/>
          <w:color w:val="auto"/>
        </w:rPr>
      </w:pPr>
    </w:p>
    <w:p>
      <w:pPr>
        <w:ind w:left="180" w:right="20" w:hanging="172"/>
        <w:spacing w:after="0" w:line="246" w:lineRule="auto"/>
        <w:tabs>
          <w:tab w:leader="none" w:pos="180" w:val="left"/>
        </w:tabs>
        <w:numPr>
          <w:ilvl w:val="0"/>
          <w:numId w:val="4"/>
        </w:numPr>
        <w:rPr>
          <w:rFonts w:ascii="Arial" w:cs="Arial" w:eastAsia="Arial" w:hAnsi="Arial"/>
          <w:sz w:val="16"/>
          <w:szCs w:val="16"/>
          <w:color w:val="4D4D4F"/>
        </w:rPr>
      </w:pPr>
      <w:r>
        <w:rPr>
          <w:rFonts w:ascii="Arial" w:cs="Arial" w:eastAsia="Arial" w:hAnsi="Arial"/>
          <w:sz w:val="16"/>
          <w:szCs w:val="16"/>
          <w:color w:val="4D4D4F"/>
        </w:rPr>
        <w:t>directions for accessing and reviewing the proxy materials on the Internet and submitting a proxy over the Internet or by telephone;</w:t>
      </w:r>
    </w:p>
    <w:p>
      <w:pPr>
        <w:ind w:left="180" w:right="20" w:hanging="172"/>
        <w:spacing w:after="0" w:line="246" w:lineRule="auto"/>
        <w:tabs>
          <w:tab w:leader="none" w:pos="180" w:val="left"/>
        </w:tabs>
        <w:numPr>
          <w:ilvl w:val="0"/>
          <w:numId w:val="4"/>
        </w:numPr>
        <w:rPr>
          <w:rFonts w:ascii="Arial" w:cs="Arial" w:eastAsia="Arial" w:hAnsi="Arial"/>
          <w:sz w:val="16"/>
          <w:szCs w:val="16"/>
          <w:color w:val="4D4D4F"/>
        </w:rPr>
      </w:pPr>
      <w:r>
        <w:rPr>
          <w:rFonts w:ascii="Arial" w:cs="Arial" w:eastAsia="Arial" w:hAnsi="Arial"/>
          <w:sz w:val="16"/>
          <w:szCs w:val="16"/>
          <w:color w:val="4D4D4F"/>
        </w:rPr>
        <w:t>instructions for requesting copies of proxy materials in printed form or by email at no charge; and</w:t>
      </w:r>
    </w:p>
    <w:p>
      <w:pPr>
        <w:ind w:left="180" w:right="20" w:hanging="172"/>
        <w:spacing w:after="0" w:line="260" w:lineRule="auto"/>
        <w:tabs>
          <w:tab w:leader="none" w:pos="180" w:val="left"/>
        </w:tabs>
        <w:numPr>
          <w:ilvl w:val="0"/>
          <w:numId w:val="4"/>
        </w:numPr>
        <w:rPr>
          <w:rFonts w:ascii="Arial" w:cs="Arial" w:eastAsia="Arial" w:hAnsi="Arial"/>
          <w:sz w:val="16"/>
          <w:szCs w:val="16"/>
          <w:color w:val="4D4D4F"/>
        </w:rPr>
      </w:pPr>
      <w:r>
        <w:rPr>
          <w:rFonts w:ascii="Arial" w:cs="Arial" w:eastAsia="Arial" w:hAnsi="Arial"/>
          <w:sz w:val="16"/>
          <w:szCs w:val="16"/>
          <w:color w:val="4D4D4F"/>
        </w:rPr>
        <w:t>a control number for use in submitting proxies and accessing the Annual Meeting webcast.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4D4D4F"/>
        </w:rPr>
        <w:t>By Order of the Board,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860" w:type="dxa"/>
            <w:vAlign w:val="bottom"/>
          </w:tcPr>
          <w:p>
            <w:pPr>
              <w:spacing w:after="0"/>
              <w:rPr>
                <w:sz w:val="20"/>
                <w:szCs w:val="20"/>
                <w:color w:val="auto"/>
              </w:rPr>
            </w:pPr>
            <w:r>
              <w:rPr>
                <w:rFonts w:ascii="Arial" w:cs="Arial" w:eastAsia="Arial" w:hAnsi="Arial"/>
                <w:sz w:val="16"/>
                <w:szCs w:val="16"/>
                <w:color w:val="4D4D4F"/>
              </w:rPr>
              <w:t>Mark McKechnie</w:t>
            </w:r>
          </w:p>
        </w:tc>
        <w:tc>
          <w:tcPr>
            <w:tcW w:w="2540" w:type="dxa"/>
            <w:vAlign w:val="bottom"/>
            <w:vMerge w:val="restart"/>
          </w:tcPr>
          <w:p>
            <w:pPr>
              <w:ind w:left="1540"/>
              <w:spacing w:after="0"/>
              <w:rPr>
                <w:sz w:val="20"/>
                <w:szCs w:val="20"/>
                <w:color w:val="auto"/>
              </w:rPr>
            </w:pPr>
            <w:r>
              <w:rPr>
                <w:rFonts w:ascii="Arial" w:cs="Arial" w:eastAsia="Arial" w:hAnsi="Arial"/>
                <w:sz w:val="16"/>
                <w:szCs w:val="16"/>
                <w:color w:val="4D4D4F"/>
                <w:w w:val="99"/>
              </w:rPr>
              <w:t>April 23, 2021</w:t>
            </w:r>
          </w:p>
        </w:tc>
        <w:tc>
          <w:tcPr>
            <w:tcW w:w="0" w:type="dxa"/>
            <w:vAlign w:val="bottom"/>
          </w:tcPr>
          <w:p>
            <w:pPr>
              <w:spacing w:after="0"/>
              <w:rPr>
                <w:sz w:val="1"/>
                <w:szCs w:val="1"/>
                <w:color w:val="auto"/>
              </w:rPr>
            </w:pPr>
          </w:p>
        </w:tc>
      </w:tr>
      <w:tr>
        <w:trPr>
          <w:trHeight w:val="100"/>
        </w:trPr>
        <w:tc>
          <w:tcPr>
            <w:tcW w:w="2860" w:type="dxa"/>
            <w:vAlign w:val="bottom"/>
            <w:vMerge w:val="restart"/>
          </w:tcPr>
          <w:p>
            <w:pPr>
              <w:spacing w:after="0"/>
              <w:rPr>
                <w:sz w:val="20"/>
                <w:szCs w:val="20"/>
                <w:color w:val="auto"/>
              </w:rPr>
            </w:pPr>
            <w:r>
              <w:rPr>
                <w:rFonts w:ascii="Arial" w:cs="Arial" w:eastAsia="Arial" w:hAnsi="Arial"/>
                <w:sz w:val="16"/>
                <w:szCs w:val="16"/>
                <w:color w:val="4D4D4F"/>
              </w:rPr>
              <w:t>Secretary</w:t>
            </w: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860" w:type="dxa"/>
            <w:vAlign w:val="bottom"/>
            <w:vMerge w:val="continue"/>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003E64"/>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-139065</wp:posOffset>
            </wp:positionV>
            <wp:extent cx="3420110" cy="1106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0110" cy="110617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003E64"/>
        </w:rPr>
        <w:t>7 a.m., Pacific time, on June 2, 2021</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003E64"/>
        </w:rPr>
        <w:t>Where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003E64"/>
        </w:rPr>
        <w:t>Webcast only, access at:</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4D4D4F"/>
        </w:rPr>
        <w:t>virtualshareholdermeeting.com/ACMR2021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70485</wp:posOffset>
            </wp:positionV>
            <wp:extent cx="3420110" cy="1259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0110" cy="1259840"/>
                    </a:xfrm>
                    <a:prstGeom prst="rect">
                      <a:avLst/>
                    </a:prstGeom>
                    <a:noFill/>
                  </pic:spPr>
                </pic:pic>
              </a:graphicData>
            </a:graphic>
          </wp:anchor>
        </w:drawing>
      </w:r>
    </w:p>
    <w:p>
      <w:pPr>
        <w:spacing w:after="0" w:line="3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FFFFFF"/>
        </w:rPr>
        <w:t>IMPORTANT NOTICE REGARDING THE AVAILABILITY OF PROXY MATERIALS FOR THE ANNUAL MEETING OF STOCKHOLDERS TO BE HELD ON JUNE 2, 2021:</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FFFFFF"/>
        </w:rPr>
        <w:t xml:space="preserve">The Notice of 2021 Annual Meeting of Stockholders, the Proxy Statement, the 2020 Annual Report to </w:t>
      </w:r>
      <w:r>
        <w:rPr>
          <w:rFonts w:ascii="Arial" w:cs="Arial" w:eastAsia="Arial" w:hAnsi="Arial"/>
          <w:sz w:val="16"/>
          <w:szCs w:val="16"/>
          <w:b w:val="1"/>
          <w:bCs w:val="1"/>
          <w:color w:val="FFFFFF"/>
          <w:shd w:val="clear" w:color="auto" w:fill="0079C0"/>
        </w:rPr>
        <w:t>Stockholders and instructions for voting via the Internet can be accessed at 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215265</wp:posOffset>
            </wp:positionV>
            <wp:extent cx="3420110" cy="3711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0110" cy="371157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How to Vote in Advance</w:t>
      </w:r>
    </w:p>
    <w:p>
      <w:pPr>
        <w:spacing w:after="0" w:line="2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FFFFFF"/>
        </w:rPr>
        <w:t>Your vote is important. Please vote as soon as possible by one of the methods shown below. Your Notice of Internet Availability of Proxy Materials, proxy card or voting instruction form should be readily available.</w:t>
      </w:r>
    </w:p>
    <w:p>
      <w:pPr>
        <w:sectPr>
          <w:pgSz w:w="11900" w:h="16838" w:orient="portrait"/>
          <w:cols w:equalWidth="0" w:num="2">
            <w:col w:w="5400" w:space="620"/>
            <w:col w:w="5220"/>
          </w:cols>
          <w:pgMar w:left="320" w:top="731" w:right="3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2"/>
          <w:szCs w:val="22"/>
          <w:b w:val="1"/>
          <w:bCs w:val="1"/>
          <w:color w:val="4D4D4F"/>
        </w:rPr>
        <w:drawing>
          <wp:anchor simplePos="0" relativeHeight="251657728" behindDoc="1" locked="0" layoutInCell="0" allowOverlap="1">
            <wp:simplePos x="0" y="0"/>
            <wp:positionH relativeFrom="page">
              <wp:posOffset>208280</wp:posOffset>
            </wp:positionH>
            <wp:positionV relativeFrom="page">
              <wp:posOffset>88900</wp:posOffset>
            </wp:positionV>
            <wp:extent cx="1217295" cy="763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17295" cy="763270"/>
                    </a:xfrm>
                    <a:prstGeom prst="rect">
                      <a:avLst/>
                    </a:prstGeom>
                    <a:noFill/>
                  </pic:spPr>
                </pic:pic>
              </a:graphicData>
            </a:graphic>
          </wp:anchor>
        </w:drawing>
        <w:t>42307 Osgood Rd, Suite I</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4D4D4F"/>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20"/>
        <w:spacing w:after="0"/>
        <w:rPr>
          <w:sz w:val="20"/>
          <w:szCs w:val="20"/>
          <w:color w:val="auto"/>
        </w:rPr>
      </w:pPr>
      <w:r>
        <w:rPr>
          <w:rFonts w:ascii="Arial" w:cs="Arial" w:eastAsia="Arial" w:hAnsi="Arial"/>
          <w:sz w:val="25"/>
          <w:szCs w:val="25"/>
          <w:b w:val="1"/>
          <w:bCs w:val="1"/>
          <w:color w:val="003E64"/>
        </w:rPr>
        <w:t>Proxy Statement dated April 23, 2021</w:t>
      </w:r>
    </w:p>
    <w:p>
      <w:pPr>
        <w:spacing w:after="0" w:line="118" w:lineRule="exact"/>
        <w:rPr>
          <w:sz w:val="20"/>
          <w:szCs w:val="20"/>
          <w:color w:val="auto"/>
        </w:rPr>
      </w:pPr>
    </w:p>
    <w:p>
      <w:pPr>
        <w:ind w:left="3380"/>
        <w:spacing w:after="0"/>
        <w:rPr>
          <w:sz w:val="20"/>
          <w:szCs w:val="20"/>
          <w:color w:val="auto"/>
        </w:rPr>
      </w:pPr>
      <w:r>
        <w:rPr>
          <w:rFonts w:ascii="Arial" w:cs="Arial" w:eastAsia="Arial" w:hAnsi="Arial"/>
          <w:sz w:val="25"/>
          <w:szCs w:val="25"/>
          <w:b w:val="1"/>
          <w:bCs w:val="1"/>
          <w:color w:val="003E64"/>
        </w:rPr>
        <w:t>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4D4D4F"/>
        </w:rPr>
        <w:t>ACM Research, Inc., a Delaware corporation, is furnishing this Proxy Statement and related proxy materials in connection with the solicitation by its board of directors of proxies to be voted at its 2021 Annual Meeting of Stockholders and any adjournments. ACM Research, Inc. is providing these materials to the holders of record of its Class A common stock, $0.0001 par value per share, and Class B common stock, $0.0001 par value per share, as of 5 p.m., Eastern time, on the record date of April 8, 2021 and is first mailing the materials on or about April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The Annual Meeting is scheduled to be held exclusively by webcast as follows:</w:t>
      </w:r>
    </w:p>
    <w:p>
      <w:pPr>
        <w:sectPr>
          <w:pgSz w:w="11900" w:h="16838" w:orient="portrait"/>
          <w:cols w:equalWidth="0" w:num="1">
            <w:col w:w="11240"/>
          </w:cols>
          <w:pgMar w:left="320" w:top="998" w:right="339" w:bottom="1440" w:gutter="0" w:footer="0" w:header="0"/>
        </w:sectPr>
      </w:pPr>
    </w:p>
    <w:p>
      <w:pPr>
        <w:spacing w:after="0" w:line="260"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003E64"/>
        </w:rPr>
        <w:t>Date</w:t>
      </w:r>
    </w:p>
    <w:p>
      <w:pPr>
        <w:spacing w:after="0" w:line="166"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003E64"/>
        </w:rPr>
        <w:t>Time</w:t>
      </w:r>
    </w:p>
    <w:p>
      <w:pPr>
        <w:spacing w:after="0" w:line="166" w:lineRule="exact"/>
        <w:rPr>
          <w:sz w:val="20"/>
          <w:szCs w:val="20"/>
          <w:color w:val="auto"/>
        </w:rPr>
      </w:pPr>
    </w:p>
    <w:p>
      <w:pPr>
        <w:ind w:left="2000"/>
        <w:spacing w:after="0"/>
        <w:rPr>
          <w:sz w:val="20"/>
          <w:szCs w:val="20"/>
          <w:color w:val="auto"/>
        </w:rPr>
      </w:pPr>
      <w:r>
        <w:rPr>
          <w:rFonts w:ascii="Arial" w:cs="Arial" w:eastAsia="Arial" w:hAnsi="Arial"/>
          <w:sz w:val="21"/>
          <w:szCs w:val="21"/>
          <w:b w:val="1"/>
          <w:bCs w:val="1"/>
          <w:color w:val="003E64"/>
        </w:rPr>
        <w:t>Meeting Webcast Address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Wednesday, June 2, 2021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7 a.m., Pacific time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0079C0"/>
        </w:rPr>
        <w:t>virtualshareholdermeeting.com/ACMR2021</w:t>
      </w:r>
    </w:p>
    <w:p>
      <w:pPr>
        <w:spacing w:after="0" w:line="200" w:lineRule="exact"/>
        <w:rPr>
          <w:sz w:val="20"/>
          <w:szCs w:val="20"/>
          <w:color w:val="auto"/>
        </w:rPr>
      </w:pPr>
    </w:p>
    <w:p>
      <w:pPr>
        <w:sectPr>
          <w:pgSz w:w="11900" w:h="16838" w:orient="portrait"/>
          <w:cols w:equalWidth="0" w:num="2">
            <w:col w:w="4700" w:space="640"/>
            <w:col w:w="5900"/>
          </w:cols>
          <w:pgMar w:left="320" w:top="998" w:right="339" w:bottom="1440" w:gutter="0" w:footer="0" w:header="0"/>
          <w:type w:val="continuous"/>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4D4D4F"/>
        </w:rPr>
        <w:t>Your vote is important.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4D4D4F"/>
        </w:rPr>
        <w:t>Please see the detailed information that follows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336"/>
        </w:trPr>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40" w:type="dxa"/>
            <w:vAlign w:val="bottom"/>
            <w:gridSpan w:val="4"/>
          </w:tcPr>
          <w:p>
            <w:pPr>
              <w:ind w:left="20"/>
              <w:spacing w:after="0"/>
              <w:rPr>
                <w:sz w:val="20"/>
                <w:szCs w:val="20"/>
                <w:color w:val="auto"/>
              </w:rPr>
            </w:pPr>
            <w:r>
              <w:rPr>
                <w:rFonts w:ascii="Arial" w:cs="Arial" w:eastAsia="Arial" w:hAnsi="Arial"/>
                <w:sz w:val="25"/>
                <w:szCs w:val="25"/>
                <w:b w:val="1"/>
                <w:bCs w:val="1"/>
                <w:color w:val="003E64"/>
              </w:rPr>
              <w:t>Contents</w:t>
            </w:r>
          </w:p>
        </w:tc>
        <w:tc>
          <w:tcPr>
            <w:tcW w:w="340" w:type="dxa"/>
            <w:vAlign w:val="bottom"/>
          </w:tcPr>
          <w:p>
            <w:pPr>
              <w:spacing w:after="0"/>
              <w:rPr>
                <w:sz w:val="24"/>
                <w:szCs w:val="24"/>
                <w:color w:val="auto"/>
              </w:rPr>
            </w:pPr>
          </w:p>
        </w:tc>
      </w:tr>
      <w:tr>
        <w:trPr>
          <w:trHeight w:val="248"/>
        </w:trPr>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340" w:type="dxa"/>
            <w:vAlign w:val="bottom"/>
            <w:tcBorders>
              <w:bottom w:val="single" w:sz="8" w:color="4D4D4F"/>
            </w:tcBorders>
          </w:tcPr>
          <w:p>
            <w:pPr>
              <w:jc w:val="right"/>
              <w:spacing w:after="0"/>
              <w:rPr>
                <w:sz w:val="20"/>
                <w:szCs w:val="20"/>
                <w:color w:val="auto"/>
              </w:rPr>
            </w:pPr>
            <w:r>
              <w:rPr>
                <w:rFonts w:ascii="Arial" w:cs="Arial" w:eastAsia="Arial" w:hAnsi="Arial"/>
                <w:sz w:val="14"/>
                <w:szCs w:val="14"/>
                <w:b w:val="1"/>
                <w:bCs w:val="1"/>
                <w:color w:val="4D4D4F"/>
                <w:w w:val="95"/>
              </w:rPr>
              <w:t>Page</w:t>
            </w:r>
          </w:p>
        </w:tc>
      </w:tr>
      <w:tr>
        <w:trPr>
          <w:trHeight w:val="196"/>
        </w:trPr>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2021 Proxy Summary</w:t>
              </w:r>
            </w:hyperlink>
          </w:p>
        </w:tc>
        <w:tc>
          <w:tcPr>
            <w:tcW w:w="9160" w:type="dxa"/>
            <w:vAlign w:val="bottom"/>
            <w:gridSpan w:val="3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Questions and Answers About the Annual Meeting</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402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Vote Required for Election or Approval</w:t>
              </w:r>
            </w:hyperlink>
          </w:p>
        </w:tc>
        <w:tc>
          <w:tcPr>
            <w:tcW w:w="6880" w:type="dxa"/>
            <w:vAlign w:val="bottom"/>
            <w:gridSpan w:val="13"/>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18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Corporate Governance</w:t>
              </w:r>
            </w:hyperlink>
          </w:p>
        </w:tc>
        <w:tc>
          <w:tcPr>
            <w:tcW w:w="1220" w:type="dxa"/>
            <w:vAlign w:val="bottom"/>
            <w:tcBorders>
              <w:top w:val="single" w:sz="8" w:color="0000EE"/>
            </w:tcBorders>
            <w:gridSpan w:val="14"/>
          </w:tcPr>
          <w:p>
            <w:pPr>
              <w:spacing w:after="0"/>
              <w:rPr>
                <w:sz w:val="15"/>
                <w:szCs w:val="15"/>
                <w:color w:val="auto"/>
              </w:rPr>
            </w:pPr>
          </w:p>
        </w:tc>
        <w:tc>
          <w:tcPr>
            <w:tcW w:w="7840" w:type="dxa"/>
            <w:vAlign w:val="bottom"/>
            <w:gridSpan w:val="21"/>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160" w:type="dxa"/>
            <w:vAlign w:val="bottom"/>
          </w:tcPr>
          <w:p>
            <w:pPr>
              <w:spacing w:after="0"/>
              <w:rPr>
                <w:sz w:val="15"/>
                <w:szCs w:val="15"/>
                <w:color w:val="auto"/>
              </w:rPr>
            </w:pPr>
          </w:p>
        </w:tc>
        <w:tc>
          <w:tcPr>
            <w:tcW w:w="2260" w:type="dxa"/>
            <w:vAlign w:val="bottom"/>
            <w:tcBorders>
              <w:bottom w:val="single" w:sz="8" w:color="0000EE"/>
            </w:tcBorders>
            <w:gridSpan w:val="14"/>
          </w:tcPr>
          <w:p>
            <w:pPr>
              <w:ind w:left="20"/>
              <w:spacing w:after="0" w:line="182"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Board of Directors Overview</w:t>
              </w:r>
            </w:hyperlink>
          </w:p>
        </w:tc>
        <w:tc>
          <w:tcPr>
            <w:tcW w:w="8480" w:type="dxa"/>
            <w:vAlign w:val="bottom"/>
            <w:gridSpan w:val="28"/>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Independence of Directors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160" w:type="dxa"/>
            <w:vAlign w:val="bottom"/>
            <w:tcBorders>
              <w:bottom w:val="single" w:sz="8" w:color="0000EE"/>
            </w:tcBorders>
            <w:gridSpan w:val="12"/>
          </w:tcPr>
          <w:p>
            <w:pPr>
              <w:ind w:left="20"/>
              <w:spacing w:after="0" w:line="182"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Director Nomination Rights</w:t>
              </w:r>
            </w:hyperlink>
          </w:p>
        </w:tc>
        <w:tc>
          <w:tcPr>
            <w:tcW w:w="8580" w:type="dxa"/>
            <w:vAlign w:val="bottom"/>
            <w:gridSpan w:val="30"/>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Code of Business Conduct</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Employee, Officer and Director Hedging</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16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10"/>
          </w:tcPr>
          <w:p>
            <w:pPr>
              <w:ind w:left="20"/>
              <w:spacing w:after="0" w:line="182"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Board Oversight of Risk</w:t>
              </w:r>
            </w:hyperlink>
          </w:p>
        </w:tc>
        <w:tc>
          <w:tcPr>
            <w:tcW w:w="1260" w:type="dxa"/>
            <w:vAlign w:val="bottom"/>
            <w:tcBorders>
              <w:top w:val="single" w:sz="8" w:color="0000EE"/>
            </w:tcBorders>
            <w:gridSpan w:val="15"/>
          </w:tcPr>
          <w:p>
            <w:pPr>
              <w:spacing w:after="0"/>
              <w:rPr>
                <w:sz w:val="15"/>
                <w:szCs w:val="15"/>
                <w:color w:val="auto"/>
              </w:rPr>
            </w:pPr>
          </w:p>
        </w:tc>
        <w:tc>
          <w:tcPr>
            <w:tcW w:w="7560" w:type="dxa"/>
            <w:vAlign w:val="bottom"/>
            <w:gridSpan w:val="17"/>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160" w:type="dxa"/>
            <w:vAlign w:val="bottom"/>
          </w:tcPr>
          <w:p>
            <w:pPr>
              <w:spacing w:after="0"/>
              <w:rPr>
                <w:sz w:val="15"/>
                <w:szCs w:val="15"/>
                <w:color w:val="auto"/>
              </w:rPr>
            </w:pPr>
          </w:p>
        </w:tc>
        <w:tc>
          <w:tcPr>
            <w:tcW w:w="2220" w:type="dxa"/>
            <w:vAlign w:val="bottom"/>
            <w:tcBorders>
              <w:bottom w:val="single" w:sz="8" w:color="0000EE"/>
            </w:tcBorders>
            <w:gridSpan w:val="13"/>
          </w:tcPr>
          <w:p>
            <w:pPr>
              <w:ind w:left="20"/>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Board Leadership Structure</w:t>
              </w:r>
            </w:hyperlink>
          </w:p>
        </w:tc>
        <w:tc>
          <w:tcPr>
            <w:tcW w:w="8520" w:type="dxa"/>
            <w:vAlign w:val="bottom"/>
            <w:gridSpan w:val="29"/>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160" w:type="dxa"/>
            <w:vAlign w:val="bottom"/>
          </w:tcPr>
          <w:p>
            <w:pPr>
              <w:spacing w:after="0"/>
              <w:rPr>
                <w:sz w:val="15"/>
                <w:szCs w:val="15"/>
                <w:color w:val="auto"/>
              </w:rPr>
            </w:pPr>
          </w:p>
        </w:tc>
        <w:tc>
          <w:tcPr>
            <w:tcW w:w="1340" w:type="dxa"/>
            <w:vAlign w:val="bottom"/>
            <w:tcBorders>
              <w:bottom w:val="single" w:sz="8" w:color="0000EE"/>
            </w:tcBorders>
            <w:gridSpan w:val="4"/>
          </w:tcPr>
          <w:p>
            <w:pPr>
              <w:ind w:left="20"/>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Audit Committee</w:t>
              </w:r>
            </w:hyperlink>
          </w:p>
        </w:tc>
        <w:tc>
          <w:tcPr>
            <w:tcW w:w="9400" w:type="dxa"/>
            <w:vAlign w:val="bottom"/>
            <w:gridSpan w:val="38"/>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Nominating and Governance Committee</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16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11"/>
          </w:tcPr>
          <w:p>
            <w:pPr>
              <w:ind w:left="20"/>
              <w:spacing w:after="0" w:line="182"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Compensation Committee</w:t>
              </w:r>
            </w:hyperlink>
          </w:p>
        </w:tc>
        <w:tc>
          <w:tcPr>
            <w:tcW w:w="1100" w:type="dxa"/>
            <w:vAlign w:val="bottom"/>
            <w:tcBorders>
              <w:top w:val="single" w:sz="8" w:color="0000EE"/>
            </w:tcBorders>
            <w:gridSpan w:val="15"/>
          </w:tcPr>
          <w:p>
            <w:pPr>
              <w:spacing w:after="0"/>
              <w:rPr>
                <w:sz w:val="15"/>
                <w:szCs w:val="15"/>
                <w:color w:val="auto"/>
              </w:rPr>
            </w:pPr>
          </w:p>
        </w:tc>
        <w:tc>
          <w:tcPr>
            <w:tcW w:w="7520" w:type="dxa"/>
            <w:vAlign w:val="bottom"/>
            <w:gridSpan w:val="16"/>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160" w:type="dxa"/>
            <w:vAlign w:val="bottom"/>
          </w:tcPr>
          <w:p>
            <w:pPr>
              <w:spacing w:after="0"/>
              <w:rPr>
                <w:sz w:val="15"/>
                <w:szCs w:val="15"/>
                <w:color w:val="auto"/>
              </w:rPr>
            </w:pPr>
          </w:p>
        </w:tc>
        <w:tc>
          <w:tcPr>
            <w:tcW w:w="4900" w:type="dxa"/>
            <w:vAlign w:val="bottom"/>
            <w:tcBorders>
              <w:bottom w:val="single" w:sz="8" w:color="0000EE"/>
            </w:tcBorders>
            <w:gridSpan w:val="38"/>
          </w:tcPr>
          <w:p>
            <w:pPr>
              <w:ind w:left="20"/>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Compensation Committee Interlocks and Insider Participation</w:t>
              </w:r>
            </w:hyperlink>
          </w:p>
        </w:tc>
        <w:tc>
          <w:tcPr>
            <w:tcW w:w="5840" w:type="dxa"/>
            <w:vAlign w:val="bottom"/>
            <w:gridSpan w:val="4"/>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Certain Relationships and Related-Person Transactions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2"/>
        </w:trPr>
        <w:tc>
          <w:tcPr>
            <w:tcW w:w="444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Director Compensation</w:t>
              </w:r>
            </w:hyperlink>
          </w:p>
        </w:tc>
        <w:tc>
          <w:tcPr>
            <w:tcW w:w="6460" w:type="dxa"/>
            <w:vAlign w:val="bottom"/>
            <w:gridSpan w:val="9"/>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25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Proposal 1. Election of Directors</w:t>
              </w:r>
            </w:hyperlink>
          </w:p>
        </w:tc>
        <w:tc>
          <w:tcPr>
            <w:tcW w:w="8320" w:type="dxa"/>
            <w:vAlign w:val="bottom"/>
            <w:gridSpan w:val="26"/>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160" w:type="dxa"/>
            <w:vAlign w:val="bottom"/>
          </w:tcPr>
          <w:p>
            <w:pPr>
              <w:spacing w:after="0"/>
              <w:rPr>
                <w:sz w:val="15"/>
                <w:szCs w:val="15"/>
                <w:color w:val="auto"/>
              </w:rPr>
            </w:pPr>
          </w:p>
        </w:tc>
        <w:tc>
          <w:tcPr>
            <w:tcW w:w="1780" w:type="dxa"/>
            <w:vAlign w:val="bottom"/>
            <w:tcBorders>
              <w:bottom w:val="single" w:sz="8" w:color="0000EE"/>
            </w:tcBorders>
            <w:gridSpan w:val="8"/>
          </w:tcPr>
          <w:p>
            <w:pPr>
              <w:ind w:left="20"/>
              <w:spacing w:after="0" w:line="182"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Director Qualifications</w:t>
              </w:r>
            </w:hyperlink>
          </w:p>
        </w:tc>
        <w:tc>
          <w:tcPr>
            <w:tcW w:w="8960" w:type="dxa"/>
            <w:vAlign w:val="bottom"/>
            <w:gridSpan w:val="34"/>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Identifying and Evaluating Nominees for Directors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Information Concerning Nominees for Election as Directors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318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Beneficial Ownership of Common Stock</w:t>
              </w:r>
            </w:hyperlink>
          </w:p>
        </w:tc>
        <w:tc>
          <w:tcPr>
            <w:tcW w:w="7720" w:type="dxa"/>
            <w:vAlign w:val="bottom"/>
            <w:gridSpan w:val="19"/>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Delinquent Section 16(a) Reports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14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Executive Officers</w:t>
              </w:r>
            </w:hyperlink>
          </w:p>
        </w:tc>
        <w:tc>
          <w:tcPr>
            <w:tcW w:w="1200" w:type="dxa"/>
            <w:vAlign w:val="bottom"/>
            <w:tcBorders>
              <w:top w:val="single" w:sz="8" w:color="0000EE"/>
            </w:tcBorders>
            <w:gridSpan w:val="16"/>
          </w:tcPr>
          <w:p>
            <w:pPr>
              <w:spacing w:after="0"/>
              <w:rPr>
                <w:sz w:val="15"/>
                <w:szCs w:val="15"/>
                <w:color w:val="auto"/>
              </w:rPr>
            </w:pPr>
          </w:p>
        </w:tc>
        <w:tc>
          <w:tcPr>
            <w:tcW w:w="8240" w:type="dxa"/>
            <w:vAlign w:val="bottom"/>
            <w:gridSpan w:val="23"/>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20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Executive Compensation</w:t>
              </w:r>
            </w:hyperlink>
          </w:p>
        </w:tc>
        <w:tc>
          <w:tcPr>
            <w:tcW w:w="8900" w:type="dxa"/>
            <w:vAlign w:val="bottom"/>
            <w:gridSpan w:val="33"/>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160" w:type="dxa"/>
            <w:vAlign w:val="bottom"/>
          </w:tcPr>
          <w:p>
            <w:pPr>
              <w:spacing w:after="0"/>
              <w:rPr>
                <w:sz w:val="15"/>
                <w:szCs w:val="15"/>
                <w:color w:val="auto"/>
              </w:rPr>
            </w:pPr>
          </w:p>
        </w:tc>
        <w:tc>
          <w:tcPr>
            <w:tcW w:w="2480" w:type="dxa"/>
            <w:vAlign w:val="bottom"/>
            <w:tcBorders>
              <w:bottom w:val="single" w:sz="8" w:color="0000EE"/>
            </w:tcBorders>
            <w:gridSpan w:val="18"/>
          </w:tcPr>
          <w:p>
            <w:pPr>
              <w:ind w:left="20"/>
              <w:spacing w:after="0" w:line="182"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Summary Compensation Table</w:t>
              </w:r>
            </w:hyperlink>
          </w:p>
        </w:tc>
        <w:tc>
          <w:tcPr>
            <w:tcW w:w="8260" w:type="dxa"/>
            <w:vAlign w:val="bottom"/>
            <w:gridSpan w:val="24"/>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Narrative Explanation of the Summary Compensation Table</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160" w:type="dxa"/>
            <w:vAlign w:val="bottom"/>
          </w:tcPr>
          <w:p>
            <w:pPr>
              <w:spacing w:after="0"/>
              <w:rPr>
                <w:sz w:val="15"/>
                <w:szCs w:val="15"/>
                <w:color w:val="auto"/>
              </w:rPr>
            </w:pPr>
          </w:p>
        </w:tc>
        <w:tc>
          <w:tcPr>
            <w:tcW w:w="2380" w:type="dxa"/>
            <w:vAlign w:val="bottom"/>
            <w:tcBorders>
              <w:top w:val="single" w:sz="8" w:color="0000EE"/>
              <w:bottom w:val="single" w:sz="8" w:color="0000EE"/>
            </w:tcBorders>
            <w:gridSpan w:val="15"/>
          </w:tcPr>
          <w:p>
            <w:pPr>
              <w:ind w:left="20"/>
              <w:spacing w:after="0" w:line="182" w:lineRule="exact"/>
              <w:rPr>
                <w:rFonts w:ascii="Arial" w:cs="Arial" w:eastAsia="Arial" w:hAnsi="Arial"/>
                <w:sz w:val="18"/>
                <w:szCs w:val="18"/>
                <w:color w:val="0000EE"/>
                <w:w w:val="98"/>
              </w:rPr>
            </w:pPr>
            <w:hyperlink w:anchor="page39">
              <w:r>
                <w:rPr>
                  <w:rFonts w:ascii="Arial" w:cs="Arial" w:eastAsia="Arial" w:hAnsi="Arial"/>
                  <w:sz w:val="18"/>
                  <w:szCs w:val="18"/>
                  <w:color w:val="0000EE"/>
                  <w:w w:val="98"/>
                </w:rPr>
                <w:t>Grants of Plan-Based Awards</w:t>
              </w:r>
            </w:hyperlink>
          </w:p>
        </w:tc>
        <w:tc>
          <w:tcPr>
            <w:tcW w:w="2360" w:type="dxa"/>
            <w:vAlign w:val="bottom"/>
            <w:tcBorders>
              <w:top w:val="single" w:sz="8" w:color="0000EE"/>
            </w:tcBorders>
            <w:gridSpan w:val="21"/>
          </w:tcPr>
          <w:p>
            <w:pPr>
              <w:spacing w:after="0"/>
              <w:rPr>
                <w:sz w:val="15"/>
                <w:szCs w:val="15"/>
                <w:color w:val="auto"/>
              </w:rPr>
            </w:pPr>
          </w:p>
        </w:tc>
        <w:tc>
          <w:tcPr>
            <w:tcW w:w="6000" w:type="dxa"/>
            <w:vAlign w:val="bottom"/>
            <w:gridSpan w:val="6"/>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Outstanding Equity Awards at December 31, 2020</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16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28"/>
          </w:tcPr>
          <w:p>
            <w:pPr>
              <w:ind w:left="20"/>
              <w:spacing w:after="0" w:line="182"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2020 Equity Award Exercises and Stock Vested</w:t>
              </w:r>
            </w:hyperlink>
          </w:p>
        </w:tc>
        <w:tc>
          <w:tcPr>
            <w:tcW w:w="200" w:type="dxa"/>
            <w:vAlign w:val="bottom"/>
            <w:tcBorders>
              <w:top w:val="single" w:sz="8" w:color="0000EE"/>
            </w:tcBorders>
            <w:gridSpan w:val="3"/>
          </w:tcPr>
          <w:p>
            <w:pPr>
              <w:spacing w:after="0"/>
              <w:rPr>
                <w:sz w:val="15"/>
                <w:szCs w:val="15"/>
                <w:color w:val="auto"/>
              </w:rPr>
            </w:pPr>
          </w:p>
        </w:tc>
        <w:tc>
          <w:tcPr>
            <w:tcW w:w="6740" w:type="dxa"/>
            <w:vAlign w:val="bottom"/>
            <w:gridSpan w:val="11"/>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Equity Compensation Plan Information</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160" w:type="dxa"/>
            <w:vAlign w:val="bottom"/>
          </w:tcPr>
          <w:p>
            <w:pPr>
              <w:spacing w:after="0"/>
              <w:rPr>
                <w:sz w:val="15"/>
                <w:szCs w:val="15"/>
                <w:color w:val="auto"/>
              </w:rPr>
            </w:pPr>
          </w:p>
        </w:tc>
        <w:tc>
          <w:tcPr>
            <w:tcW w:w="124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8"/>
              </w:rPr>
            </w:pPr>
            <w:hyperlink w:anchor="page43">
              <w:r>
                <w:rPr>
                  <w:rFonts w:ascii="Arial" w:cs="Arial" w:eastAsia="Arial" w:hAnsi="Arial"/>
                  <w:sz w:val="18"/>
                  <w:szCs w:val="18"/>
                  <w:color w:val="0000EE"/>
                  <w:w w:val="98"/>
                </w:rPr>
                <w:t>CEO Pay Ratio</w:t>
              </w:r>
            </w:hyperlink>
          </w:p>
        </w:tc>
        <w:tc>
          <w:tcPr>
            <w:tcW w:w="1840" w:type="dxa"/>
            <w:vAlign w:val="bottom"/>
            <w:tcBorders>
              <w:top w:val="single" w:sz="8" w:color="0000EE"/>
            </w:tcBorders>
            <w:gridSpan w:val="22"/>
          </w:tcPr>
          <w:p>
            <w:pPr>
              <w:spacing w:after="0"/>
              <w:rPr>
                <w:sz w:val="15"/>
                <w:szCs w:val="15"/>
                <w:color w:val="auto"/>
              </w:rPr>
            </w:pPr>
          </w:p>
        </w:tc>
        <w:tc>
          <w:tcPr>
            <w:tcW w:w="7660" w:type="dxa"/>
            <w:vAlign w:val="bottom"/>
            <w:gridSpan w:val="18"/>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316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Compensation Discussion and Analysis</w:t>
              </w:r>
            </w:hyperlink>
          </w:p>
        </w:tc>
        <w:tc>
          <w:tcPr>
            <w:tcW w:w="7740" w:type="dxa"/>
            <w:vAlign w:val="bottom"/>
            <w:gridSpan w:val="20"/>
          </w:tcPr>
          <w:p>
            <w:pPr>
              <w:spacing w:after="0"/>
              <w:rPr>
                <w:sz w:val="15"/>
                <w:szCs w:val="15"/>
                <w:color w:val="auto"/>
              </w:rPr>
            </w:pP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rPr>
              <w:t>38</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Proposal 2. Amendments to Certificate of Incorporation</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60" w:type="dxa"/>
            <w:vAlign w:val="bottom"/>
            <w:gridSpan w:val="1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5700" w:type="dxa"/>
            <w:vAlign w:val="bottom"/>
            <w:tcBorders>
              <w:bottom w:val="single" w:sz="8" w:color="0000EE"/>
            </w:tcBorders>
            <w:gridSpan w:val="41"/>
          </w:tcPr>
          <w:p>
            <w:pPr>
              <w:spacing w:after="0" w:line="18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Proposal 3. Ratification of Appointment of Independent Auditor for 2021</w:t>
              </w:r>
            </w:hyperlink>
          </w:p>
        </w:tc>
        <w:tc>
          <w:tcPr>
            <w:tcW w:w="5200" w:type="dxa"/>
            <w:vAlign w:val="bottom"/>
            <w:gridSpan w:val="2"/>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Accounting Matters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0"/>
        </w:trPr>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10740" w:type="dxa"/>
            <w:vAlign w:val="bottom"/>
            <w:gridSpan w:val="42"/>
          </w:tcPr>
          <w:p>
            <w:pPr>
              <w:ind w:left="20"/>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Principal Independent Auditor Fees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00" w:type="dxa"/>
            <w:vAlign w:val="bottom"/>
            <w:gridSpan w:val="16"/>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4440" w:type="dxa"/>
            <w:vAlign w:val="bottom"/>
            <w:tcBorders>
              <w:bottom w:val="single" w:sz="8" w:color="0000EE"/>
            </w:tcBorders>
            <w:gridSpan w:val="34"/>
          </w:tcPr>
          <w:p>
            <w:pPr>
              <w:ind w:left="20"/>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Audit Committee Pre-Approval Policies and Procedures</w:t>
              </w:r>
            </w:hyperlink>
          </w:p>
        </w:tc>
        <w:tc>
          <w:tcPr>
            <w:tcW w:w="6300" w:type="dxa"/>
            <w:vAlign w:val="bottom"/>
            <w:gridSpan w:val="8"/>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160" w:type="dxa"/>
            <w:vAlign w:val="bottom"/>
          </w:tcPr>
          <w:p>
            <w:pPr>
              <w:spacing w:after="0"/>
              <w:rPr>
                <w:sz w:val="15"/>
                <w:szCs w:val="15"/>
                <w:color w:val="auto"/>
              </w:rPr>
            </w:pPr>
          </w:p>
        </w:tc>
        <w:tc>
          <w:tcPr>
            <w:tcW w:w="2440" w:type="dxa"/>
            <w:vAlign w:val="bottom"/>
            <w:tcBorders>
              <w:bottom w:val="single" w:sz="8" w:color="0000EE"/>
            </w:tcBorders>
            <w:gridSpan w:val="17"/>
          </w:tcPr>
          <w:p>
            <w:pPr>
              <w:ind w:left="20"/>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Report of the Audit Committee</w:t>
              </w:r>
            </w:hyperlink>
          </w:p>
        </w:tc>
        <w:tc>
          <w:tcPr>
            <w:tcW w:w="8300" w:type="dxa"/>
            <w:vAlign w:val="bottom"/>
            <w:gridSpan w:val="25"/>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Proposal 4. Advisory Vote on 2020 Executive Compensation</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183"/>
        </w:trPr>
        <w:tc>
          <w:tcPr>
            <w:tcW w:w="3820" w:type="dxa"/>
            <w:vAlign w:val="bottom"/>
            <w:tcBorders>
              <w:top w:val="single" w:sz="8" w:color="0000EE"/>
              <w:bottom w:val="single" w:sz="8" w:color="0000EE"/>
            </w:tcBorders>
            <w:gridSpan w:val="28"/>
          </w:tcPr>
          <w:p>
            <w:pPr>
              <w:spacing w:after="0" w:line="182"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Stockholder Proposals for 2022 Annual Meeting</w:t>
              </w:r>
            </w:hyperlink>
          </w:p>
        </w:tc>
        <w:tc>
          <w:tcPr>
            <w:tcW w:w="1040" w:type="dxa"/>
            <w:vAlign w:val="bottom"/>
            <w:tcBorders>
              <w:top w:val="single" w:sz="8" w:color="0000EE"/>
            </w:tcBorders>
            <w:gridSpan w:val="8"/>
          </w:tcPr>
          <w:p>
            <w:pPr>
              <w:spacing w:after="0"/>
              <w:rPr>
                <w:sz w:val="15"/>
                <w:szCs w:val="15"/>
                <w:color w:val="auto"/>
              </w:rPr>
            </w:pPr>
          </w:p>
        </w:tc>
        <w:tc>
          <w:tcPr>
            <w:tcW w:w="6040" w:type="dxa"/>
            <w:vAlign w:val="bottom"/>
            <w:gridSpan w:val="7"/>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5020" w:type="dxa"/>
            <w:vAlign w:val="bottom"/>
            <w:tcBorders>
              <w:bottom w:val="single" w:sz="8" w:color="0000EE"/>
            </w:tcBorders>
            <w:gridSpan w:val="38"/>
          </w:tcPr>
          <w:p>
            <w:pPr>
              <w:spacing w:after="0" w:line="182"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Delivery of Documents to Security Holders Sharing an Address</w:t>
              </w:r>
            </w:hyperlink>
          </w:p>
        </w:tc>
        <w:tc>
          <w:tcPr>
            <w:tcW w:w="5880" w:type="dxa"/>
            <w:vAlign w:val="bottom"/>
            <w:gridSpan w:val="5"/>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10900" w:type="dxa"/>
            <w:vAlign w:val="bottom"/>
            <w:gridSpan w:val="43"/>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Other Matters</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1100" w:type="dxa"/>
            <w:vAlign w:val="bottom"/>
            <w:tcBorders>
              <w:top w:val="single" w:sz="8" w:color="0000EE"/>
            </w:tcBorders>
            <w:gridSpan w:val="2"/>
          </w:tcPr>
          <w:p>
            <w:pPr>
              <w:spacing w:after="0" w:line="182" w:lineRule="exact"/>
              <w:rPr>
                <w:rFonts w:ascii="Arial" w:cs="Arial" w:eastAsia="Arial" w:hAnsi="Arial"/>
                <w:sz w:val="18"/>
                <w:szCs w:val="18"/>
                <w:i w:val="1"/>
                <w:iCs w:val="1"/>
                <w:color w:val="0000EE"/>
              </w:rPr>
            </w:pPr>
            <w:hyperlink w:anchor="page59">
              <w:r>
                <w:rPr>
                  <w:rFonts w:ascii="Arial" w:cs="Arial" w:eastAsia="Arial" w:hAnsi="Arial"/>
                  <w:sz w:val="18"/>
                  <w:szCs w:val="18"/>
                  <w:i w:val="1"/>
                  <w:iCs w:val="1"/>
                  <w:color w:val="0000EE"/>
                </w:rPr>
                <w:t>Appendix A.</w:t>
              </w:r>
            </w:hyperlink>
          </w:p>
        </w:tc>
        <w:tc>
          <w:tcPr>
            <w:tcW w:w="9800" w:type="dxa"/>
            <w:vAlign w:val="bottom"/>
            <w:gridSpan w:val="41"/>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Proposed Amendments to Restated Certificate of Incorporation</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r>
      <w:tr>
        <w:trPr>
          <w:trHeight w:val="183"/>
        </w:trPr>
        <w:tc>
          <w:tcPr>
            <w:tcW w:w="6040" w:type="dxa"/>
            <w:vAlign w:val="bottom"/>
            <w:tcBorders>
              <w:top w:val="single" w:sz="8" w:color="0000EE"/>
            </w:tcBorders>
            <w:gridSpan w:val="42"/>
          </w:tcPr>
          <w:p>
            <w:pPr>
              <w:spacing w:after="0" w:line="182" w:lineRule="exact"/>
              <w:rPr>
                <w:rFonts w:ascii="Arial" w:cs="Arial" w:eastAsia="Arial" w:hAnsi="Arial"/>
                <w:sz w:val="18"/>
                <w:szCs w:val="18"/>
                <w:i w:val="1"/>
                <w:iCs w:val="1"/>
                <w:color w:val="0000EE"/>
              </w:rPr>
            </w:pPr>
            <w:hyperlink w:anchor="page61">
              <w:r>
                <w:rPr>
                  <w:rFonts w:ascii="Arial" w:cs="Arial" w:eastAsia="Arial" w:hAnsi="Arial"/>
                  <w:sz w:val="18"/>
                  <w:szCs w:val="18"/>
                  <w:i w:val="1"/>
                  <w:iCs w:val="1"/>
                  <w:color w:val="0000EE"/>
                </w:rPr>
                <w:t xml:space="preserve">Appendix B. </w:t>
              </w:r>
              <w:r>
                <w:rPr>
                  <w:rFonts w:ascii="Arial" w:cs="Arial" w:eastAsia="Arial" w:hAnsi="Arial"/>
                  <w:sz w:val="18"/>
                  <w:szCs w:val="18"/>
                  <w:color w:val="0000EE"/>
                </w:rPr>
                <w:t>Rules of Conduct and Procedure for 2021 Annual Meeting</w:t>
              </w:r>
            </w:hyperlink>
          </w:p>
        </w:tc>
        <w:tc>
          <w:tcPr>
            <w:tcW w:w="486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r>
      <w:tr>
        <w:trPr>
          <w:trHeight w:val="433"/>
        </w:trPr>
        <w:tc>
          <w:tcPr>
            <w:tcW w:w="16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9"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124460</wp:posOffset>
            </wp:positionV>
            <wp:extent cx="7187565" cy="6030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7565" cy="6030595"/>
                    </a:xfrm>
                    <a:prstGeom prst="rect">
                      <a:avLst/>
                    </a:prstGeom>
                    <a:noFill/>
                  </pic:spPr>
                </pic:pic>
              </a:graphicData>
            </a:graphic>
          </wp:anchor>
        </w:drawing>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003E64"/>
        </w:rPr>
        <w:t>2021 Proxy Summary</w:t>
      </w:r>
    </w:p>
    <w:p>
      <w:pPr>
        <w:spacing w:after="0" w:line="291"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4D4D4F"/>
        </w:rPr>
        <w:t>This summary highlights information contained elsewhere in this Proxy Statement. This summary does not contain all of the information that you should consider, and you should read the entire Proxy Statement carefully before voting. References in this Proxy Statement to “ACM,” “ACM Research” and to “we,” “us,” “our” and similar terms refer to ACM Research, Inc.</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rPr>
        <w:t>Annual Meeting of Stockholders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2620" w:type="dxa"/>
            <w:vAlign w:val="bottom"/>
          </w:tcPr>
          <w:p>
            <w:pPr>
              <w:spacing w:after="0"/>
              <w:rPr>
                <w:sz w:val="20"/>
                <w:szCs w:val="20"/>
                <w:color w:val="auto"/>
              </w:rPr>
            </w:pPr>
            <w:r>
              <w:rPr>
                <w:rFonts w:ascii="Arial" w:cs="Arial" w:eastAsia="Arial" w:hAnsi="Arial"/>
                <w:sz w:val="18"/>
                <w:szCs w:val="18"/>
                <w:color w:val="4D4D4F"/>
              </w:rPr>
              <w:t>Time and Date</w:t>
            </w:r>
          </w:p>
        </w:tc>
        <w:tc>
          <w:tcPr>
            <w:tcW w:w="5800" w:type="dxa"/>
            <w:vAlign w:val="bottom"/>
          </w:tcPr>
          <w:p>
            <w:pPr>
              <w:ind w:left="160"/>
              <w:spacing w:after="0"/>
              <w:rPr>
                <w:sz w:val="20"/>
                <w:szCs w:val="20"/>
                <w:color w:val="auto"/>
              </w:rPr>
            </w:pPr>
            <w:r>
              <w:rPr>
                <w:rFonts w:ascii="Arial" w:cs="Arial" w:eastAsia="Arial" w:hAnsi="Arial"/>
                <w:sz w:val="18"/>
                <w:szCs w:val="18"/>
                <w:color w:val="4D4D4F"/>
              </w:rPr>
              <w:t>7 a.m., Pacific time, on June 2, 2021</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620" w:type="dxa"/>
            <w:vAlign w:val="bottom"/>
          </w:tcPr>
          <w:p>
            <w:pPr>
              <w:spacing w:after="0"/>
              <w:rPr>
                <w:sz w:val="20"/>
                <w:szCs w:val="20"/>
                <w:color w:val="auto"/>
              </w:rPr>
            </w:pPr>
            <w:r>
              <w:rPr>
                <w:rFonts w:ascii="Arial" w:cs="Arial" w:eastAsia="Arial" w:hAnsi="Arial"/>
                <w:sz w:val="18"/>
                <w:szCs w:val="18"/>
                <w:color w:val="4D4D4F"/>
              </w:rPr>
              <w:t>Meeting Webcast Address</w:t>
            </w:r>
          </w:p>
        </w:tc>
        <w:tc>
          <w:tcPr>
            <w:tcW w:w="5800" w:type="dxa"/>
            <w:vAlign w:val="bottom"/>
          </w:tcPr>
          <w:p>
            <w:pPr>
              <w:ind w:left="160"/>
              <w:spacing w:after="0"/>
              <w:rPr>
                <w:sz w:val="20"/>
                <w:szCs w:val="20"/>
                <w:color w:val="auto"/>
              </w:rPr>
            </w:pPr>
            <w:r>
              <w:rPr>
                <w:rFonts w:ascii="Arial" w:cs="Arial" w:eastAsia="Arial" w:hAnsi="Arial"/>
                <w:sz w:val="18"/>
                <w:szCs w:val="18"/>
                <w:i w:val="1"/>
                <w:iCs w:val="1"/>
                <w:color w:val="4D4D4F"/>
              </w:rPr>
              <w:t>virtualshareholdermeeting.com/ACMR2021</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20" w:type="dxa"/>
            <w:vAlign w:val="bottom"/>
          </w:tcPr>
          <w:p>
            <w:pPr>
              <w:spacing w:after="0"/>
              <w:rPr>
                <w:sz w:val="20"/>
                <w:szCs w:val="20"/>
                <w:color w:val="auto"/>
              </w:rPr>
            </w:pPr>
            <w:r>
              <w:rPr>
                <w:rFonts w:ascii="Arial" w:cs="Arial" w:eastAsia="Arial" w:hAnsi="Arial"/>
                <w:sz w:val="18"/>
                <w:szCs w:val="18"/>
                <w:color w:val="4D4D4F"/>
              </w:rPr>
              <w:t>Record Date</w:t>
            </w:r>
          </w:p>
        </w:tc>
        <w:tc>
          <w:tcPr>
            <w:tcW w:w="5800" w:type="dxa"/>
            <w:vAlign w:val="bottom"/>
          </w:tcPr>
          <w:p>
            <w:pPr>
              <w:ind w:left="160"/>
              <w:spacing w:after="0"/>
              <w:rPr>
                <w:sz w:val="20"/>
                <w:szCs w:val="20"/>
                <w:color w:val="auto"/>
              </w:rPr>
            </w:pPr>
            <w:r>
              <w:rPr>
                <w:rFonts w:ascii="Arial" w:cs="Arial" w:eastAsia="Arial" w:hAnsi="Arial"/>
                <w:sz w:val="18"/>
                <w:szCs w:val="18"/>
                <w:color w:val="4D4D4F"/>
              </w:rPr>
              <w:t>5 p.m., Eastern time, on April 8, 2021</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20" w:type="dxa"/>
            <w:vAlign w:val="bottom"/>
          </w:tcPr>
          <w:p>
            <w:pPr>
              <w:spacing w:after="0"/>
              <w:rPr>
                <w:sz w:val="20"/>
                <w:szCs w:val="20"/>
                <w:color w:val="auto"/>
              </w:rPr>
            </w:pPr>
            <w:r>
              <w:rPr>
                <w:rFonts w:ascii="Arial" w:cs="Arial" w:eastAsia="Arial" w:hAnsi="Arial"/>
                <w:sz w:val="18"/>
                <w:szCs w:val="18"/>
                <w:color w:val="4D4D4F"/>
              </w:rPr>
              <w:t>Voting</w:t>
            </w:r>
          </w:p>
        </w:tc>
        <w:tc>
          <w:tcPr>
            <w:tcW w:w="8480" w:type="dxa"/>
            <w:vAlign w:val="bottom"/>
            <w:gridSpan w:val="2"/>
          </w:tcPr>
          <w:p>
            <w:pPr>
              <w:ind w:left="160"/>
              <w:spacing w:after="0"/>
              <w:rPr>
                <w:sz w:val="20"/>
                <w:szCs w:val="20"/>
                <w:color w:val="auto"/>
              </w:rPr>
            </w:pPr>
            <w:r>
              <w:rPr>
                <w:rFonts w:ascii="Arial" w:cs="Arial" w:eastAsia="Arial" w:hAnsi="Arial"/>
                <w:sz w:val="18"/>
                <w:szCs w:val="18"/>
                <w:color w:val="4D4D4F"/>
              </w:rPr>
              <w:t>Stockholders will be entitled to one vote for each outstanding share of Class A common stock they hold</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8480" w:type="dxa"/>
            <w:vAlign w:val="bottom"/>
            <w:gridSpan w:val="2"/>
          </w:tcPr>
          <w:p>
            <w:pPr>
              <w:ind w:left="160"/>
              <w:spacing w:after="0" w:line="202" w:lineRule="exact"/>
              <w:rPr>
                <w:sz w:val="20"/>
                <w:szCs w:val="20"/>
                <w:color w:val="auto"/>
              </w:rPr>
            </w:pPr>
            <w:r>
              <w:rPr>
                <w:rFonts w:ascii="Arial" w:cs="Arial" w:eastAsia="Arial" w:hAnsi="Arial"/>
                <w:sz w:val="18"/>
                <w:szCs w:val="18"/>
                <w:color w:val="4D4D4F"/>
              </w:rPr>
              <w:t>of record as of the record date and twenty votes for each outstanding share of Class B common stock</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4D4D4F"/>
              </w:rPr>
              <w:t>they hold of record as of the record date.</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620" w:type="dxa"/>
            <w:vAlign w:val="bottom"/>
          </w:tcPr>
          <w:p>
            <w:pPr>
              <w:spacing w:after="0"/>
              <w:rPr>
                <w:sz w:val="20"/>
                <w:szCs w:val="20"/>
                <w:color w:val="auto"/>
              </w:rPr>
            </w:pPr>
            <w:r>
              <w:rPr>
                <w:rFonts w:ascii="Arial" w:cs="Arial" w:eastAsia="Arial" w:hAnsi="Arial"/>
                <w:sz w:val="18"/>
                <w:szCs w:val="18"/>
                <w:color w:val="4D4D4F"/>
              </w:rPr>
              <w:t>Total Votes Per Proposal</w:t>
            </w:r>
          </w:p>
        </w:tc>
        <w:tc>
          <w:tcPr>
            <w:tcW w:w="8480" w:type="dxa"/>
            <w:vAlign w:val="bottom"/>
            <w:gridSpan w:val="2"/>
          </w:tcPr>
          <w:p>
            <w:pPr>
              <w:ind w:left="160"/>
              <w:spacing w:after="0"/>
              <w:rPr>
                <w:sz w:val="20"/>
                <w:szCs w:val="20"/>
                <w:color w:val="auto"/>
              </w:rPr>
            </w:pPr>
            <w:r>
              <w:rPr>
                <w:rFonts w:ascii="Arial" w:cs="Arial" w:eastAsia="Arial" w:hAnsi="Arial"/>
                <w:sz w:val="18"/>
                <w:szCs w:val="18"/>
                <w:color w:val="4D4D4F"/>
              </w:rPr>
              <w:t>52,649,002 votes, based on 17,263,562 shares of Class A common stock and 1,769,272 shares of</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4D4D4F"/>
              </w:rPr>
              <w:t>Class B common stock outstanding as of the record date.</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6"/>
        </w:trPr>
        <w:tc>
          <w:tcPr>
            <w:tcW w:w="2620" w:type="dxa"/>
            <w:vAlign w:val="bottom"/>
          </w:tcPr>
          <w:p>
            <w:pPr>
              <w:spacing w:after="0"/>
              <w:rPr>
                <w:sz w:val="20"/>
                <w:szCs w:val="20"/>
                <w:color w:val="auto"/>
              </w:rPr>
            </w:pPr>
            <w:r>
              <w:rPr>
                <w:rFonts w:ascii="Arial" w:cs="Arial" w:eastAsia="Arial" w:hAnsi="Arial"/>
                <w:sz w:val="22"/>
                <w:szCs w:val="22"/>
                <w:b w:val="1"/>
                <w:bCs w:val="1"/>
                <w:color w:val="0079C0"/>
              </w:rPr>
              <w:t>Annual Meeting Agenda</w:t>
            </w:r>
          </w:p>
        </w:tc>
        <w:tc>
          <w:tcPr>
            <w:tcW w:w="58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tcPr>
          <w:p>
            <w:pPr>
              <w:spacing w:after="0"/>
              <w:rPr>
                <w:sz w:val="18"/>
                <w:szCs w:val="18"/>
                <w:color w:val="auto"/>
              </w:rPr>
            </w:pPr>
          </w:p>
        </w:tc>
        <w:tc>
          <w:tcPr>
            <w:tcW w:w="58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620" w:type="dxa"/>
            <w:vAlign w:val="bottom"/>
            <w:shd w:val="clear" w:color="auto" w:fill="003E64"/>
          </w:tcPr>
          <w:p>
            <w:pPr>
              <w:spacing w:after="0"/>
              <w:rPr>
                <w:sz w:val="15"/>
                <w:szCs w:val="15"/>
                <w:color w:val="auto"/>
              </w:rPr>
            </w:pPr>
          </w:p>
        </w:tc>
        <w:tc>
          <w:tcPr>
            <w:tcW w:w="5800" w:type="dxa"/>
            <w:vAlign w:val="bottom"/>
            <w:shd w:val="clear" w:color="auto" w:fill="003E64"/>
          </w:tcPr>
          <w:p>
            <w:pPr>
              <w:spacing w:after="0"/>
              <w:rPr>
                <w:sz w:val="15"/>
                <w:szCs w:val="15"/>
                <w:color w:val="auto"/>
              </w:rPr>
            </w:pPr>
          </w:p>
        </w:tc>
        <w:tc>
          <w:tcPr>
            <w:tcW w:w="2680" w:type="dxa"/>
            <w:vAlign w:val="bottom"/>
            <w:shd w:val="clear" w:color="auto" w:fill="003E64"/>
          </w:tcPr>
          <w:p>
            <w:pPr>
              <w:jc w:val="center"/>
              <w:ind w:left="950"/>
              <w:spacing w:after="0" w:line="180" w:lineRule="exact"/>
              <w:rPr>
                <w:sz w:val="20"/>
                <w:szCs w:val="20"/>
                <w:color w:val="auto"/>
              </w:rPr>
            </w:pPr>
            <w:r>
              <w:rPr>
                <w:rFonts w:ascii="Arial" w:cs="Arial" w:eastAsia="Arial" w:hAnsi="Arial"/>
                <w:sz w:val="18"/>
                <w:szCs w:val="18"/>
                <w:b w:val="1"/>
                <w:bCs w:val="1"/>
                <w:color w:val="FFFFFF"/>
                <w:w w:val="99"/>
              </w:rPr>
              <w:t>Board</w:t>
            </w:r>
          </w:p>
        </w:tc>
        <w:tc>
          <w:tcPr>
            <w:tcW w:w="0" w:type="dxa"/>
            <w:vAlign w:val="bottom"/>
          </w:tcPr>
          <w:p>
            <w:pPr>
              <w:spacing w:after="0"/>
              <w:rPr>
                <w:sz w:val="1"/>
                <w:szCs w:val="1"/>
                <w:color w:val="auto"/>
              </w:rPr>
            </w:pPr>
          </w:p>
        </w:tc>
      </w:tr>
      <w:tr>
        <w:trPr>
          <w:trHeight w:val="232"/>
        </w:trPr>
        <w:tc>
          <w:tcPr>
            <w:tcW w:w="2620" w:type="dxa"/>
            <w:vAlign w:val="bottom"/>
            <w:tcBorders>
              <w:bottom w:val="single" w:sz="8" w:color="auto"/>
            </w:tcBorders>
            <w:shd w:val="clear" w:color="auto" w:fill="003E64"/>
          </w:tcPr>
          <w:p>
            <w:pPr>
              <w:spacing w:after="0"/>
              <w:rPr>
                <w:sz w:val="20"/>
                <w:szCs w:val="20"/>
                <w:color w:val="auto"/>
              </w:rPr>
            </w:pPr>
            <w:r>
              <w:rPr>
                <w:rFonts w:ascii="Arial" w:cs="Arial" w:eastAsia="Arial" w:hAnsi="Arial"/>
                <w:sz w:val="18"/>
                <w:szCs w:val="18"/>
                <w:b w:val="1"/>
                <w:bCs w:val="1"/>
                <w:color w:val="FFFFFF"/>
              </w:rPr>
              <w:t>Proposal</w:t>
            </w:r>
          </w:p>
        </w:tc>
        <w:tc>
          <w:tcPr>
            <w:tcW w:w="5800" w:type="dxa"/>
            <w:vAlign w:val="bottom"/>
            <w:tcBorders>
              <w:bottom w:val="single" w:sz="8" w:color="auto"/>
            </w:tcBorders>
            <w:shd w:val="clear" w:color="auto" w:fill="003E64"/>
          </w:tcPr>
          <w:p>
            <w:pPr>
              <w:spacing w:after="0"/>
              <w:rPr>
                <w:sz w:val="20"/>
                <w:szCs w:val="20"/>
                <w:color w:val="auto"/>
              </w:rPr>
            </w:pPr>
          </w:p>
        </w:tc>
        <w:tc>
          <w:tcPr>
            <w:tcW w:w="2680" w:type="dxa"/>
            <w:vAlign w:val="bottom"/>
            <w:tcBorders>
              <w:bottom w:val="single" w:sz="8" w:color="auto"/>
            </w:tcBorders>
            <w:shd w:val="clear" w:color="auto" w:fill="003E64"/>
          </w:tcPr>
          <w:p>
            <w:pPr>
              <w:jc w:val="center"/>
              <w:ind w:left="950"/>
              <w:spacing w:after="0"/>
              <w:rPr>
                <w:sz w:val="20"/>
                <w:szCs w:val="20"/>
                <w:color w:val="auto"/>
              </w:rPr>
            </w:pPr>
            <w:r>
              <w:rPr>
                <w:rFonts w:ascii="Arial" w:cs="Arial" w:eastAsia="Arial" w:hAnsi="Arial"/>
                <w:sz w:val="18"/>
                <w:szCs w:val="18"/>
                <w:b w:val="1"/>
                <w:bCs w:val="1"/>
                <w:color w:val="FFFFFF"/>
              </w:rPr>
              <w:t>Recommendation</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4D4D4F"/>
              </w:rPr>
              <w:t>Election of directors</w:t>
            </w:r>
          </w:p>
        </w:tc>
        <w:tc>
          <w:tcPr>
            <w:tcW w:w="5800" w:type="dxa"/>
            <w:vAlign w:val="bottom"/>
          </w:tcPr>
          <w:p>
            <w:pPr>
              <w:spacing w:after="0"/>
              <w:rPr>
                <w:sz w:val="24"/>
                <w:szCs w:val="24"/>
                <w:color w:val="auto"/>
              </w:rPr>
            </w:pPr>
          </w:p>
        </w:tc>
        <w:tc>
          <w:tcPr>
            <w:tcW w:w="2680" w:type="dxa"/>
            <w:vAlign w:val="bottom"/>
          </w:tcPr>
          <w:p>
            <w:pPr>
              <w:jc w:val="center"/>
              <w:ind w:left="950"/>
              <w:spacing w:after="0"/>
              <w:rPr>
                <w:sz w:val="20"/>
                <w:szCs w:val="20"/>
                <w:color w:val="auto"/>
              </w:rPr>
            </w:pPr>
            <w:r>
              <w:rPr>
                <w:rFonts w:ascii="Arial" w:cs="Arial" w:eastAsia="Arial" w:hAnsi="Arial"/>
                <w:sz w:val="18"/>
                <w:szCs w:val="18"/>
                <w:b w:val="1"/>
                <w:bCs w:val="1"/>
                <w:color w:val="4D4D4F"/>
                <w:w w:val="99"/>
              </w:rPr>
              <w:t xml:space="preserve">FOR </w:t>
            </w:r>
            <w:r>
              <w:rPr>
                <w:rFonts w:ascii="Arial" w:cs="Arial" w:eastAsia="Arial" w:hAnsi="Arial"/>
                <w:sz w:val="18"/>
                <w:szCs w:val="18"/>
                <w:color w:val="4D4D4F"/>
                <w:w w:val="99"/>
              </w:rPr>
              <w:t>each nominee</w:t>
            </w:r>
          </w:p>
        </w:tc>
        <w:tc>
          <w:tcPr>
            <w:tcW w:w="0" w:type="dxa"/>
            <w:vAlign w:val="bottom"/>
          </w:tcPr>
          <w:p>
            <w:pPr>
              <w:spacing w:after="0"/>
              <w:rPr>
                <w:sz w:val="1"/>
                <w:szCs w:val="1"/>
                <w:color w:val="auto"/>
              </w:rPr>
            </w:pPr>
          </w:p>
        </w:tc>
      </w:tr>
      <w:tr>
        <w:trPr>
          <w:trHeight w:val="95"/>
        </w:trPr>
        <w:tc>
          <w:tcPr>
            <w:tcW w:w="8420" w:type="dxa"/>
            <w:vAlign w:val="bottom"/>
            <w:gridSpan w:val="2"/>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8420" w:type="dxa"/>
            <w:vAlign w:val="bottom"/>
            <w:gridSpan w:val="2"/>
            <w:shd w:val="clear" w:color="auto" w:fill="B7E4FF"/>
          </w:tcPr>
          <w:p>
            <w:pPr>
              <w:spacing w:after="0"/>
              <w:rPr>
                <w:sz w:val="20"/>
                <w:szCs w:val="20"/>
                <w:color w:val="auto"/>
              </w:rPr>
            </w:pPr>
            <w:r>
              <w:rPr>
                <w:rFonts w:ascii="Arial" w:cs="Arial" w:eastAsia="Arial" w:hAnsi="Arial"/>
                <w:sz w:val="18"/>
                <w:szCs w:val="18"/>
                <w:color w:val="4D4D4F"/>
              </w:rPr>
              <w:t>Amendments to certificate of incorporation principally</w:t>
            </w:r>
          </w:p>
        </w:tc>
        <w:tc>
          <w:tcPr>
            <w:tcW w:w="2680" w:type="dxa"/>
            <w:vAlign w:val="bottom"/>
            <w:vMerge w:val="restart"/>
            <w:shd w:val="clear" w:color="auto" w:fill="B7E4FF"/>
          </w:tcPr>
          <w:p>
            <w:pPr>
              <w:jc w:val="center"/>
              <w:ind w:left="930"/>
              <w:spacing w:after="0"/>
              <w:rPr>
                <w:sz w:val="20"/>
                <w:szCs w:val="20"/>
                <w:color w:val="auto"/>
              </w:rPr>
            </w:pPr>
            <w:r>
              <w:rPr>
                <w:rFonts w:ascii="Arial" w:cs="Arial" w:eastAsia="Arial" w:hAnsi="Arial"/>
                <w:sz w:val="18"/>
                <w:szCs w:val="18"/>
                <w:b w:val="1"/>
                <w:bCs w:val="1"/>
                <w:color w:val="4D4D4F"/>
                <w:w w:val="99"/>
              </w:rPr>
              <w:t>FOR</w:t>
            </w:r>
          </w:p>
        </w:tc>
        <w:tc>
          <w:tcPr>
            <w:tcW w:w="0" w:type="dxa"/>
            <w:vAlign w:val="bottom"/>
          </w:tcPr>
          <w:p>
            <w:pPr>
              <w:spacing w:after="0"/>
              <w:rPr>
                <w:sz w:val="1"/>
                <w:szCs w:val="1"/>
                <w:color w:val="auto"/>
              </w:rPr>
            </w:pPr>
          </w:p>
        </w:tc>
      </w:tr>
      <w:tr>
        <w:trPr>
          <w:trHeight w:val="217"/>
        </w:trPr>
        <w:tc>
          <w:tcPr>
            <w:tcW w:w="8420" w:type="dxa"/>
            <w:vAlign w:val="bottom"/>
            <w:gridSpan w:val="2"/>
            <w:shd w:val="clear" w:color="auto" w:fill="B7E4FF"/>
          </w:tcPr>
          <w:p>
            <w:pPr>
              <w:spacing w:after="0"/>
              <w:rPr>
                <w:sz w:val="20"/>
                <w:szCs w:val="20"/>
                <w:color w:val="auto"/>
              </w:rPr>
            </w:pPr>
            <w:r>
              <w:rPr>
                <w:rFonts w:ascii="Arial" w:cs="Arial" w:eastAsia="Arial" w:hAnsi="Arial"/>
                <w:sz w:val="18"/>
                <w:szCs w:val="18"/>
                <w:color w:val="4D4D4F"/>
              </w:rPr>
              <w:t>to increase numbers of authorized shares of common stock</w:t>
            </w:r>
          </w:p>
        </w:tc>
        <w:tc>
          <w:tcPr>
            <w:tcW w:w="2680" w:type="dxa"/>
            <w:vAlign w:val="bottom"/>
            <w:vMerge w:val="continue"/>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420" w:type="dxa"/>
            <w:vAlign w:val="bottom"/>
            <w:gridSpan w:val="2"/>
            <w:shd w:val="clear" w:color="auto" w:fill="B7E4FF"/>
          </w:tcPr>
          <w:p>
            <w:pPr>
              <w:spacing w:after="0"/>
              <w:rPr>
                <w:sz w:val="8"/>
                <w:szCs w:val="8"/>
                <w:color w:val="auto"/>
              </w:rPr>
            </w:pPr>
          </w:p>
        </w:tc>
        <w:tc>
          <w:tcPr>
            <w:tcW w:w="2680" w:type="dxa"/>
            <w:vAlign w:val="bottom"/>
            <w:shd w:val="clear" w:color="auto" w:fill="B7E4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8420" w:type="dxa"/>
            <w:vAlign w:val="bottom"/>
            <w:gridSpan w:val="2"/>
          </w:tcPr>
          <w:p>
            <w:pPr>
              <w:spacing w:after="0"/>
              <w:rPr>
                <w:sz w:val="20"/>
                <w:szCs w:val="20"/>
                <w:color w:val="auto"/>
              </w:rPr>
            </w:pPr>
            <w:r>
              <w:rPr>
                <w:rFonts w:ascii="Arial" w:cs="Arial" w:eastAsia="Arial" w:hAnsi="Arial"/>
                <w:sz w:val="18"/>
                <w:szCs w:val="18"/>
                <w:color w:val="4D4D4F"/>
              </w:rPr>
              <w:t>Ratification of appointment of independent auditor for 2021</w:t>
            </w:r>
          </w:p>
        </w:tc>
        <w:tc>
          <w:tcPr>
            <w:tcW w:w="2680" w:type="dxa"/>
            <w:vAlign w:val="bottom"/>
          </w:tcPr>
          <w:p>
            <w:pPr>
              <w:jc w:val="center"/>
              <w:ind w:left="930"/>
              <w:spacing w:after="0"/>
              <w:rPr>
                <w:sz w:val="20"/>
                <w:szCs w:val="20"/>
                <w:color w:val="auto"/>
              </w:rPr>
            </w:pPr>
            <w:r>
              <w:rPr>
                <w:rFonts w:ascii="Arial" w:cs="Arial" w:eastAsia="Arial" w:hAnsi="Arial"/>
                <w:sz w:val="18"/>
                <w:szCs w:val="18"/>
                <w:b w:val="1"/>
                <w:bCs w:val="1"/>
                <w:color w:val="4D4D4F"/>
                <w:w w:val="99"/>
              </w:rPr>
              <w:t>FOR</w:t>
            </w:r>
          </w:p>
        </w:tc>
        <w:tc>
          <w:tcPr>
            <w:tcW w:w="0" w:type="dxa"/>
            <w:vAlign w:val="bottom"/>
          </w:tcPr>
          <w:p>
            <w:pPr>
              <w:spacing w:after="0"/>
              <w:rPr>
                <w:sz w:val="1"/>
                <w:szCs w:val="1"/>
                <w:color w:val="auto"/>
              </w:rPr>
            </w:pPr>
          </w:p>
        </w:tc>
      </w:tr>
      <w:tr>
        <w:trPr>
          <w:trHeight w:val="95"/>
        </w:trPr>
        <w:tc>
          <w:tcPr>
            <w:tcW w:w="8420" w:type="dxa"/>
            <w:vAlign w:val="bottom"/>
            <w:gridSpan w:val="2"/>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8420" w:type="dxa"/>
            <w:vAlign w:val="bottom"/>
            <w:gridSpan w:val="2"/>
            <w:shd w:val="clear" w:color="auto" w:fill="B7E4FF"/>
          </w:tcPr>
          <w:p>
            <w:pPr>
              <w:spacing w:after="0"/>
              <w:rPr>
                <w:sz w:val="20"/>
                <w:szCs w:val="20"/>
                <w:color w:val="auto"/>
              </w:rPr>
            </w:pPr>
            <w:r>
              <w:rPr>
                <w:rFonts w:ascii="Arial" w:cs="Arial" w:eastAsia="Arial" w:hAnsi="Arial"/>
                <w:sz w:val="18"/>
                <w:szCs w:val="18"/>
                <w:color w:val="4D4D4F"/>
              </w:rPr>
              <w:t>Advisory vote on 2020 executive compensation</w:t>
            </w:r>
          </w:p>
        </w:tc>
        <w:tc>
          <w:tcPr>
            <w:tcW w:w="2680" w:type="dxa"/>
            <w:vAlign w:val="bottom"/>
            <w:shd w:val="clear" w:color="auto" w:fill="B7E4FF"/>
          </w:tcPr>
          <w:p>
            <w:pPr>
              <w:jc w:val="center"/>
              <w:ind w:left="930"/>
              <w:spacing w:after="0"/>
              <w:rPr>
                <w:sz w:val="20"/>
                <w:szCs w:val="20"/>
                <w:color w:val="auto"/>
              </w:rPr>
            </w:pPr>
            <w:r>
              <w:rPr>
                <w:rFonts w:ascii="Arial" w:cs="Arial" w:eastAsia="Arial" w:hAnsi="Arial"/>
                <w:sz w:val="18"/>
                <w:szCs w:val="18"/>
                <w:b w:val="1"/>
                <w:bCs w:val="1"/>
                <w:color w:val="4D4D4F"/>
                <w:w w:val="99"/>
              </w:rPr>
              <w:t>FOR</w:t>
            </w:r>
          </w:p>
        </w:tc>
        <w:tc>
          <w:tcPr>
            <w:tcW w:w="0" w:type="dxa"/>
            <w:vAlign w:val="bottom"/>
          </w:tcPr>
          <w:p>
            <w:pPr>
              <w:spacing w:after="0"/>
              <w:rPr>
                <w:sz w:val="1"/>
                <w:szCs w:val="1"/>
                <w:color w:val="auto"/>
              </w:rPr>
            </w:pPr>
          </w:p>
        </w:tc>
      </w:tr>
      <w:tr>
        <w:trPr>
          <w:trHeight w:val="94"/>
        </w:trPr>
        <w:tc>
          <w:tcPr>
            <w:tcW w:w="2620" w:type="dxa"/>
            <w:vAlign w:val="bottom"/>
            <w:shd w:val="clear" w:color="auto" w:fill="B7E4FF"/>
          </w:tcPr>
          <w:p>
            <w:pPr>
              <w:spacing w:after="0"/>
              <w:rPr>
                <w:sz w:val="8"/>
                <w:szCs w:val="8"/>
                <w:color w:val="auto"/>
              </w:rPr>
            </w:pPr>
          </w:p>
        </w:tc>
        <w:tc>
          <w:tcPr>
            <w:tcW w:w="5800" w:type="dxa"/>
            <w:vAlign w:val="bottom"/>
            <w:shd w:val="clear" w:color="auto" w:fill="B7E4FF"/>
          </w:tcPr>
          <w:p>
            <w:pPr>
              <w:spacing w:after="0"/>
              <w:rPr>
                <w:sz w:val="8"/>
                <w:szCs w:val="8"/>
                <w:color w:val="auto"/>
              </w:rPr>
            </w:pPr>
          </w:p>
        </w:tc>
        <w:tc>
          <w:tcPr>
            <w:tcW w:w="2680" w:type="dxa"/>
            <w:vAlign w:val="bottom"/>
            <w:shd w:val="clear" w:color="auto" w:fill="B7E4FF"/>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rPr>
        <w:t>How to Cast Your Vote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D4D4F"/>
        </w:rPr>
        <w:t>You can vote by any of the following methods:</w:t>
      </w:r>
    </w:p>
    <w:p>
      <w:pPr>
        <w:spacing w:after="0" w:line="187"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5580" w:type="dxa"/>
            <w:vAlign w:val="bottom"/>
            <w:tcBorders>
              <w:top w:val="single" w:sz="8" w:color="auto"/>
              <w:left w:val="single" w:sz="8" w:color="auto"/>
            </w:tcBorders>
            <w:gridSpan w:val="2"/>
            <w:shd w:val="clear" w:color="auto" w:fill="003E64"/>
          </w:tcPr>
          <w:p>
            <w:pPr>
              <w:ind w:left="20"/>
              <w:spacing w:after="0"/>
              <w:rPr>
                <w:sz w:val="20"/>
                <w:szCs w:val="20"/>
                <w:color w:val="auto"/>
              </w:rPr>
            </w:pPr>
            <w:r>
              <w:rPr>
                <w:rFonts w:ascii="Arial" w:cs="Arial" w:eastAsia="Arial" w:hAnsi="Arial"/>
                <w:sz w:val="18"/>
                <w:szCs w:val="18"/>
                <w:b w:val="1"/>
                <w:bCs w:val="1"/>
                <w:color w:val="FFFFFF"/>
              </w:rPr>
              <w:t>Until 11:59 p.m., Eastern time, on June 1, 2021</w:t>
            </w:r>
          </w:p>
        </w:tc>
        <w:tc>
          <w:tcPr>
            <w:tcW w:w="5520" w:type="dxa"/>
            <w:vAlign w:val="bottom"/>
            <w:tcBorders>
              <w:top w:val="single" w:sz="8" w:color="auto"/>
              <w:right w:val="single" w:sz="8" w:color="auto"/>
            </w:tcBorders>
            <w:shd w:val="clear" w:color="auto" w:fill="003E64"/>
          </w:tcPr>
          <w:p>
            <w:pPr>
              <w:ind w:left="800"/>
              <w:spacing w:after="0"/>
              <w:rPr>
                <w:sz w:val="20"/>
                <w:szCs w:val="20"/>
                <w:color w:val="auto"/>
              </w:rPr>
            </w:pPr>
            <w:r>
              <w:rPr>
                <w:rFonts w:ascii="Arial" w:cs="Arial" w:eastAsia="Arial" w:hAnsi="Arial"/>
                <w:sz w:val="18"/>
                <w:szCs w:val="18"/>
                <w:b w:val="1"/>
                <w:bCs w:val="1"/>
                <w:color w:val="FFFFFF"/>
              </w:rPr>
              <w:t>At the Annual Meeting on June 2, 2021</w:t>
            </w:r>
          </w:p>
        </w:tc>
        <w:tc>
          <w:tcPr>
            <w:tcW w:w="0" w:type="dxa"/>
            <w:vAlign w:val="bottom"/>
          </w:tcPr>
          <w:p>
            <w:pPr>
              <w:spacing w:after="0"/>
              <w:rPr>
                <w:sz w:val="1"/>
                <w:szCs w:val="1"/>
                <w:color w:val="auto"/>
              </w:rPr>
            </w:pPr>
          </w:p>
        </w:tc>
      </w:tr>
      <w:tr>
        <w:trPr>
          <w:trHeight w:val="359"/>
        </w:trPr>
        <w:tc>
          <w:tcPr>
            <w:tcW w:w="120" w:type="dxa"/>
            <w:vAlign w:val="bottom"/>
          </w:tcPr>
          <w:p>
            <w:pPr>
              <w:spacing w:after="0"/>
              <w:rPr>
                <w:sz w:val="20"/>
                <w:szCs w:val="20"/>
                <w:color w:val="auto"/>
              </w:rPr>
            </w:pPr>
            <w:r>
              <w:rPr>
                <w:rFonts w:ascii="Arial" w:cs="Arial" w:eastAsia="Arial" w:hAnsi="Arial"/>
                <w:sz w:val="18"/>
                <w:szCs w:val="18"/>
                <w:b w:val="1"/>
                <w:bCs w:val="1"/>
                <w:color w:val="4D4D4F"/>
              </w:rPr>
              <w:t>•</w:t>
            </w:r>
          </w:p>
        </w:tc>
        <w:tc>
          <w:tcPr>
            <w:tcW w:w="5460" w:type="dxa"/>
            <w:vAlign w:val="bottom"/>
          </w:tcPr>
          <w:p>
            <w:pPr>
              <w:ind w:left="60"/>
              <w:spacing w:after="0"/>
              <w:rPr>
                <w:sz w:val="20"/>
                <w:szCs w:val="20"/>
                <w:color w:val="auto"/>
              </w:rPr>
            </w:pPr>
            <w:r>
              <w:rPr>
                <w:rFonts w:ascii="Arial" w:cs="Arial" w:eastAsia="Arial" w:hAnsi="Arial"/>
                <w:sz w:val="18"/>
                <w:szCs w:val="18"/>
                <w:b w:val="1"/>
                <w:bCs w:val="1"/>
                <w:color w:val="4D4D4F"/>
              </w:rPr>
              <w:t xml:space="preserve">Internet: </w:t>
            </w:r>
            <w:r>
              <w:rPr>
                <w:rFonts w:ascii="Arial" w:cs="Arial" w:eastAsia="Arial" w:hAnsi="Arial"/>
                <w:sz w:val="18"/>
                <w:szCs w:val="18"/>
                <w:color w:val="4D4D4F"/>
              </w:rPr>
              <w:t>From any web-enabled device at</w:t>
            </w:r>
            <w:r>
              <w:rPr>
                <w:rFonts w:ascii="Arial" w:cs="Arial" w:eastAsia="Arial" w:hAnsi="Arial"/>
                <w:sz w:val="18"/>
                <w:szCs w:val="18"/>
                <w:b w:val="1"/>
                <w:bCs w:val="1"/>
                <w:color w:val="4D4D4F"/>
              </w:rPr>
              <w:t xml:space="preserve"> </w:t>
            </w:r>
            <w:r>
              <w:rPr>
                <w:rFonts w:ascii="Arial" w:cs="Arial" w:eastAsia="Arial" w:hAnsi="Arial"/>
                <w:sz w:val="18"/>
                <w:szCs w:val="18"/>
                <w:i w:val="1"/>
                <w:iCs w:val="1"/>
                <w:color w:val="4D4D4F"/>
              </w:rPr>
              <w:t>proxyvote.com</w:t>
            </w:r>
          </w:p>
        </w:tc>
        <w:tc>
          <w:tcPr>
            <w:tcW w:w="5520" w:type="dxa"/>
            <w:vAlign w:val="bottom"/>
          </w:tcPr>
          <w:p>
            <w:pPr>
              <w:ind w:left="800"/>
              <w:spacing w:after="0"/>
              <w:rPr>
                <w:sz w:val="20"/>
                <w:szCs w:val="20"/>
                <w:color w:val="auto"/>
              </w:rPr>
            </w:pPr>
            <w:r>
              <w:rPr>
                <w:rFonts w:ascii="Arial" w:cs="Arial" w:eastAsia="Arial" w:hAnsi="Arial"/>
                <w:sz w:val="18"/>
                <w:szCs w:val="18"/>
                <w:color w:val="009299"/>
              </w:rPr>
              <w:t xml:space="preserve">• </w:t>
            </w:r>
            <w:r>
              <w:rPr>
                <w:rFonts w:ascii="Arial" w:cs="Arial" w:eastAsia="Arial" w:hAnsi="Arial"/>
                <w:sz w:val="18"/>
                <w:szCs w:val="18"/>
                <w:b w:val="1"/>
                <w:bCs w:val="1"/>
                <w:color w:val="4D4D4F"/>
              </w:rPr>
              <w:t>Internet:</w:t>
            </w:r>
            <w:r>
              <w:rPr>
                <w:rFonts w:ascii="Arial" w:cs="Arial" w:eastAsia="Arial" w:hAnsi="Arial"/>
                <w:sz w:val="18"/>
                <w:szCs w:val="18"/>
                <w:color w:val="009299"/>
              </w:rPr>
              <w:t xml:space="preserve"> </w:t>
            </w:r>
            <w:r>
              <w:rPr>
                <w:rFonts w:ascii="Arial" w:cs="Arial" w:eastAsia="Arial" w:hAnsi="Arial"/>
                <w:sz w:val="18"/>
                <w:szCs w:val="18"/>
                <w:color w:val="000000"/>
              </w:rPr>
              <w:t>J</w:t>
            </w:r>
            <w:r>
              <w:rPr>
                <w:rFonts w:ascii="Arial" w:cs="Arial" w:eastAsia="Arial" w:hAnsi="Arial"/>
                <w:sz w:val="18"/>
                <w:szCs w:val="18"/>
                <w:color w:val="4D4D4F"/>
              </w:rPr>
              <w:t>oining the Annual Meeting at</w:t>
            </w:r>
          </w:p>
        </w:tc>
        <w:tc>
          <w:tcPr>
            <w:tcW w:w="0" w:type="dxa"/>
            <w:vAlign w:val="bottom"/>
          </w:tcPr>
          <w:p>
            <w:pPr>
              <w:spacing w:after="0"/>
              <w:rPr>
                <w:sz w:val="1"/>
                <w:szCs w:val="1"/>
                <w:color w:val="auto"/>
              </w:rPr>
            </w:pPr>
          </w:p>
        </w:tc>
      </w:tr>
      <w:tr>
        <w:trPr>
          <w:trHeight w:val="235"/>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4D4D4F"/>
              </w:rPr>
              <w:t xml:space="preserve">• Telephone: </w:t>
            </w:r>
            <w:r>
              <w:rPr>
                <w:rFonts w:ascii="Arial" w:cs="Arial" w:eastAsia="Arial" w:hAnsi="Arial"/>
                <w:sz w:val="18"/>
                <w:szCs w:val="18"/>
                <w:color w:val="4D4D4F"/>
              </w:rPr>
              <w:t>+1.800.690.6903</w:t>
            </w:r>
          </w:p>
        </w:tc>
        <w:tc>
          <w:tcPr>
            <w:tcW w:w="5520" w:type="dxa"/>
            <w:vAlign w:val="bottom"/>
          </w:tcPr>
          <w:p>
            <w:pPr>
              <w:ind w:left="960"/>
              <w:spacing w:after="0"/>
              <w:rPr>
                <w:sz w:val="20"/>
                <w:szCs w:val="20"/>
                <w:color w:val="auto"/>
              </w:rPr>
            </w:pPr>
            <w:r>
              <w:rPr>
                <w:rFonts w:ascii="Arial" w:cs="Arial" w:eastAsia="Arial" w:hAnsi="Arial"/>
                <w:sz w:val="18"/>
                <w:szCs w:val="18"/>
                <w:i w:val="1"/>
                <w:iCs w:val="1"/>
                <w:color w:val="4D4D4F"/>
              </w:rPr>
              <w:t>virtualshareholdermeeting.com/ACMR2021</w:t>
            </w:r>
          </w:p>
        </w:tc>
        <w:tc>
          <w:tcPr>
            <w:tcW w:w="0" w:type="dxa"/>
            <w:vAlign w:val="bottom"/>
          </w:tcPr>
          <w:p>
            <w:pPr>
              <w:spacing w:after="0"/>
              <w:rPr>
                <w:sz w:val="1"/>
                <w:szCs w:val="1"/>
                <w:color w:val="auto"/>
              </w:rPr>
            </w:pPr>
          </w:p>
        </w:tc>
      </w:tr>
      <w:tr>
        <w:trPr>
          <w:trHeight w:val="175"/>
        </w:trPr>
        <w:tc>
          <w:tcPr>
            <w:tcW w:w="5580" w:type="dxa"/>
            <w:vAlign w:val="bottom"/>
            <w:gridSpan w:val="2"/>
            <w:vMerge w:val="continue"/>
          </w:tcPr>
          <w:p>
            <w:pPr>
              <w:spacing w:after="0"/>
              <w:rPr>
                <w:sz w:val="15"/>
                <w:szCs w:val="15"/>
                <w:color w:val="auto"/>
              </w:rPr>
            </w:pPr>
          </w:p>
        </w:tc>
        <w:tc>
          <w:tcPr>
            <w:tcW w:w="5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120" w:type="dxa"/>
            <w:vAlign w:val="bottom"/>
          </w:tcPr>
          <w:p>
            <w:pPr>
              <w:spacing w:after="0"/>
              <w:rPr>
                <w:sz w:val="20"/>
                <w:szCs w:val="20"/>
                <w:color w:val="auto"/>
              </w:rPr>
            </w:pPr>
            <w:r>
              <w:rPr>
                <w:rFonts w:ascii="Arial" w:cs="Arial" w:eastAsia="Arial" w:hAnsi="Arial"/>
                <w:sz w:val="18"/>
                <w:szCs w:val="18"/>
                <w:color w:val="009299"/>
              </w:rPr>
              <w:t>•</w:t>
            </w:r>
          </w:p>
        </w:tc>
        <w:tc>
          <w:tcPr>
            <w:tcW w:w="5460" w:type="dxa"/>
            <w:vAlign w:val="bottom"/>
          </w:tcPr>
          <w:p>
            <w:pPr>
              <w:ind w:left="60"/>
              <w:spacing w:after="0"/>
              <w:rPr>
                <w:sz w:val="20"/>
                <w:szCs w:val="20"/>
                <w:color w:val="auto"/>
              </w:rPr>
            </w:pPr>
            <w:r>
              <w:rPr>
                <w:rFonts w:ascii="Arial" w:cs="Arial" w:eastAsia="Arial" w:hAnsi="Arial"/>
                <w:sz w:val="18"/>
                <w:szCs w:val="18"/>
                <w:color w:val="4D4D4F"/>
              </w:rPr>
              <w:t xml:space="preserve">Completed, signed and returned </w:t>
            </w:r>
            <w:r>
              <w:rPr>
                <w:rFonts w:ascii="Arial" w:cs="Arial" w:eastAsia="Arial" w:hAnsi="Arial"/>
                <w:sz w:val="18"/>
                <w:szCs w:val="18"/>
                <w:b w:val="1"/>
                <w:bCs w:val="1"/>
                <w:color w:val="4D4D4F"/>
              </w:rPr>
              <w:t>proxy card</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115570</wp:posOffset>
            </wp:positionV>
            <wp:extent cx="7187565" cy="5721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7565" cy="5721985"/>
                    </a:xfrm>
                    <a:prstGeom prst="rect">
                      <a:avLst/>
                    </a:prstGeom>
                    <a:noFill/>
                  </pic:spPr>
                </pic:pic>
              </a:graphicData>
            </a:graphic>
          </wp:anchor>
        </w:drawing>
      </w:r>
    </w:p>
    <w:p>
      <w:pPr>
        <w:spacing w:after="0" w:line="349"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0079C0"/>
        </w:rPr>
        <w:t>Election of Directors</w:t>
      </w:r>
    </w:p>
    <w:p>
      <w:pPr>
        <w:spacing w:after="0" w:line="157"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003E64"/>
        </w:rPr>
        <w:t>As the first proposal, we are asking stockholders to elect the following five director nominees, each of whom currently serves as a member of the board of directors. The following presents information as of April 8, 2021 with respect to each director nominee:</w:t>
      </w:r>
    </w:p>
    <w:p>
      <w:pPr>
        <w:spacing w:after="0" w:line="7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560" w:type="dxa"/>
            <w:vAlign w:val="bottom"/>
            <w:tcBorders>
              <w:top w:val="single" w:sz="8" w:color="auto"/>
            </w:tcBorders>
            <w:shd w:val="clear" w:color="auto" w:fill="003E64"/>
          </w:tcPr>
          <w:p>
            <w:pPr>
              <w:spacing w:after="0"/>
              <w:rPr>
                <w:sz w:val="17"/>
                <w:szCs w:val="17"/>
                <w:color w:val="auto"/>
              </w:rPr>
            </w:pPr>
          </w:p>
        </w:tc>
        <w:tc>
          <w:tcPr>
            <w:tcW w:w="440" w:type="dxa"/>
            <w:vAlign w:val="bottom"/>
            <w:tcBorders>
              <w:top w:val="single" w:sz="8" w:color="auto"/>
            </w:tcBorders>
            <w:shd w:val="clear" w:color="auto" w:fill="003E64"/>
          </w:tcPr>
          <w:p>
            <w:pPr>
              <w:spacing w:after="0"/>
              <w:rPr>
                <w:sz w:val="17"/>
                <w:szCs w:val="17"/>
                <w:color w:val="auto"/>
              </w:rPr>
            </w:pPr>
          </w:p>
        </w:tc>
        <w:tc>
          <w:tcPr>
            <w:tcW w:w="880" w:type="dxa"/>
            <w:vAlign w:val="bottom"/>
            <w:tcBorders>
              <w:top w:val="single" w:sz="8" w:color="auto"/>
            </w:tcBorders>
            <w:shd w:val="clear" w:color="auto" w:fill="003E64"/>
          </w:tcPr>
          <w:p>
            <w:pPr>
              <w:jc w:val="center"/>
              <w:spacing w:after="0"/>
              <w:rPr>
                <w:sz w:val="20"/>
                <w:szCs w:val="20"/>
                <w:color w:val="auto"/>
              </w:rPr>
            </w:pPr>
            <w:r>
              <w:rPr>
                <w:rFonts w:ascii="Arial" w:cs="Arial" w:eastAsia="Arial" w:hAnsi="Arial"/>
                <w:sz w:val="13"/>
                <w:szCs w:val="13"/>
                <w:b w:val="1"/>
                <w:bCs w:val="1"/>
                <w:color w:val="FFFFFF"/>
                <w:w w:val="96"/>
              </w:rPr>
              <w:t>Director</w:t>
            </w:r>
          </w:p>
        </w:tc>
        <w:tc>
          <w:tcPr>
            <w:tcW w:w="2280" w:type="dxa"/>
            <w:vAlign w:val="bottom"/>
            <w:tcBorders>
              <w:top w:val="single" w:sz="8" w:color="auto"/>
            </w:tcBorders>
            <w:shd w:val="clear" w:color="auto" w:fill="003E64"/>
          </w:tcPr>
          <w:p>
            <w:pPr>
              <w:spacing w:after="0"/>
              <w:rPr>
                <w:sz w:val="17"/>
                <w:szCs w:val="17"/>
                <w:color w:val="auto"/>
              </w:rPr>
            </w:pPr>
          </w:p>
        </w:tc>
        <w:tc>
          <w:tcPr>
            <w:tcW w:w="100" w:type="dxa"/>
            <w:vAlign w:val="bottom"/>
            <w:tcBorders>
              <w:top w:val="single" w:sz="8" w:color="auto"/>
            </w:tcBorders>
            <w:shd w:val="clear" w:color="auto" w:fill="003E64"/>
          </w:tcPr>
          <w:p>
            <w:pPr>
              <w:spacing w:after="0"/>
              <w:rPr>
                <w:sz w:val="17"/>
                <w:szCs w:val="17"/>
                <w:color w:val="auto"/>
              </w:rPr>
            </w:pPr>
          </w:p>
        </w:tc>
        <w:tc>
          <w:tcPr>
            <w:tcW w:w="1340" w:type="dxa"/>
            <w:vAlign w:val="bottom"/>
            <w:tcBorders>
              <w:top w:val="single" w:sz="8" w:color="auto"/>
            </w:tcBorders>
            <w:shd w:val="clear" w:color="auto" w:fill="003E64"/>
          </w:tcPr>
          <w:p>
            <w:pPr>
              <w:ind w:left="220"/>
              <w:spacing w:after="0"/>
              <w:rPr>
                <w:sz w:val="20"/>
                <w:szCs w:val="20"/>
                <w:color w:val="auto"/>
              </w:rPr>
            </w:pPr>
            <w:r>
              <w:rPr>
                <w:rFonts w:ascii="Arial" w:cs="Arial" w:eastAsia="Arial" w:hAnsi="Arial"/>
                <w:sz w:val="13"/>
                <w:szCs w:val="13"/>
                <w:b w:val="1"/>
                <w:bCs w:val="1"/>
                <w:color w:val="FFFFFF"/>
              </w:rPr>
              <w:t>Experience/</w:t>
            </w:r>
          </w:p>
        </w:tc>
        <w:tc>
          <w:tcPr>
            <w:tcW w:w="1300" w:type="dxa"/>
            <w:vAlign w:val="bottom"/>
            <w:tcBorders>
              <w:top w:val="single" w:sz="8" w:color="auto"/>
            </w:tcBorders>
            <w:gridSpan w:val="2"/>
            <w:shd w:val="clear" w:color="auto" w:fill="003E64"/>
          </w:tcPr>
          <w:p>
            <w:pPr>
              <w:jc w:val="right"/>
              <w:ind w:right="289"/>
              <w:spacing w:after="0"/>
              <w:rPr>
                <w:sz w:val="20"/>
                <w:szCs w:val="20"/>
                <w:color w:val="auto"/>
              </w:rPr>
            </w:pPr>
            <w:r>
              <w:rPr>
                <w:rFonts w:ascii="Arial" w:cs="Arial" w:eastAsia="Arial" w:hAnsi="Arial"/>
                <w:sz w:val="13"/>
                <w:szCs w:val="13"/>
                <w:b w:val="1"/>
                <w:bCs w:val="1"/>
                <w:color w:val="FFFFFF"/>
              </w:rPr>
              <w:t>Independent</w:t>
            </w:r>
          </w:p>
        </w:tc>
        <w:tc>
          <w:tcPr>
            <w:tcW w:w="1240" w:type="dxa"/>
            <w:vAlign w:val="bottom"/>
            <w:tcBorders>
              <w:top w:val="single" w:sz="8" w:color="auto"/>
            </w:tcBorders>
            <w:shd w:val="clear" w:color="auto" w:fill="003E64"/>
          </w:tcPr>
          <w:p>
            <w:pPr>
              <w:ind w:left="320"/>
              <w:spacing w:after="0"/>
              <w:rPr>
                <w:sz w:val="20"/>
                <w:szCs w:val="20"/>
                <w:color w:val="auto"/>
              </w:rPr>
            </w:pPr>
            <w:r>
              <w:rPr>
                <w:rFonts w:ascii="Arial" w:cs="Arial" w:eastAsia="Arial" w:hAnsi="Arial"/>
                <w:sz w:val="13"/>
                <w:szCs w:val="13"/>
                <w:b w:val="1"/>
                <w:bCs w:val="1"/>
                <w:color w:val="FFFFFF"/>
              </w:rPr>
              <w:t>Committee</w:t>
            </w:r>
          </w:p>
        </w:tc>
        <w:tc>
          <w:tcPr>
            <w:tcW w:w="240" w:type="dxa"/>
            <w:vAlign w:val="bottom"/>
            <w:tcBorders>
              <w:top w:val="single" w:sz="8" w:color="auto"/>
            </w:tcBorders>
            <w:shd w:val="clear" w:color="auto" w:fill="003E64"/>
          </w:tcPr>
          <w:p>
            <w:pPr>
              <w:spacing w:after="0"/>
              <w:rPr>
                <w:sz w:val="17"/>
                <w:szCs w:val="17"/>
                <w:color w:val="auto"/>
              </w:rPr>
            </w:pPr>
          </w:p>
        </w:tc>
        <w:tc>
          <w:tcPr>
            <w:tcW w:w="1720" w:type="dxa"/>
            <w:vAlign w:val="bottom"/>
            <w:tcBorders>
              <w:top w:val="single" w:sz="8" w:color="auto"/>
            </w:tcBorders>
            <w:shd w:val="clear" w:color="auto" w:fill="003E64"/>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003E64"/>
          </w:tcPr>
          <w:p>
            <w:pPr>
              <w:ind w:left="600"/>
              <w:spacing w:after="0"/>
              <w:rPr>
                <w:sz w:val="20"/>
                <w:szCs w:val="20"/>
                <w:color w:val="auto"/>
              </w:rPr>
            </w:pPr>
            <w:r>
              <w:rPr>
                <w:rFonts w:ascii="Arial" w:cs="Arial" w:eastAsia="Arial" w:hAnsi="Arial"/>
                <w:sz w:val="13"/>
                <w:szCs w:val="13"/>
                <w:b w:val="1"/>
                <w:bCs w:val="1"/>
                <w:color w:val="FFFFFF"/>
              </w:rPr>
              <w:t>Name</w:t>
            </w:r>
          </w:p>
        </w:tc>
        <w:tc>
          <w:tcPr>
            <w:tcW w:w="440" w:type="dxa"/>
            <w:vAlign w:val="bottom"/>
            <w:shd w:val="clear" w:color="auto" w:fill="003E64"/>
          </w:tcPr>
          <w:p>
            <w:pPr>
              <w:jc w:val="center"/>
              <w:spacing w:after="0"/>
              <w:rPr>
                <w:sz w:val="20"/>
                <w:szCs w:val="20"/>
                <w:color w:val="auto"/>
              </w:rPr>
            </w:pPr>
            <w:r>
              <w:rPr>
                <w:rFonts w:ascii="Arial" w:cs="Arial" w:eastAsia="Arial" w:hAnsi="Arial"/>
                <w:sz w:val="13"/>
                <w:szCs w:val="13"/>
                <w:b w:val="1"/>
                <w:bCs w:val="1"/>
                <w:color w:val="FFFFFF"/>
                <w:w w:val="97"/>
              </w:rPr>
              <w:t>Age</w:t>
            </w:r>
          </w:p>
        </w:tc>
        <w:tc>
          <w:tcPr>
            <w:tcW w:w="880" w:type="dxa"/>
            <w:vAlign w:val="bottom"/>
            <w:shd w:val="clear" w:color="auto" w:fill="003E64"/>
          </w:tcPr>
          <w:p>
            <w:pPr>
              <w:jc w:val="center"/>
              <w:spacing w:after="0"/>
              <w:rPr>
                <w:sz w:val="20"/>
                <w:szCs w:val="20"/>
                <w:color w:val="auto"/>
              </w:rPr>
            </w:pPr>
            <w:r>
              <w:rPr>
                <w:rFonts w:ascii="Arial" w:cs="Arial" w:eastAsia="Arial" w:hAnsi="Arial"/>
                <w:sz w:val="13"/>
                <w:szCs w:val="13"/>
                <w:b w:val="1"/>
                <w:bCs w:val="1"/>
                <w:color w:val="FFFFFF"/>
                <w:w w:val="97"/>
              </w:rPr>
              <w:t>Since</w:t>
            </w:r>
          </w:p>
        </w:tc>
        <w:tc>
          <w:tcPr>
            <w:tcW w:w="2280" w:type="dxa"/>
            <w:vAlign w:val="bottom"/>
            <w:shd w:val="clear" w:color="auto" w:fill="003E64"/>
          </w:tcPr>
          <w:p>
            <w:pPr>
              <w:ind w:left="800"/>
              <w:spacing w:after="0"/>
              <w:rPr>
                <w:sz w:val="20"/>
                <w:szCs w:val="20"/>
                <w:color w:val="auto"/>
              </w:rPr>
            </w:pPr>
            <w:r>
              <w:rPr>
                <w:rFonts w:ascii="Arial" w:cs="Arial" w:eastAsia="Arial" w:hAnsi="Arial"/>
                <w:sz w:val="13"/>
                <w:szCs w:val="13"/>
                <w:b w:val="1"/>
                <w:bCs w:val="1"/>
                <w:color w:val="FFFFFF"/>
              </w:rPr>
              <w:t>Occupation</w:t>
            </w:r>
          </w:p>
        </w:tc>
        <w:tc>
          <w:tcPr>
            <w:tcW w:w="100" w:type="dxa"/>
            <w:vAlign w:val="bottom"/>
            <w:shd w:val="clear" w:color="auto" w:fill="003E64"/>
          </w:tcPr>
          <w:p>
            <w:pPr>
              <w:spacing w:after="0"/>
              <w:rPr>
                <w:sz w:val="16"/>
                <w:szCs w:val="16"/>
                <w:color w:val="auto"/>
              </w:rPr>
            </w:pPr>
          </w:p>
        </w:tc>
        <w:tc>
          <w:tcPr>
            <w:tcW w:w="1340" w:type="dxa"/>
            <w:vAlign w:val="bottom"/>
            <w:shd w:val="clear" w:color="auto" w:fill="003E64"/>
          </w:tcPr>
          <w:p>
            <w:pPr>
              <w:ind w:left="160"/>
              <w:spacing w:after="0"/>
              <w:rPr>
                <w:sz w:val="20"/>
                <w:szCs w:val="20"/>
                <w:color w:val="auto"/>
              </w:rPr>
            </w:pPr>
            <w:r>
              <w:rPr>
                <w:rFonts w:ascii="Arial" w:cs="Arial" w:eastAsia="Arial" w:hAnsi="Arial"/>
                <w:sz w:val="13"/>
                <w:szCs w:val="13"/>
                <w:b w:val="1"/>
                <w:bCs w:val="1"/>
                <w:color w:val="FFFFFF"/>
              </w:rPr>
              <w:t>Qualifications</w:t>
            </w:r>
          </w:p>
        </w:tc>
        <w:tc>
          <w:tcPr>
            <w:tcW w:w="560" w:type="dxa"/>
            <w:vAlign w:val="bottom"/>
            <w:shd w:val="clear" w:color="auto" w:fill="003E64"/>
          </w:tcPr>
          <w:p>
            <w:pPr>
              <w:jc w:val="center"/>
              <w:ind w:right="31"/>
              <w:spacing w:after="0"/>
              <w:rPr>
                <w:sz w:val="20"/>
                <w:szCs w:val="20"/>
                <w:color w:val="auto"/>
              </w:rPr>
            </w:pPr>
            <w:r>
              <w:rPr>
                <w:rFonts w:ascii="Arial" w:cs="Arial" w:eastAsia="Arial" w:hAnsi="Arial"/>
                <w:sz w:val="13"/>
                <w:szCs w:val="13"/>
                <w:b w:val="1"/>
                <w:bCs w:val="1"/>
                <w:color w:val="FFFFFF"/>
                <w:w w:val="94"/>
              </w:rPr>
              <w:t>Yes</w:t>
            </w:r>
          </w:p>
        </w:tc>
        <w:tc>
          <w:tcPr>
            <w:tcW w:w="740" w:type="dxa"/>
            <w:vAlign w:val="bottom"/>
            <w:shd w:val="clear" w:color="auto" w:fill="003E64"/>
          </w:tcPr>
          <w:p>
            <w:pPr>
              <w:jc w:val="right"/>
              <w:ind w:right="289"/>
              <w:spacing w:after="0"/>
              <w:rPr>
                <w:sz w:val="20"/>
                <w:szCs w:val="20"/>
                <w:color w:val="auto"/>
              </w:rPr>
            </w:pPr>
            <w:r>
              <w:rPr>
                <w:rFonts w:ascii="Arial" w:cs="Arial" w:eastAsia="Arial" w:hAnsi="Arial"/>
                <w:sz w:val="13"/>
                <w:szCs w:val="13"/>
                <w:b w:val="1"/>
                <w:bCs w:val="1"/>
                <w:color w:val="FFFFFF"/>
              </w:rPr>
              <w:t>No</w:t>
            </w:r>
          </w:p>
        </w:tc>
        <w:tc>
          <w:tcPr>
            <w:tcW w:w="1240" w:type="dxa"/>
            <w:vAlign w:val="bottom"/>
            <w:shd w:val="clear" w:color="auto" w:fill="003E64"/>
          </w:tcPr>
          <w:p>
            <w:pPr>
              <w:ind w:left="240"/>
              <w:spacing w:after="0"/>
              <w:rPr>
                <w:sz w:val="20"/>
                <w:szCs w:val="20"/>
                <w:color w:val="auto"/>
              </w:rPr>
            </w:pPr>
            <w:r>
              <w:rPr>
                <w:rFonts w:ascii="Arial" w:cs="Arial" w:eastAsia="Arial" w:hAnsi="Arial"/>
                <w:sz w:val="13"/>
                <w:szCs w:val="13"/>
                <w:b w:val="1"/>
                <w:bCs w:val="1"/>
                <w:color w:val="FFFFFF"/>
              </w:rPr>
              <w:t>Memberships</w:t>
            </w:r>
          </w:p>
        </w:tc>
        <w:tc>
          <w:tcPr>
            <w:tcW w:w="240" w:type="dxa"/>
            <w:vAlign w:val="bottom"/>
            <w:shd w:val="clear" w:color="auto" w:fill="003E64"/>
          </w:tcPr>
          <w:p>
            <w:pPr>
              <w:spacing w:after="0"/>
              <w:rPr>
                <w:sz w:val="16"/>
                <w:szCs w:val="16"/>
                <w:color w:val="auto"/>
              </w:rPr>
            </w:pPr>
          </w:p>
        </w:tc>
        <w:tc>
          <w:tcPr>
            <w:tcW w:w="1720" w:type="dxa"/>
            <w:vAlign w:val="bottom"/>
            <w:shd w:val="clear" w:color="auto" w:fill="003E64"/>
          </w:tcPr>
          <w:p>
            <w:pPr>
              <w:ind w:left="420"/>
              <w:spacing w:after="0"/>
              <w:rPr>
                <w:sz w:val="20"/>
                <w:szCs w:val="20"/>
                <w:color w:val="auto"/>
              </w:rPr>
            </w:pPr>
            <w:r>
              <w:rPr>
                <w:rFonts w:ascii="Arial" w:cs="Arial" w:eastAsia="Arial" w:hAnsi="Arial"/>
                <w:sz w:val="13"/>
                <w:szCs w:val="13"/>
                <w:b w:val="1"/>
                <w:bCs w:val="1"/>
                <w:color w:val="FFFFFF"/>
              </w:rPr>
              <w:t>Other Boards</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20"/>
                <w:szCs w:val="20"/>
                <w:color w:val="auto"/>
              </w:rPr>
            </w:pPr>
            <w:r>
              <w:rPr>
                <w:rFonts w:ascii="Arial" w:cs="Arial" w:eastAsia="Arial" w:hAnsi="Arial"/>
                <w:sz w:val="14"/>
                <w:szCs w:val="14"/>
                <w:color w:val="4D4D4F"/>
              </w:rPr>
              <w:t>Haiping Dun</w:t>
            </w:r>
          </w:p>
        </w:tc>
        <w:tc>
          <w:tcPr>
            <w:tcW w:w="440" w:type="dxa"/>
            <w:vAlign w:val="bottom"/>
          </w:tcPr>
          <w:p>
            <w:pPr>
              <w:jc w:val="center"/>
              <w:spacing w:after="0"/>
              <w:rPr>
                <w:sz w:val="20"/>
                <w:szCs w:val="20"/>
                <w:color w:val="auto"/>
              </w:rPr>
            </w:pPr>
            <w:r>
              <w:rPr>
                <w:rFonts w:ascii="Arial" w:cs="Arial" w:eastAsia="Arial" w:hAnsi="Arial"/>
                <w:sz w:val="14"/>
                <w:szCs w:val="14"/>
                <w:color w:val="4D4D4F"/>
              </w:rPr>
              <w:t>71</w:t>
            </w:r>
          </w:p>
        </w:tc>
        <w:tc>
          <w:tcPr>
            <w:tcW w:w="880" w:type="dxa"/>
            <w:vAlign w:val="bottom"/>
          </w:tcPr>
          <w:p>
            <w:pPr>
              <w:jc w:val="center"/>
              <w:spacing w:after="0"/>
              <w:rPr>
                <w:sz w:val="20"/>
                <w:szCs w:val="20"/>
                <w:color w:val="auto"/>
              </w:rPr>
            </w:pPr>
            <w:r>
              <w:rPr>
                <w:rFonts w:ascii="Arial" w:cs="Arial" w:eastAsia="Arial" w:hAnsi="Arial"/>
                <w:sz w:val="14"/>
                <w:szCs w:val="14"/>
                <w:color w:val="4D4D4F"/>
              </w:rPr>
              <w:t>2003</w:t>
            </w:r>
          </w:p>
        </w:tc>
        <w:tc>
          <w:tcPr>
            <w:tcW w:w="2280" w:type="dxa"/>
            <w:vAlign w:val="bottom"/>
          </w:tcPr>
          <w:p>
            <w:pPr>
              <w:spacing w:after="0"/>
              <w:rPr>
                <w:sz w:val="20"/>
                <w:szCs w:val="20"/>
                <w:color w:val="auto"/>
              </w:rPr>
            </w:pPr>
            <w:r>
              <w:rPr>
                <w:rFonts w:ascii="Arial" w:cs="Arial" w:eastAsia="Arial" w:hAnsi="Arial"/>
                <w:sz w:val="14"/>
                <w:szCs w:val="14"/>
                <w:color w:val="4D4D4F"/>
              </w:rPr>
              <w:t>Former Senior Director of Intel</w:t>
            </w:r>
          </w:p>
        </w:tc>
        <w:tc>
          <w:tcPr>
            <w:tcW w:w="100" w:type="dxa"/>
            <w:vAlign w:val="bottom"/>
          </w:tcPr>
          <w:p>
            <w:pPr>
              <w:spacing w:after="0"/>
              <w:rPr>
                <w:sz w:val="20"/>
                <w:szCs w:val="20"/>
                <w:color w:val="auto"/>
              </w:rPr>
            </w:pPr>
            <w:r>
              <w:rPr>
                <w:rFonts w:ascii="Arial" w:cs="Arial" w:eastAsia="Arial" w:hAnsi="Arial"/>
                <w:sz w:val="14"/>
                <w:szCs w:val="14"/>
                <w:color w:val="003E64"/>
              </w:rPr>
              <w:t>•</w:t>
            </w:r>
          </w:p>
        </w:tc>
        <w:tc>
          <w:tcPr>
            <w:tcW w:w="1340" w:type="dxa"/>
            <w:vAlign w:val="bottom"/>
          </w:tcPr>
          <w:p>
            <w:pPr>
              <w:ind w:left="60"/>
              <w:spacing w:after="0"/>
              <w:rPr>
                <w:sz w:val="20"/>
                <w:szCs w:val="20"/>
                <w:color w:val="auto"/>
              </w:rPr>
            </w:pPr>
            <w:r>
              <w:rPr>
                <w:rFonts w:ascii="Arial" w:cs="Arial" w:eastAsia="Arial" w:hAnsi="Arial"/>
                <w:sz w:val="14"/>
                <w:szCs w:val="14"/>
                <w:color w:val="4D4D4F"/>
              </w:rPr>
              <w:t>Industry</w:t>
            </w:r>
          </w:p>
        </w:tc>
        <w:tc>
          <w:tcPr>
            <w:tcW w:w="560" w:type="dxa"/>
            <w:vAlign w:val="bottom"/>
          </w:tcPr>
          <w:p>
            <w:pPr>
              <w:jc w:val="center"/>
              <w:ind w:right="51"/>
              <w:spacing w:after="0" w:line="141" w:lineRule="exact"/>
              <w:rPr>
                <w:sz w:val="20"/>
                <w:szCs w:val="20"/>
                <w:color w:val="auto"/>
              </w:rPr>
            </w:pPr>
            <w:r>
              <w:rPr>
                <w:rFonts w:ascii="MS PGothic" w:cs="MS PGothic" w:eastAsia="MS PGothic" w:hAnsi="MS PGothic"/>
                <w:sz w:val="14"/>
                <w:szCs w:val="14"/>
                <w:color w:val="auto"/>
                <w:w w:val="85"/>
                <w:shd w:val="clear" w:color="auto" w:fill="003E64"/>
              </w:rPr>
              <w:t>✔</w:t>
            </w:r>
          </w:p>
        </w:tc>
        <w:tc>
          <w:tcPr>
            <w:tcW w:w="740" w:type="dxa"/>
            <w:vAlign w:val="bottom"/>
          </w:tcPr>
          <w:p>
            <w:pPr>
              <w:ind w:left="640"/>
              <w:spacing w:after="0"/>
              <w:rPr>
                <w:sz w:val="20"/>
                <w:szCs w:val="20"/>
                <w:color w:val="auto"/>
              </w:rPr>
            </w:pPr>
            <w:r>
              <w:rPr>
                <w:rFonts w:ascii="Arial" w:cs="Arial" w:eastAsia="Arial" w:hAnsi="Arial"/>
                <w:sz w:val="14"/>
                <w:szCs w:val="14"/>
                <w:color w:val="003E64"/>
              </w:rPr>
              <w:t>•</w:t>
            </w:r>
          </w:p>
        </w:tc>
        <w:tc>
          <w:tcPr>
            <w:tcW w:w="1240" w:type="dxa"/>
            <w:vAlign w:val="bottom"/>
          </w:tcPr>
          <w:p>
            <w:pPr>
              <w:ind w:left="60"/>
              <w:spacing w:after="0"/>
              <w:rPr>
                <w:sz w:val="20"/>
                <w:szCs w:val="20"/>
                <w:color w:val="auto"/>
              </w:rPr>
            </w:pPr>
            <w:r>
              <w:rPr>
                <w:rFonts w:ascii="Arial" w:cs="Arial" w:eastAsia="Arial" w:hAnsi="Arial"/>
                <w:sz w:val="14"/>
                <w:szCs w:val="14"/>
                <w:color w:val="4D4D4F"/>
              </w:rPr>
              <w:t>Audit</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4D4D4F"/>
              </w:rPr>
              <w:t>Corporation</w:t>
            </w:r>
          </w:p>
        </w:tc>
        <w:tc>
          <w:tcPr>
            <w:tcW w:w="100" w:type="dxa"/>
            <w:vAlign w:val="bottom"/>
            <w:vMerge w:val="restart"/>
          </w:tcPr>
          <w:p>
            <w:pPr>
              <w:spacing w:after="0"/>
              <w:rPr>
                <w:sz w:val="20"/>
                <w:szCs w:val="20"/>
                <w:color w:val="auto"/>
              </w:rPr>
            </w:pPr>
            <w:r>
              <w:rPr>
                <w:rFonts w:ascii="Arial" w:cs="Arial" w:eastAsia="Arial" w:hAnsi="Arial"/>
                <w:sz w:val="14"/>
                <w:szCs w:val="14"/>
                <w:color w:val="003E64"/>
              </w:rPr>
              <w:t>•</w:t>
            </w:r>
          </w:p>
        </w:tc>
        <w:tc>
          <w:tcPr>
            <w:tcW w:w="1340" w:type="dxa"/>
            <w:vAlign w:val="bottom"/>
            <w:vMerge w:val="restart"/>
          </w:tcPr>
          <w:p>
            <w:pPr>
              <w:ind w:left="60"/>
              <w:spacing w:after="0"/>
              <w:rPr>
                <w:sz w:val="20"/>
                <w:szCs w:val="20"/>
                <w:color w:val="auto"/>
              </w:rPr>
            </w:pPr>
            <w:r>
              <w:rPr>
                <w:rFonts w:ascii="Arial" w:cs="Arial" w:eastAsia="Arial" w:hAnsi="Arial"/>
                <w:sz w:val="14"/>
                <w:szCs w:val="14"/>
                <w:color w:val="4D4D4F"/>
              </w:rPr>
              <w:t>Global</w:t>
            </w:r>
          </w:p>
        </w:tc>
        <w:tc>
          <w:tcPr>
            <w:tcW w:w="560" w:type="dxa"/>
            <w:vAlign w:val="bottom"/>
          </w:tcPr>
          <w:p>
            <w:pPr>
              <w:spacing w:after="0"/>
              <w:rPr>
                <w:sz w:val="14"/>
                <w:szCs w:val="14"/>
                <w:color w:val="auto"/>
              </w:rPr>
            </w:pPr>
          </w:p>
        </w:tc>
        <w:tc>
          <w:tcPr>
            <w:tcW w:w="740" w:type="dxa"/>
            <w:vAlign w:val="bottom"/>
            <w:vMerge w:val="restart"/>
          </w:tcPr>
          <w:p>
            <w:pPr>
              <w:ind w:left="640"/>
              <w:spacing w:after="0"/>
              <w:rPr>
                <w:sz w:val="20"/>
                <w:szCs w:val="20"/>
                <w:color w:val="auto"/>
              </w:rPr>
            </w:pPr>
            <w:r>
              <w:rPr>
                <w:rFonts w:ascii="Arial" w:cs="Arial" w:eastAsia="Arial" w:hAnsi="Arial"/>
                <w:sz w:val="14"/>
                <w:szCs w:val="14"/>
                <w:color w:val="003E64"/>
              </w:rPr>
              <w:t>•</w:t>
            </w:r>
          </w:p>
        </w:tc>
        <w:tc>
          <w:tcPr>
            <w:tcW w:w="1240" w:type="dxa"/>
            <w:vAlign w:val="bottom"/>
            <w:vMerge w:val="restart"/>
          </w:tcPr>
          <w:p>
            <w:pPr>
              <w:ind w:left="60"/>
              <w:spacing w:after="0"/>
              <w:rPr>
                <w:sz w:val="20"/>
                <w:szCs w:val="20"/>
                <w:color w:val="auto"/>
              </w:rPr>
            </w:pPr>
            <w:r>
              <w:rPr>
                <w:rFonts w:ascii="Arial" w:cs="Arial" w:eastAsia="Arial" w:hAnsi="Arial"/>
                <w:sz w:val="14"/>
                <w:szCs w:val="14"/>
                <w:color w:val="4D4D4F"/>
              </w:rPr>
              <w:t>Compensation</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4D4D4F"/>
              </w:rPr>
              <w:t xml:space="preserve">Former President of Champion </w:t>
            </w:r>
            <w:r>
              <w:rPr>
                <w:rFonts w:ascii="Arial" w:cs="Arial" w:eastAsia="Arial" w:hAnsi="Arial"/>
                <w:sz w:val="14"/>
                <w:szCs w:val="14"/>
                <w:color w:val="003E64"/>
              </w:rPr>
              <w:t>•</w:t>
            </w:r>
          </w:p>
        </w:tc>
        <w:tc>
          <w:tcPr>
            <w:tcW w:w="1340" w:type="dxa"/>
            <w:vAlign w:val="bottom"/>
          </w:tcPr>
          <w:p>
            <w:pPr>
              <w:ind w:left="60"/>
              <w:spacing w:after="0"/>
              <w:rPr>
                <w:sz w:val="20"/>
                <w:szCs w:val="20"/>
                <w:color w:val="auto"/>
              </w:rPr>
            </w:pPr>
            <w:r>
              <w:rPr>
                <w:rFonts w:ascii="Arial" w:cs="Arial" w:eastAsia="Arial" w:hAnsi="Arial"/>
                <w:sz w:val="14"/>
                <w:szCs w:val="14"/>
                <w:color w:val="4D4D4F"/>
              </w:rPr>
              <w:t>Leadership</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4"/>
                <w:szCs w:val="14"/>
                <w:color w:val="4D4D4F"/>
              </w:rPr>
              <w:t>Microelectronic Corp.</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1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560" w:type="dxa"/>
            <w:vAlign w:val="bottom"/>
            <w:shd w:val="clear" w:color="auto" w:fill="B7E4FF"/>
          </w:tcPr>
          <w:p>
            <w:pPr>
              <w:spacing w:after="0"/>
              <w:rPr>
                <w:sz w:val="20"/>
                <w:szCs w:val="20"/>
                <w:color w:val="auto"/>
              </w:rPr>
            </w:pPr>
            <w:r>
              <w:rPr>
                <w:rFonts w:ascii="Arial" w:cs="Arial" w:eastAsia="Arial" w:hAnsi="Arial"/>
                <w:sz w:val="14"/>
                <w:szCs w:val="14"/>
                <w:color w:val="4D4D4F"/>
              </w:rPr>
              <w:t>Chenming C. Hu</w:t>
            </w:r>
          </w:p>
        </w:tc>
        <w:tc>
          <w:tcPr>
            <w:tcW w:w="44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73</w:t>
            </w:r>
          </w:p>
        </w:tc>
        <w:tc>
          <w:tcPr>
            <w:tcW w:w="88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2017</w:t>
            </w:r>
          </w:p>
        </w:tc>
        <w:tc>
          <w:tcPr>
            <w:tcW w:w="2280" w:type="dxa"/>
            <w:vAlign w:val="bottom"/>
            <w:shd w:val="clear" w:color="auto" w:fill="B7E4FF"/>
          </w:tcPr>
          <w:p>
            <w:pPr>
              <w:spacing w:after="0"/>
              <w:rPr>
                <w:sz w:val="20"/>
                <w:szCs w:val="20"/>
                <w:color w:val="auto"/>
              </w:rPr>
            </w:pPr>
            <w:r>
              <w:rPr>
                <w:rFonts w:ascii="Arial" w:cs="Arial" w:eastAsia="Arial" w:hAnsi="Arial"/>
                <w:sz w:val="14"/>
                <w:szCs w:val="14"/>
                <w:color w:val="4D4D4F"/>
              </w:rPr>
              <w:t>Professor of Engineering and</w:t>
            </w:r>
          </w:p>
        </w:tc>
        <w:tc>
          <w:tcPr>
            <w:tcW w:w="100" w:type="dxa"/>
            <w:vAlign w:val="bottom"/>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shd w:val="clear" w:color="auto" w:fill="B7E4FF"/>
          </w:tcPr>
          <w:p>
            <w:pPr>
              <w:ind w:left="60"/>
              <w:spacing w:after="0"/>
              <w:rPr>
                <w:sz w:val="20"/>
                <w:szCs w:val="20"/>
                <w:color w:val="auto"/>
              </w:rPr>
            </w:pPr>
            <w:r>
              <w:rPr>
                <w:rFonts w:ascii="Arial" w:cs="Arial" w:eastAsia="Arial" w:hAnsi="Arial"/>
                <w:sz w:val="14"/>
                <w:szCs w:val="14"/>
                <w:color w:val="4D4D4F"/>
              </w:rPr>
              <w:t>Innovation</w:t>
            </w:r>
          </w:p>
        </w:tc>
        <w:tc>
          <w:tcPr>
            <w:tcW w:w="560" w:type="dxa"/>
            <w:vAlign w:val="bottom"/>
            <w:shd w:val="clear" w:color="auto" w:fill="B7E4FF"/>
          </w:tcPr>
          <w:p>
            <w:pPr>
              <w:jc w:val="center"/>
              <w:ind w:right="51"/>
              <w:spacing w:after="0" w:line="141" w:lineRule="exact"/>
              <w:rPr>
                <w:sz w:val="20"/>
                <w:szCs w:val="20"/>
                <w:color w:val="auto"/>
              </w:rPr>
            </w:pPr>
            <w:r>
              <w:rPr>
                <w:rFonts w:ascii="MS PGothic" w:cs="MS PGothic" w:eastAsia="MS PGothic" w:hAnsi="MS PGothic"/>
                <w:sz w:val="14"/>
                <w:szCs w:val="14"/>
                <w:color w:val="auto"/>
                <w:w w:val="85"/>
                <w:shd w:val="clear" w:color="auto" w:fill="0079C0"/>
              </w:rPr>
              <w:t>✔</w:t>
            </w:r>
          </w:p>
        </w:tc>
        <w:tc>
          <w:tcPr>
            <w:tcW w:w="740" w:type="dxa"/>
            <w:vAlign w:val="bottom"/>
            <w:shd w:val="clear" w:color="auto" w:fill="B7E4FF"/>
          </w:tcPr>
          <w:p>
            <w:pPr>
              <w:ind w:left="640"/>
              <w:spacing w:after="0"/>
              <w:rPr>
                <w:sz w:val="20"/>
                <w:szCs w:val="20"/>
                <w:color w:val="auto"/>
              </w:rPr>
            </w:pPr>
            <w:r>
              <w:rPr>
                <w:rFonts w:ascii="Arial" w:cs="Arial" w:eastAsia="Arial" w:hAnsi="Arial"/>
                <w:sz w:val="14"/>
                <w:szCs w:val="14"/>
                <w:color w:val="003E64"/>
              </w:rPr>
              <w:t>•</w:t>
            </w:r>
          </w:p>
        </w:tc>
        <w:tc>
          <w:tcPr>
            <w:tcW w:w="1240" w:type="dxa"/>
            <w:vAlign w:val="bottom"/>
            <w:shd w:val="clear" w:color="auto" w:fill="B7E4FF"/>
          </w:tcPr>
          <w:p>
            <w:pPr>
              <w:ind w:left="60"/>
              <w:spacing w:after="0"/>
              <w:rPr>
                <w:sz w:val="20"/>
                <w:szCs w:val="20"/>
                <w:color w:val="auto"/>
              </w:rPr>
            </w:pPr>
            <w:r>
              <w:rPr>
                <w:rFonts w:ascii="Arial" w:cs="Arial" w:eastAsia="Arial" w:hAnsi="Arial"/>
                <w:sz w:val="14"/>
                <w:szCs w:val="14"/>
                <w:color w:val="4D4D4F"/>
              </w:rPr>
              <w:t>Nominating and</w:t>
            </w:r>
          </w:p>
        </w:tc>
        <w:tc>
          <w:tcPr>
            <w:tcW w:w="240" w:type="dxa"/>
            <w:vAlign w:val="bottom"/>
            <w:shd w:val="clear" w:color="auto" w:fill="B7E4FF"/>
          </w:tcPr>
          <w:p>
            <w:pPr>
              <w:ind w:left="140"/>
              <w:spacing w:after="0"/>
              <w:rPr>
                <w:sz w:val="20"/>
                <w:szCs w:val="20"/>
                <w:color w:val="auto"/>
              </w:rPr>
            </w:pPr>
            <w:r>
              <w:rPr>
                <w:rFonts w:ascii="Arial" w:cs="Arial" w:eastAsia="Arial" w:hAnsi="Arial"/>
                <w:sz w:val="14"/>
                <w:szCs w:val="14"/>
                <w:color w:val="003E64"/>
              </w:rPr>
              <w:t>•</w:t>
            </w:r>
          </w:p>
        </w:tc>
        <w:tc>
          <w:tcPr>
            <w:tcW w:w="1720" w:type="dxa"/>
            <w:vAlign w:val="bottom"/>
            <w:shd w:val="clear" w:color="auto" w:fill="B7E4FF"/>
          </w:tcPr>
          <w:p>
            <w:pPr>
              <w:ind w:left="40"/>
              <w:spacing w:after="0"/>
              <w:rPr>
                <w:sz w:val="20"/>
                <w:szCs w:val="20"/>
                <w:color w:val="auto"/>
              </w:rPr>
            </w:pPr>
            <w:r>
              <w:rPr>
                <w:rFonts w:ascii="Arial" w:cs="Arial" w:eastAsia="Arial" w:hAnsi="Arial"/>
                <w:sz w:val="14"/>
                <w:szCs w:val="14"/>
                <w:color w:val="4D4D4F"/>
              </w:rPr>
              <w:t>Ambarella, Inc.</w:t>
            </w:r>
          </w:p>
        </w:tc>
        <w:tc>
          <w:tcPr>
            <w:tcW w:w="0" w:type="dxa"/>
            <w:vAlign w:val="bottom"/>
          </w:tcPr>
          <w:p>
            <w:pPr>
              <w:spacing w:after="0"/>
              <w:rPr>
                <w:sz w:val="1"/>
                <w:szCs w:val="1"/>
                <w:color w:val="auto"/>
              </w:rPr>
            </w:pPr>
          </w:p>
        </w:tc>
      </w:tr>
      <w:tr>
        <w:trPr>
          <w:trHeight w:val="184"/>
        </w:trPr>
        <w:tc>
          <w:tcPr>
            <w:tcW w:w="1560" w:type="dxa"/>
            <w:vAlign w:val="bottom"/>
            <w:shd w:val="clear" w:color="auto" w:fill="B7E4FF"/>
          </w:tcPr>
          <w:p>
            <w:pPr>
              <w:spacing w:after="0"/>
              <w:rPr>
                <w:sz w:val="16"/>
                <w:szCs w:val="16"/>
                <w:color w:val="auto"/>
              </w:rPr>
            </w:pPr>
          </w:p>
        </w:tc>
        <w:tc>
          <w:tcPr>
            <w:tcW w:w="440" w:type="dxa"/>
            <w:vAlign w:val="bottom"/>
            <w:shd w:val="clear" w:color="auto" w:fill="B7E4FF"/>
          </w:tcPr>
          <w:p>
            <w:pPr>
              <w:spacing w:after="0"/>
              <w:rPr>
                <w:sz w:val="16"/>
                <w:szCs w:val="16"/>
                <w:color w:val="auto"/>
              </w:rPr>
            </w:pPr>
          </w:p>
        </w:tc>
        <w:tc>
          <w:tcPr>
            <w:tcW w:w="880" w:type="dxa"/>
            <w:vAlign w:val="bottom"/>
            <w:shd w:val="clear" w:color="auto" w:fill="B7E4FF"/>
          </w:tcPr>
          <w:p>
            <w:pPr>
              <w:spacing w:after="0"/>
              <w:rPr>
                <w:sz w:val="16"/>
                <w:szCs w:val="16"/>
                <w:color w:val="auto"/>
              </w:rPr>
            </w:pPr>
          </w:p>
        </w:tc>
        <w:tc>
          <w:tcPr>
            <w:tcW w:w="2280" w:type="dxa"/>
            <w:vAlign w:val="bottom"/>
            <w:shd w:val="clear" w:color="auto" w:fill="B7E4FF"/>
          </w:tcPr>
          <w:p>
            <w:pPr>
              <w:spacing w:after="0"/>
              <w:rPr>
                <w:sz w:val="20"/>
                <w:szCs w:val="20"/>
                <w:color w:val="auto"/>
              </w:rPr>
            </w:pPr>
            <w:r>
              <w:rPr>
                <w:rFonts w:ascii="Arial" w:cs="Arial" w:eastAsia="Arial" w:hAnsi="Arial"/>
                <w:sz w:val="14"/>
                <w:szCs w:val="14"/>
                <w:color w:val="4D4D4F"/>
              </w:rPr>
              <w:t>Computer Sciences, University of</w:t>
            </w:r>
          </w:p>
        </w:tc>
        <w:tc>
          <w:tcPr>
            <w:tcW w:w="100" w:type="dxa"/>
            <w:vAlign w:val="bottom"/>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shd w:val="clear" w:color="auto" w:fill="B7E4FF"/>
          </w:tcPr>
          <w:p>
            <w:pPr>
              <w:ind w:left="60"/>
              <w:spacing w:after="0"/>
              <w:rPr>
                <w:sz w:val="20"/>
                <w:szCs w:val="20"/>
                <w:color w:val="auto"/>
              </w:rPr>
            </w:pPr>
            <w:r>
              <w:rPr>
                <w:rFonts w:ascii="Arial" w:cs="Arial" w:eastAsia="Arial" w:hAnsi="Arial"/>
                <w:sz w:val="14"/>
                <w:szCs w:val="14"/>
                <w:color w:val="4D4D4F"/>
              </w:rPr>
              <w:t>Industry</w:t>
            </w:r>
          </w:p>
        </w:tc>
        <w:tc>
          <w:tcPr>
            <w:tcW w:w="560" w:type="dxa"/>
            <w:vAlign w:val="bottom"/>
            <w:shd w:val="clear" w:color="auto" w:fill="B7E4FF"/>
          </w:tcPr>
          <w:p>
            <w:pPr>
              <w:spacing w:after="0"/>
              <w:rPr>
                <w:sz w:val="16"/>
                <w:szCs w:val="16"/>
                <w:color w:val="auto"/>
              </w:rPr>
            </w:pPr>
          </w:p>
        </w:tc>
        <w:tc>
          <w:tcPr>
            <w:tcW w:w="740" w:type="dxa"/>
            <w:vAlign w:val="bottom"/>
            <w:shd w:val="clear" w:color="auto" w:fill="B7E4FF"/>
          </w:tcPr>
          <w:p>
            <w:pPr>
              <w:spacing w:after="0"/>
              <w:rPr>
                <w:sz w:val="16"/>
                <w:szCs w:val="16"/>
                <w:color w:val="auto"/>
              </w:rPr>
            </w:pPr>
          </w:p>
        </w:tc>
        <w:tc>
          <w:tcPr>
            <w:tcW w:w="1240" w:type="dxa"/>
            <w:vAlign w:val="bottom"/>
            <w:shd w:val="clear" w:color="auto" w:fill="B7E4FF"/>
          </w:tcPr>
          <w:p>
            <w:pPr>
              <w:ind w:left="60"/>
              <w:spacing w:after="0"/>
              <w:rPr>
                <w:sz w:val="20"/>
                <w:szCs w:val="20"/>
                <w:color w:val="auto"/>
              </w:rPr>
            </w:pPr>
            <w:r>
              <w:rPr>
                <w:rFonts w:ascii="Arial" w:cs="Arial" w:eastAsia="Arial" w:hAnsi="Arial"/>
                <w:sz w:val="14"/>
                <w:szCs w:val="14"/>
                <w:color w:val="4D4D4F"/>
              </w:rPr>
              <w:t>Governance</w:t>
            </w:r>
          </w:p>
        </w:tc>
        <w:tc>
          <w:tcPr>
            <w:tcW w:w="240" w:type="dxa"/>
            <w:vAlign w:val="bottom"/>
            <w:shd w:val="clear" w:color="auto" w:fill="B7E4FF"/>
          </w:tcPr>
          <w:p>
            <w:pPr>
              <w:ind w:left="140"/>
              <w:spacing w:after="0"/>
              <w:rPr>
                <w:sz w:val="20"/>
                <w:szCs w:val="20"/>
                <w:color w:val="auto"/>
              </w:rPr>
            </w:pPr>
            <w:r>
              <w:rPr>
                <w:rFonts w:ascii="Arial" w:cs="Arial" w:eastAsia="Arial" w:hAnsi="Arial"/>
                <w:sz w:val="14"/>
                <w:szCs w:val="14"/>
                <w:color w:val="003E64"/>
              </w:rPr>
              <w:t>•</w:t>
            </w:r>
          </w:p>
        </w:tc>
        <w:tc>
          <w:tcPr>
            <w:tcW w:w="1720" w:type="dxa"/>
            <w:vAlign w:val="bottom"/>
            <w:shd w:val="clear" w:color="auto" w:fill="B7E4FF"/>
          </w:tcPr>
          <w:p>
            <w:pPr>
              <w:ind w:left="40"/>
              <w:spacing w:after="0"/>
              <w:rPr>
                <w:sz w:val="20"/>
                <w:szCs w:val="20"/>
                <w:color w:val="auto"/>
              </w:rPr>
            </w:pPr>
            <w:r>
              <w:rPr>
                <w:rFonts w:ascii="Arial" w:cs="Arial" w:eastAsia="Arial" w:hAnsi="Arial"/>
                <w:sz w:val="14"/>
                <w:szCs w:val="14"/>
                <w:color w:val="4D4D4F"/>
              </w:rPr>
              <w:t>Inphi Corporation</w:t>
            </w:r>
          </w:p>
        </w:tc>
        <w:tc>
          <w:tcPr>
            <w:tcW w:w="0" w:type="dxa"/>
            <w:vAlign w:val="bottom"/>
          </w:tcPr>
          <w:p>
            <w:pPr>
              <w:spacing w:after="0"/>
              <w:rPr>
                <w:sz w:val="1"/>
                <w:szCs w:val="1"/>
                <w:color w:val="auto"/>
              </w:rPr>
            </w:pPr>
          </w:p>
        </w:tc>
      </w:tr>
      <w:tr>
        <w:trPr>
          <w:trHeight w:val="172"/>
        </w:trPr>
        <w:tc>
          <w:tcPr>
            <w:tcW w:w="1560" w:type="dxa"/>
            <w:vAlign w:val="bottom"/>
            <w:shd w:val="clear" w:color="auto" w:fill="B7E4FF"/>
          </w:tcPr>
          <w:p>
            <w:pPr>
              <w:spacing w:after="0"/>
              <w:rPr>
                <w:sz w:val="14"/>
                <w:szCs w:val="14"/>
                <w:color w:val="auto"/>
              </w:rPr>
            </w:pPr>
          </w:p>
        </w:tc>
        <w:tc>
          <w:tcPr>
            <w:tcW w:w="440" w:type="dxa"/>
            <w:vAlign w:val="bottom"/>
            <w:shd w:val="clear" w:color="auto" w:fill="B7E4FF"/>
          </w:tcPr>
          <w:p>
            <w:pPr>
              <w:spacing w:after="0"/>
              <w:rPr>
                <w:sz w:val="14"/>
                <w:szCs w:val="14"/>
                <w:color w:val="auto"/>
              </w:rPr>
            </w:pPr>
          </w:p>
        </w:tc>
        <w:tc>
          <w:tcPr>
            <w:tcW w:w="880" w:type="dxa"/>
            <w:vAlign w:val="bottom"/>
            <w:shd w:val="clear" w:color="auto" w:fill="B7E4FF"/>
          </w:tcPr>
          <w:p>
            <w:pPr>
              <w:spacing w:after="0"/>
              <w:rPr>
                <w:sz w:val="14"/>
                <w:szCs w:val="14"/>
                <w:color w:val="auto"/>
              </w:rPr>
            </w:pPr>
          </w:p>
        </w:tc>
        <w:tc>
          <w:tcPr>
            <w:tcW w:w="2280" w:type="dxa"/>
            <w:vAlign w:val="bottom"/>
            <w:shd w:val="clear" w:color="auto" w:fill="B7E4FF"/>
          </w:tcPr>
          <w:p>
            <w:pPr>
              <w:spacing w:after="0"/>
              <w:rPr>
                <w:sz w:val="20"/>
                <w:szCs w:val="20"/>
                <w:color w:val="auto"/>
              </w:rPr>
            </w:pPr>
            <w:r>
              <w:rPr>
                <w:rFonts w:ascii="Arial" w:cs="Arial" w:eastAsia="Arial" w:hAnsi="Arial"/>
                <w:sz w:val="14"/>
                <w:szCs w:val="14"/>
                <w:color w:val="4D4D4F"/>
              </w:rPr>
              <w:t>California, Berkeley</w:t>
            </w:r>
          </w:p>
        </w:tc>
        <w:tc>
          <w:tcPr>
            <w:tcW w:w="100" w:type="dxa"/>
            <w:vAlign w:val="bottom"/>
            <w:vMerge w:val="restart"/>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vMerge w:val="restart"/>
            <w:shd w:val="clear" w:color="auto" w:fill="B7E4FF"/>
          </w:tcPr>
          <w:p>
            <w:pPr>
              <w:ind w:left="60"/>
              <w:spacing w:after="0"/>
              <w:rPr>
                <w:sz w:val="20"/>
                <w:szCs w:val="20"/>
                <w:color w:val="auto"/>
              </w:rPr>
            </w:pPr>
            <w:r>
              <w:rPr>
                <w:rFonts w:ascii="Arial" w:cs="Arial" w:eastAsia="Arial" w:hAnsi="Arial"/>
                <w:sz w:val="14"/>
                <w:szCs w:val="14"/>
                <w:color w:val="4D4D4F"/>
              </w:rPr>
              <w:t>Education</w:t>
            </w:r>
          </w:p>
        </w:tc>
        <w:tc>
          <w:tcPr>
            <w:tcW w:w="560" w:type="dxa"/>
            <w:vAlign w:val="bottom"/>
            <w:shd w:val="clear" w:color="auto" w:fill="B7E4FF"/>
          </w:tcPr>
          <w:p>
            <w:pPr>
              <w:spacing w:after="0"/>
              <w:rPr>
                <w:sz w:val="14"/>
                <w:szCs w:val="14"/>
                <w:color w:val="auto"/>
              </w:rPr>
            </w:pPr>
          </w:p>
        </w:tc>
        <w:tc>
          <w:tcPr>
            <w:tcW w:w="740" w:type="dxa"/>
            <w:vAlign w:val="bottom"/>
            <w:shd w:val="clear" w:color="auto" w:fill="B7E4FF"/>
          </w:tcPr>
          <w:p>
            <w:pPr>
              <w:spacing w:after="0"/>
              <w:rPr>
                <w:sz w:val="14"/>
                <w:szCs w:val="14"/>
                <w:color w:val="auto"/>
              </w:rPr>
            </w:pPr>
          </w:p>
        </w:tc>
        <w:tc>
          <w:tcPr>
            <w:tcW w:w="1240" w:type="dxa"/>
            <w:vAlign w:val="bottom"/>
            <w:shd w:val="clear" w:color="auto" w:fill="B7E4FF"/>
          </w:tcPr>
          <w:p>
            <w:pPr>
              <w:spacing w:after="0"/>
              <w:rPr>
                <w:sz w:val="14"/>
                <w:szCs w:val="14"/>
                <w:color w:val="auto"/>
              </w:rPr>
            </w:pPr>
          </w:p>
        </w:tc>
        <w:tc>
          <w:tcPr>
            <w:tcW w:w="240" w:type="dxa"/>
            <w:vAlign w:val="bottom"/>
            <w:shd w:val="clear" w:color="auto" w:fill="B7E4FF"/>
          </w:tcPr>
          <w:p>
            <w:pPr>
              <w:spacing w:after="0"/>
              <w:rPr>
                <w:sz w:val="14"/>
                <w:szCs w:val="14"/>
                <w:color w:val="auto"/>
              </w:rPr>
            </w:pPr>
          </w:p>
        </w:tc>
        <w:tc>
          <w:tcPr>
            <w:tcW w:w="1720" w:type="dxa"/>
            <w:vAlign w:val="bottom"/>
            <w:shd w:val="clear" w:color="auto" w:fill="B7E4FF"/>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560" w:type="dxa"/>
            <w:vAlign w:val="bottom"/>
            <w:shd w:val="clear" w:color="auto" w:fill="B7E4FF"/>
          </w:tcPr>
          <w:p>
            <w:pPr>
              <w:spacing w:after="0"/>
              <w:rPr>
                <w:sz w:val="7"/>
                <w:szCs w:val="7"/>
                <w:color w:val="auto"/>
              </w:rPr>
            </w:pPr>
          </w:p>
        </w:tc>
        <w:tc>
          <w:tcPr>
            <w:tcW w:w="440" w:type="dxa"/>
            <w:vAlign w:val="bottom"/>
            <w:shd w:val="clear" w:color="auto" w:fill="B7E4FF"/>
          </w:tcPr>
          <w:p>
            <w:pPr>
              <w:spacing w:after="0"/>
              <w:rPr>
                <w:sz w:val="7"/>
                <w:szCs w:val="7"/>
                <w:color w:val="auto"/>
              </w:rPr>
            </w:pPr>
          </w:p>
        </w:tc>
        <w:tc>
          <w:tcPr>
            <w:tcW w:w="880" w:type="dxa"/>
            <w:vAlign w:val="bottom"/>
            <w:shd w:val="clear" w:color="auto" w:fill="B7E4FF"/>
          </w:tcPr>
          <w:p>
            <w:pPr>
              <w:spacing w:after="0"/>
              <w:rPr>
                <w:sz w:val="7"/>
                <w:szCs w:val="7"/>
                <w:color w:val="auto"/>
              </w:rPr>
            </w:pPr>
          </w:p>
        </w:tc>
        <w:tc>
          <w:tcPr>
            <w:tcW w:w="2280" w:type="dxa"/>
            <w:vAlign w:val="bottom"/>
            <w:shd w:val="clear" w:color="auto" w:fill="B7E4FF"/>
          </w:tcPr>
          <w:p>
            <w:pPr>
              <w:spacing w:after="0"/>
              <w:rPr>
                <w:sz w:val="7"/>
                <w:szCs w:val="7"/>
                <w:color w:val="auto"/>
              </w:rPr>
            </w:pPr>
          </w:p>
        </w:tc>
        <w:tc>
          <w:tcPr>
            <w:tcW w:w="100" w:type="dxa"/>
            <w:vAlign w:val="bottom"/>
            <w:vMerge w:val="continue"/>
            <w:shd w:val="clear" w:color="auto" w:fill="B7E4FF"/>
          </w:tcPr>
          <w:p>
            <w:pPr>
              <w:spacing w:after="0"/>
              <w:rPr>
                <w:sz w:val="7"/>
                <w:szCs w:val="7"/>
                <w:color w:val="auto"/>
              </w:rPr>
            </w:pPr>
          </w:p>
        </w:tc>
        <w:tc>
          <w:tcPr>
            <w:tcW w:w="1340" w:type="dxa"/>
            <w:vAlign w:val="bottom"/>
            <w:vMerge w:val="continue"/>
            <w:shd w:val="clear" w:color="auto" w:fill="B7E4FF"/>
          </w:tcPr>
          <w:p>
            <w:pPr>
              <w:spacing w:after="0"/>
              <w:rPr>
                <w:sz w:val="7"/>
                <w:szCs w:val="7"/>
                <w:color w:val="auto"/>
              </w:rPr>
            </w:pPr>
          </w:p>
        </w:tc>
        <w:tc>
          <w:tcPr>
            <w:tcW w:w="560" w:type="dxa"/>
            <w:vAlign w:val="bottom"/>
            <w:shd w:val="clear" w:color="auto" w:fill="B7E4FF"/>
          </w:tcPr>
          <w:p>
            <w:pPr>
              <w:spacing w:after="0"/>
              <w:rPr>
                <w:sz w:val="7"/>
                <w:szCs w:val="7"/>
                <w:color w:val="auto"/>
              </w:rPr>
            </w:pPr>
          </w:p>
        </w:tc>
        <w:tc>
          <w:tcPr>
            <w:tcW w:w="740" w:type="dxa"/>
            <w:vAlign w:val="bottom"/>
            <w:shd w:val="clear" w:color="auto" w:fill="B7E4FF"/>
          </w:tcPr>
          <w:p>
            <w:pPr>
              <w:spacing w:after="0"/>
              <w:rPr>
                <w:sz w:val="7"/>
                <w:szCs w:val="7"/>
                <w:color w:val="auto"/>
              </w:rPr>
            </w:pPr>
          </w:p>
        </w:tc>
        <w:tc>
          <w:tcPr>
            <w:tcW w:w="1240" w:type="dxa"/>
            <w:vAlign w:val="bottom"/>
            <w:shd w:val="clear" w:color="auto" w:fill="B7E4FF"/>
          </w:tcPr>
          <w:p>
            <w:pPr>
              <w:spacing w:after="0"/>
              <w:rPr>
                <w:sz w:val="7"/>
                <w:szCs w:val="7"/>
                <w:color w:val="auto"/>
              </w:rPr>
            </w:pPr>
          </w:p>
        </w:tc>
        <w:tc>
          <w:tcPr>
            <w:tcW w:w="240" w:type="dxa"/>
            <w:vAlign w:val="bottom"/>
            <w:shd w:val="clear" w:color="auto" w:fill="B7E4FF"/>
          </w:tcPr>
          <w:p>
            <w:pPr>
              <w:spacing w:after="0"/>
              <w:rPr>
                <w:sz w:val="7"/>
                <w:szCs w:val="7"/>
                <w:color w:val="auto"/>
              </w:rPr>
            </w:pPr>
          </w:p>
        </w:tc>
        <w:tc>
          <w:tcPr>
            <w:tcW w:w="1720" w:type="dxa"/>
            <w:vAlign w:val="bottom"/>
            <w:shd w:val="clear" w:color="auto" w:fill="B7E4FF"/>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560" w:type="dxa"/>
            <w:vAlign w:val="bottom"/>
            <w:shd w:val="clear" w:color="auto" w:fill="B7E4FF"/>
          </w:tcPr>
          <w:p>
            <w:pPr>
              <w:spacing w:after="0"/>
              <w:rPr>
                <w:sz w:val="6"/>
                <w:szCs w:val="6"/>
                <w:color w:val="auto"/>
              </w:rPr>
            </w:pPr>
          </w:p>
        </w:tc>
        <w:tc>
          <w:tcPr>
            <w:tcW w:w="440" w:type="dxa"/>
            <w:vAlign w:val="bottom"/>
            <w:shd w:val="clear" w:color="auto" w:fill="B7E4FF"/>
          </w:tcPr>
          <w:p>
            <w:pPr>
              <w:spacing w:after="0"/>
              <w:rPr>
                <w:sz w:val="6"/>
                <w:szCs w:val="6"/>
                <w:color w:val="auto"/>
              </w:rPr>
            </w:pPr>
          </w:p>
        </w:tc>
        <w:tc>
          <w:tcPr>
            <w:tcW w:w="880" w:type="dxa"/>
            <w:vAlign w:val="bottom"/>
            <w:shd w:val="clear" w:color="auto" w:fill="B7E4FF"/>
          </w:tcPr>
          <w:p>
            <w:pPr>
              <w:spacing w:after="0"/>
              <w:rPr>
                <w:sz w:val="6"/>
                <w:szCs w:val="6"/>
                <w:color w:val="auto"/>
              </w:rPr>
            </w:pPr>
          </w:p>
        </w:tc>
        <w:tc>
          <w:tcPr>
            <w:tcW w:w="2280" w:type="dxa"/>
            <w:vAlign w:val="bottom"/>
            <w:shd w:val="clear" w:color="auto" w:fill="B7E4FF"/>
          </w:tcPr>
          <w:p>
            <w:pPr>
              <w:spacing w:after="0"/>
              <w:rPr>
                <w:sz w:val="6"/>
                <w:szCs w:val="6"/>
                <w:color w:val="auto"/>
              </w:rPr>
            </w:pPr>
          </w:p>
        </w:tc>
        <w:tc>
          <w:tcPr>
            <w:tcW w:w="100" w:type="dxa"/>
            <w:vAlign w:val="bottom"/>
            <w:shd w:val="clear" w:color="auto" w:fill="B7E4FF"/>
          </w:tcPr>
          <w:p>
            <w:pPr>
              <w:spacing w:after="0"/>
              <w:rPr>
                <w:sz w:val="6"/>
                <w:szCs w:val="6"/>
                <w:color w:val="auto"/>
              </w:rPr>
            </w:pPr>
          </w:p>
        </w:tc>
        <w:tc>
          <w:tcPr>
            <w:tcW w:w="1340" w:type="dxa"/>
            <w:vAlign w:val="bottom"/>
            <w:shd w:val="clear" w:color="auto" w:fill="B7E4FF"/>
          </w:tcPr>
          <w:p>
            <w:pPr>
              <w:spacing w:after="0"/>
              <w:rPr>
                <w:sz w:val="6"/>
                <w:szCs w:val="6"/>
                <w:color w:val="auto"/>
              </w:rPr>
            </w:pPr>
          </w:p>
        </w:tc>
        <w:tc>
          <w:tcPr>
            <w:tcW w:w="560" w:type="dxa"/>
            <w:vAlign w:val="bottom"/>
            <w:shd w:val="clear" w:color="auto" w:fill="B7E4FF"/>
          </w:tcPr>
          <w:p>
            <w:pPr>
              <w:spacing w:after="0"/>
              <w:rPr>
                <w:sz w:val="6"/>
                <w:szCs w:val="6"/>
                <w:color w:val="auto"/>
              </w:rPr>
            </w:pPr>
          </w:p>
        </w:tc>
        <w:tc>
          <w:tcPr>
            <w:tcW w:w="740" w:type="dxa"/>
            <w:vAlign w:val="bottom"/>
            <w:shd w:val="clear" w:color="auto" w:fill="B7E4FF"/>
          </w:tcPr>
          <w:p>
            <w:pPr>
              <w:spacing w:after="0"/>
              <w:rPr>
                <w:sz w:val="6"/>
                <w:szCs w:val="6"/>
                <w:color w:val="auto"/>
              </w:rPr>
            </w:pPr>
          </w:p>
        </w:tc>
        <w:tc>
          <w:tcPr>
            <w:tcW w:w="1240" w:type="dxa"/>
            <w:vAlign w:val="bottom"/>
            <w:shd w:val="clear" w:color="auto" w:fill="B7E4FF"/>
          </w:tcPr>
          <w:p>
            <w:pPr>
              <w:spacing w:after="0"/>
              <w:rPr>
                <w:sz w:val="6"/>
                <w:szCs w:val="6"/>
                <w:color w:val="auto"/>
              </w:rPr>
            </w:pPr>
          </w:p>
        </w:tc>
        <w:tc>
          <w:tcPr>
            <w:tcW w:w="240" w:type="dxa"/>
            <w:vAlign w:val="bottom"/>
            <w:shd w:val="clear" w:color="auto" w:fill="B7E4FF"/>
          </w:tcPr>
          <w:p>
            <w:pPr>
              <w:spacing w:after="0"/>
              <w:rPr>
                <w:sz w:val="6"/>
                <w:szCs w:val="6"/>
                <w:color w:val="auto"/>
              </w:rPr>
            </w:pPr>
          </w:p>
        </w:tc>
        <w:tc>
          <w:tcPr>
            <w:tcW w:w="1720" w:type="dxa"/>
            <w:vAlign w:val="bottom"/>
            <w:shd w:val="clear" w:color="auto" w:fill="B7E4FF"/>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60" w:type="dxa"/>
            <w:vAlign w:val="bottom"/>
          </w:tcPr>
          <w:p>
            <w:pPr>
              <w:spacing w:after="0"/>
              <w:rPr>
                <w:sz w:val="20"/>
                <w:szCs w:val="20"/>
                <w:color w:val="auto"/>
              </w:rPr>
            </w:pPr>
            <w:r>
              <w:rPr>
                <w:rFonts w:ascii="Arial" w:cs="Arial" w:eastAsia="Arial" w:hAnsi="Arial"/>
                <w:sz w:val="14"/>
                <w:szCs w:val="14"/>
                <w:color w:val="4D4D4F"/>
              </w:rPr>
              <w:t>Tracy Liu</w:t>
            </w:r>
          </w:p>
        </w:tc>
        <w:tc>
          <w:tcPr>
            <w:tcW w:w="440" w:type="dxa"/>
            <w:vAlign w:val="bottom"/>
          </w:tcPr>
          <w:p>
            <w:pPr>
              <w:jc w:val="center"/>
              <w:spacing w:after="0"/>
              <w:rPr>
                <w:sz w:val="20"/>
                <w:szCs w:val="20"/>
                <w:color w:val="auto"/>
              </w:rPr>
            </w:pPr>
            <w:r>
              <w:rPr>
                <w:rFonts w:ascii="Arial" w:cs="Arial" w:eastAsia="Arial" w:hAnsi="Arial"/>
                <w:sz w:val="14"/>
                <w:szCs w:val="14"/>
                <w:color w:val="4D4D4F"/>
              </w:rPr>
              <w:t>56</w:t>
            </w:r>
          </w:p>
        </w:tc>
        <w:tc>
          <w:tcPr>
            <w:tcW w:w="880" w:type="dxa"/>
            <w:vAlign w:val="bottom"/>
          </w:tcPr>
          <w:p>
            <w:pPr>
              <w:jc w:val="center"/>
              <w:spacing w:after="0"/>
              <w:rPr>
                <w:sz w:val="20"/>
                <w:szCs w:val="20"/>
                <w:color w:val="auto"/>
              </w:rPr>
            </w:pPr>
            <w:r>
              <w:rPr>
                <w:rFonts w:ascii="Arial" w:cs="Arial" w:eastAsia="Arial" w:hAnsi="Arial"/>
                <w:sz w:val="14"/>
                <w:szCs w:val="14"/>
                <w:color w:val="4D4D4F"/>
              </w:rPr>
              <w:t>2016</w:t>
            </w:r>
          </w:p>
        </w:tc>
        <w:tc>
          <w:tcPr>
            <w:tcW w:w="2280" w:type="dxa"/>
            <w:vAlign w:val="bottom"/>
          </w:tcPr>
          <w:p>
            <w:pPr>
              <w:spacing w:after="0"/>
              <w:rPr>
                <w:sz w:val="20"/>
                <w:szCs w:val="20"/>
                <w:color w:val="auto"/>
              </w:rPr>
            </w:pPr>
            <w:r>
              <w:rPr>
                <w:rFonts w:ascii="Arial" w:cs="Arial" w:eastAsia="Arial" w:hAnsi="Arial"/>
                <w:sz w:val="14"/>
                <w:szCs w:val="14"/>
                <w:color w:val="4D4D4F"/>
              </w:rPr>
              <w:t>Managing Partner of H&amp;M Int’l</w:t>
            </w:r>
          </w:p>
        </w:tc>
        <w:tc>
          <w:tcPr>
            <w:tcW w:w="100" w:type="dxa"/>
            <w:vAlign w:val="bottom"/>
          </w:tcPr>
          <w:p>
            <w:pPr>
              <w:spacing w:after="0"/>
              <w:rPr>
                <w:sz w:val="20"/>
                <w:szCs w:val="20"/>
                <w:color w:val="auto"/>
              </w:rPr>
            </w:pPr>
            <w:r>
              <w:rPr>
                <w:rFonts w:ascii="Arial" w:cs="Arial" w:eastAsia="Arial" w:hAnsi="Arial"/>
                <w:sz w:val="14"/>
                <w:szCs w:val="14"/>
                <w:color w:val="003E64"/>
              </w:rPr>
              <w:t>•</w:t>
            </w:r>
          </w:p>
        </w:tc>
        <w:tc>
          <w:tcPr>
            <w:tcW w:w="1340" w:type="dxa"/>
            <w:vAlign w:val="bottom"/>
          </w:tcPr>
          <w:p>
            <w:pPr>
              <w:ind w:left="60"/>
              <w:spacing w:after="0"/>
              <w:rPr>
                <w:sz w:val="20"/>
                <w:szCs w:val="20"/>
                <w:color w:val="auto"/>
              </w:rPr>
            </w:pPr>
            <w:r>
              <w:rPr>
                <w:rFonts w:ascii="Arial" w:cs="Arial" w:eastAsia="Arial" w:hAnsi="Arial"/>
                <w:sz w:val="14"/>
                <w:szCs w:val="14"/>
                <w:color w:val="4D4D4F"/>
              </w:rPr>
              <w:t>Finance</w:t>
            </w:r>
          </w:p>
        </w:tc>
        <w:tc>
          <w:tcPr>
            <w:tcW w:w="560" w:type="dxa"/>
            <w:vAlign w:val="bottom"/>
          </w:tcPr>
          <w:p>
            <w:pPr>
              <w:jc w:val="center"/>
              <w:ind w:right="51"/>
              <w:spacing w:after="0" w:line="141" w:lineRule="exact"/>
              <w:rPr>
                <w:sz w:val="20"/>
                <w:szCs w:val="20"/>
                <w:color w:val="auto"/>
              </w:rPr>
            </w:pPr>
            <w:r>
              <w:rPr>
                <w:rFonts w:ascii="MS PGothic" w:cs="MS PGothic" w:eastAsia="MS PGothic" w:hAnsi="MS PGothic"/>
                <w:sz w:val="14"/>
                <w:szCs w:val="14"/>
                <w:color w:val="auto"/>
                <w:w w:val="85"/>
                <w:shd w:val="clear" w:color="auto" w:fill="003E64"/>
              </w:rPr>
              <w:t>✔</w:t>
            </w:r>
          </w:p>
        </w:tc>
        <w:tc>
          <w:tcPr>
            <w:tcW w:w="740" w:type="dxa"/>
            <w:vAlign w:val="bottom"/>
          </w:tcPr>
          <w:p>
            <w:pPr>
              <w:ind w:left="640"/>
              <w:spacing w:after="0"/>
              <w:rPr>
                <w:sz w:val="20"/>
                <w:szCs w:val="20"/>
                <w:color w:val="auto"/>
              </w:rPr>
            </w:pPr>
            <w:r>
              <w:rPr>
                <w:rFonts w:ascii="Arial" w:cs="Arial" w:eastAsia="Arial" w:hAnsi="Arial"/>
                <w:sz w:val="14"/>
                <w:szCs w:val="14"/>
                <w:color w:val="003E64"/>
              </w:rPr>
              <w:t>•</w:t>
            </w:r>
          </w:p>
        </w:tc>
        <w:tc>
          <w:tcPr>
            <w:tcW w:w="1240" w:type="dxa"/>
            <w:vAlign w:val="bottom"/>
          </w:tcPr>
          <w:p>
            <w:pPr>
              <w:ind w:left="60"/>
              <w:spacing w:after="0"/>
              <w:rPr>
                <w:sz w:val="20"/>
                <w:szCs w:val="20"/>
                <w:color w:val="auto"/>
              </w:rPr>
            </w:pPr>
            <w:r>
              <w:rPr>
                <w:rFonts w:ascii="Arial" w:cs="Arial" w:eastAsia="Arial" w:hAnsi="Arial"/>
                <w:sz w:val="14"/>
                <w:szCs w:val="14"/>
                <w:color w:val="4D4D4F"/>
              </w:rPr>
              <w:t>Audit</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4D4D4F"/>
              </w:rPr>
              <w:t>CPAs, LLP</w:t>
            </w:r>
          </w:p>
        </w:tc>
        <w:tc>
          <w:tcPr>
            <w:tcW w:w="100" w:type="dxa"/>
            <w:vAlign w:val="bottom"/>
            <w:vMerge w:val="restart"/>
          </w:tcPr>
          <w:p>
            <w:pPr>
              <w:spacing w:after="0"/>
              <w:rPr>
                <w:sz w:val="20"/>
                <w:szCs w:val="20"/>
                <w:color w:val="auto"/>
              </w:rPr>
            </w:pPr>
            <w:r>
              <w:rPr>
                <w:rFonts w:ascii="Arial" w:cs="Arial" w:eastAsia="Arial" w:hAnsi="Arial"/>
                <w:sz w:val="14"/>
                <w:szCs w:val="14"/>
                <w:color w:val="003E64"/>
              </w:rPr>
              <w:t>•</w:t>
            </w:r>
          </w:p>
        </w:tc>
        <w:tc>
          <w:tcPr>
            <w:tcW w:w="1340" w:type="dxa"/>
            <w:vAlign w:val="bottom"/>
            <w:vMerge w:val="restart"/>
          </w:tcPr>
          <w:p>
            <w:pPr>
              <w:ind w:left="60"/>
              <w:spacing w:after="0"/>
              <w:rPr>
                <w:sz w:val="20"/>
                <w:szCs w:val="20"/>
                <w:color w:val="auto"/>
              </w:rPr>
            </w:pPr>
            <w:r>
              <w:rPr>
                <w:rFonts w:ascii="Arial" w:cs="Arial" w:eastAsia="Arial" w:hAnsi="Arial"/>
                <w:sz w:val="14"/>
                <w:szCs w:val="14"/>
                <w:color w:val="4D4D4F"/>
              </w:rPr>
              <w:t>Leadership</w:t>
            </w:r>
          </w:p>
        </w:tc>
        <w:tc>
          <w:tcPr>
            <w:tcW w:w="560" w:type="dxa"/>
            <w:vAlign w:val="bottom"/>
          </w:tcPr>
          <w:p>
            <w:pPr>
              <w:spacing w:after="0"/>
              <w:rPr>
                <w:sz w:val="14"/>
                <w:szCs w:val="14"/>
                <w:color w:val="auto"/>
              </w:rPr>
            </w:pPr>
          </w:p>
        </w:tc>
        <w:tc>
          <w:tcPr>
            <w:tcW w:w="740" w:type="dxa"/>
            <w:vAlign w:val="bottom"/>
            <w:vMerge w:val="restart"/>
          </w:tcPr>
          <w:p>
            <w:pPr>
              <w:ind w:left="640"/>
              <w:spacing w:after="0"/>
              <w:rPr>
                <w:sz w:val="20"/>
                <w:szCs w:val="20"/>
                <w:color w:val="auto"/>
              </w:rPr>
            </w:pPr>
            <w:r>
              <w:rPr>
                <w:rFonts w:ascii="Arial" w:cs="Arial" w:eastAsia="Arial" w:hAnsi="Arial"/>
                <w:sz w:val="14"/>
                <w:szCs w:val="14"/>
                <w:color w:val="003E64"/>
              </w:rPr>
              <w:t>•</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4D4D4F"/>
              </w:rPr>
              <w:t>Compensation</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003E64"/>
              </w:rPr>
              <w:t>•</w:t>
            </w:r>
          </w:p>
        </w:tc>
        <w:tc>
          <w:tcPr>
            <w:tcW w:w="1340" w:type="dxa"/>
            <w:vAlign w:val="bottom"/>
          </w:tcPr>
          <w:p>
            <w:pPr>
              <w:ind w:left="60"/>
              <w:spacing w:after="0"/>
              <w:rPr>
                <w:sz w:val="20"/>
                <w:szCs w:val="20"/>
                <w:color w:val="auto"/>
              </w:rPr>
            </w:pPr>
            <w:r>
              <w:rPr>
                <w:rFonts w:ascii="Arial" w:cs="Arial" w:eastAsia="Arial" w:hAnsi="Arial"/>
                <w:sz w:val="14"/>
                <w:szCs w:val="14"/>
                <w:color w:val="4D4D4F"/>
              </w:rPr>
              <w:t>Global</w:t>
            </w:r>
          </w:p>
        </w:tc>
        <w:tc>
          <w:tcPr>
            <w:tcW w:w="560" w:type="dxa"/>
            <w:vAlign w:val="bottom"/>
          </w:tcPr>
          <w:p>
            <w:pPr>
              <w:spacing w:after="0"/>
              <w:rPr>
                <w:sz w:val="17"/>
                <w:szCs w:val="17"/>
                <w:color w:val="auto"/>
              </w:rPr>
            </w:pPr>
          </w:p>
        </w:tc>
        <w:tc>
          <w:tcPr>
            <w:tcW w:w="740" w:type="dxa"/>
            <w:vAlign w:val="bottom"/>
          </w:tcPr>
          <w:p>
            <w:pPr>
              <w:ind w:left="640"/>
              <w:spacing w:after="0"/>
              <w:rPr>
                <w:sz w:val="20"/>
                <w:szCs w:val="20"/>
                <w:color w:val="auto"/>
              </w:rPr>
            </w:pPr>
            <w:r>
              <w:rPr>
                <w:rFonts w:ascii="Arial" w:cs="Arial" w:eastAsia="Arial" w:hAnsi="Arial"/>
                <w:sz w:val="14"/>
                <w:szCs w:val="14"/>
                <w:color w:val="003E64"/>
              </w:rPr>
              <w:t>•</w:t>
            </w:r>
          </w:p>
        </w:tc>
        <w:tc>
          <w:tcPr>
            <w:tcW w:w="1240" w:type="dxa"/>
            <w:vAlign w:val="bottom"/>
          </w:tcPr>
          <w:p>
            <w:pPr>
              <w:ind w:left="60"/>
              <w:spacing w:after="0"/>
              <w:rPr>
                <w:sz w:val="20"/>
                <w:szCs w:val="20"/>
                <w:color w:val="auto"/>
              </w:rPr>
            </w:pPr>
            <w:r>
              <w:rPr>
                <w:rFonts w:ascii="Arial" w:cs="Arial" w:eastAsia="Arial" w:hAnsi="Arial"/>
                <w:sz w:val="14"/>
                <w:szCs w:val="14"/>
                <w:color w:val="4D4D4F"/>
              </w:rPr>
              <w:t>Nominating and</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Arial" w:cs="Arial" w:eastAsia="Arial" w:hAnsi="Arial"/>
                <w:sz w:val="14"/>
                <w:szCs w:val="14"/>
                <w:color w:val="4D4D4F"/>
              </w:rPr>
              <w:t>Governance</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60" w:type="dxa"/>
            <w:vAlign w:val="bottom"/>
            <w:shd w:val="clear" w:color="auto" w:fill="B7E4FF"/>
          </w:tcPr>
          <w:p>
            <w:pPr>
              <w:spacing w:after="0"/>
              <w:rPr>
                <w:sz w:val="20"/>
                <w:szCs w:val="20"/>
                <w:color w:val="auto"/>
              </w:rPr>
            </w:pPr>
            <w:r>
              <w:rPr>
                <w:rFonts w:ascii="Arial" w:cs="Arial" w:eastAsia="Arial" w:hAnsi="Arial"/>
                <w:sz w:val="14"/>
                <w:szCs w:val="14"/>
                <w:color w:val="4D4D4F"/>
              </w:rPr>
              <w:t>David H. Wang</w:t>
            </w:r>
          </w:p>
        </w:tc>
        <w:tc>
          <w:tcPr>
            <w:tcW w:w="44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59</w:t>
            </w:r>
          </w:p>
        </w:tc>
        <w:tc>
          <w:tcPr>
            <w:tcW w:w="88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1998</w:t>
            </w:r>
          </w:p>
        </w:tc>
        <w:tc>
          <w:tcPr>
            <w:tcW w:w="2280" w:type="dxa"/>
            <w:vAlign w:val="bottom"/>
            <w:shd w:val="clear" w:color="auto" w:fill="B7E4FF"/>
          </w:tcPr>
          <w:p>
            <w:pPr>
              <w:spacing w:after="0"/>
              <w:rPr>
                <w:sz w:val="20"/>
                <w:szCs w:val="20"/>
                <w:color w:val="auto"/>
              </w:rPr>
            </w:pPr>
            <w:r>
              <w:rPr>
                <w:rFonts w:ascii="Arial" w:cs="Arial" w:eastAsia="Arial" w:hAnsi="Arial"/>
                <w:sz w:val="14"/>
                <w:szCs w:val="14"/>
                <w:color w:val="4D4D4F"/>
              </w:rPr>
              <w:t>Founder, Chief Executive Officer</w:t>
            </w:r>
          </w:p>
        </w:tc>
        <w:tc>
          <w:tcPr>
            <w:tcW w:w="100" w:type="dxa"/>
            <w:vAlign w:val="bottom"/>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shd w:val="clear" w:color="auto" w:fill="B7E4FF"/>
          </w:tcPr>
          <w:p>
            <w:pPr>
              <w:ind w:left="60"/>
              <w:spacing w:after="0"/>
              <w:rPr>
                <w:sz w:val="20"/>
                <w:szCs w:val="20"/>
                <w:color w:val="auto"/>
              </w:rPr>
            </w:pPr>
            <w:r>
              <w:rPr>
                <w:rFonts w:ascii="Arial" w:cs="Arial" w:eastAsia="Arial" w:hAnsi="Arial"/>
                <w:sz w:val="14"/>
                <w:szCs w:val="14"/>
                <w:color w:val="4D4D4F"/>
              </w:rPr>
              <w:t>Industry</w:t>
            </w:r>
          </w:p>
        </w:tc>
        <w:tc>
          <w:tcPr>
            <w:tcW w:w="560" w:type="dxa"/>
            <w:vAlign w:val="bottom"/>
            <w:shd w:val="clear" w:color="auto" w:fill="B7E4FF"/>
          </w:tcPr>
          <w:p>
            <w:pPr>
              <w:spacing w:after="0"/>
              <w:rPr>
                <w:sz w:val="14"/>
                <w:szCs w:val="14"/>
                <w:color w:val="auto"/>
              </w:rPr>
            </w:pPr>
          </w:p>
        </w:tc>
        <w:tc>
          <w:tcPr>
            <w:tcW w:w="740" w:type="dxa"/>
            <w:vAlign w:val="bottom"/>
            <w:shd w:val="clear" w:color="auto" w:fill="B7E4FF"/>
          </w:tcPr>
          <w:p>
            <w:pPr>
              <w:jc w:val="right"/>
              <w:ind w:right="309"/>
              <w:spacing w:after="0" w:line="141" w:lineRule="exact"/>
              <w:rPr>
                <w:sz w:val="20"/>
                <w:szCs w:val="20"/>
                <w:color w:val="auto"/>
              </w:rPr>
            </w:pPr>
            <w:r>
              <w:rPr>
                <w:rFonts w:ascii="MS PGothic" w:cs="MS PGothic" w:eastAsia="MS PGothic" w:hAnsi="MS PGothic"/>
                <w:sz w:val="14"/>
                <w:szCs w:val="14"/>
                <w:color w:val="auto"/>
                <w:shd w:val="clear" w:color="auto" w:fill="0079C0"/>
              </w:rPr>
              <w:t>✔</w:t>
            </w:r>
          </w:p>
        </w:tc>
        <w:tc>
          <w:tcPr>
            <w:tcW w:w="1240" w:type="dxa"/>
            <w:vAlign w:val="bottom"/>
            <w:shd w:val="clear" w:color="auto" w:fill="B7E4FF"/>
          </w:tcPr>
          <w:p>
            <w:pPr>
              <w:spacing w:after="0"/>
              <w:rPr>
                <w:sz w:val="14"/>
                <w:szCs w:val="14"/>
                <w:color w:val="auto"/>
              </w:rPr>
            </w:pPr>
          </w:p>
        </w:tc>
        <w:tc>
          <w:tcPr>
            <w:tcW w:w="240" w:type="dxa"/>
            <w:vAlign w:val="bottom"/>
            <w:shd w:val="clear" w:color="auto" w:fill="B7E4FF"/>
          </w:tcPr>
          <w:p>
            <w:pPr>
              <w:spacing w:after="0"/>
              <w:rPr>
                <w:sz w:val="14"/>
                <w:szCs w:val="14"/>
                <w:color w:val="auto"/>
              </w:rPr>
            </w:pPr>
          </w:p>
        </w:tc>
        <w:tc>
          <w:tcPr>
            <w:tcW w:w="1720" w:type="dxa"/>
            <w:vAlign w:val="bottom"/>
            <w:shd w:val="clear" w:color="auto" w:fill="B7E4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B7E4FF"/>
          </w:tcPr>
          <w:p>
            <w:pPr>
              <w:spacing w:after="0"/>
              <w:rPr>
                <w:sz w:val="14"/>
                <w:szCs w:val="14"/>
                <w:color w:val="auto"/>
              </w:rPr>
            </w:pPr>
          </w:p>
        </w:tc>
        <w:tc>
          <w:tcPr>
            <w:tcW w:w="440" w:type="dxa"/>
            <w:vAlign w:val="bottom"/>
            <w:shd w:val="clear" w:color="auto" w:fill="B7E4FF"/>
          </w:tcPr>
          <w:p>
            <w:pPr>
              <w:spacing w:after="0"/>
              <w:rPr>
                <w:sz w:val="14"/>
                <w:szCs w:val="14"/>
                <w:color w:val="auto"/>
              </w:rPr>
            </w:pPr>
          </w:p>
        </w:tc>
        <w:tc>
          <w:tcPr>
            <w:tcW w:w="880" w:type="dxa"/>
            <w:vAlign w:val="bottom"/>
            <w:shd w:val="clear" w:color="auto" w:fill="B7E4FF"/>
          </w:tcPr>
          <w:p>
            <w:pPr>
              <w:spacing w:after="0"/>
              <w:rPr>
                <w:sz w:val="14"/>
                <w:szCs w:val="14"/>
                <w:color w:val="auto"/>
              </w:rPr>
            </w:pPr>
          </w:p>
        </w:tc>
        <w:tc>
          <w:tcPr>
            <w:tcW w:w="2280" w:type="dxa"/>
            <w:vAlign w:val="bottom"/>
            <w:shd w:val="clear" w:color="auto" w:fill="B7E4FF"/>
          </w:tcPr>
          <w:p>
            <w:pPr>
              <w:spacing w:after="0"/>
              <w:rPr>
                <w:sz w:val="20"/>
                <w:szCs w:val="20"/>
                <w:color w:val="auto"/>
              </w:rPr>
            </w:pPr>
            <w:r>
              <w:rPr>
                <w:rFonts w:ascii="Arial" w:cs="Arial" w:eastAsia="Arial" w:hAnsi="Arial"/>
                <w:sz w:val="14"/>
                <w:szCs w:val="14"/>
                <w:color w:val="4D4D4F"/>
              </w:rPr>
              <w:t>and President of ACM Research,</w:t>
            </w:r>
          </w:p>
        </w:tc>
        <w:tc>
          <w:tcPr>
            <w:tcW w:w="100" w:type="dxa"/>
            <w:vAlign w:val="bottom"/>
            <w:vMerge w:val="restart"/>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vMerge w:val="restart"/>
            <w:shd w:val="clear" w:color="auto" w:fill="B7E4FF"/>
          </w:tcPr>
          <w:p>
            <w:pPr>
              <w:ind w:left="60"/>
              <w:spacing w:after="0"/>
              <w:rPr>
                <w:sz w:val="20"/>
                <w:szCs w:val="20"/>
                <w:color w:val="auto"/>
              </w:rPr>
            </w:pPr>
            <w:r>
              <w:rPr>
                <w:rFonts w:ascii="Arial" w:cs="Arial" w:eastAsia="Arial" w:hAnsi="Arial"/>
                <w:sz w:val="14"/>
                <w:szCs w:val="14"/>
                <w:color w:val="4D4D4F"/>
              </w:rPr>
              <w:t>Innovation</w:t>
            </w:r>
          </w:p>
        </w:tc>
        <w:tc>
          <w:tcPr>
            <w:tcW w:w="560" w:type="dxa"/>
            <w:vAlign w:val="bottom"/>
            <w:shd w:val="clear" w:color="auto" w:fill="B7E4FF"/>
          </w:tcPr>
          <w:p>
            <w:pPr>
              <w:spacing w:after="0"/>
              <w:rPr>
                <w:sz w:val="14"/>
                <w:szCs w:val="14"/>
                <w:color w:val="auto"/>
              </w:rPr>
            </w:pPr>
          </w:p>
        </w:tc>
        <w:tc>
          <w:tcPr>
            <w:tcW w:w="740" w:type="dxa"/>
            <w:vAlign w:val="bottom"/>
            <w:shd w:val="clear" w:color="auto" w:fill="B7E4FF"/>
          </w:tcPr>
          <w:p>
            <w:pPr>
              <w:spacing w:after="0"/>
              <w:rPr>
                <w:sz w:val="14"/>
                <w:szCs w:val="14"/>
                <w:color w:val="auto"/>
              </w:rPr>
            </w:pPr>
          </w:p>
        </w:tc>
        <w:tc>
          <w:tcPr>
            <w:tcW w:w="1240" w:type="dxa"/>
            <w:vAlign w:val="bottom"/>
            <w:shd w:val="clear" w:color="auto" w:fill="B7E4FF"/>
          </w:tcPr>
          <w:p>
            <w:pPr>
              <w:spacing w:after="0"/>
              <w:rPr>
                <w:sz w:val="14"/>
                <w:szCs w:val="14"/>
                <w:color w:val="auto"/>
              </w:rPr>
            </w:pPr>
          </w:p>
        </w:tc>
        <w:tc>
          <w:tcPr>
            <w:tcW w:w="240" w:type="dxa"/>
            <w:vAlign w:val="bottom"/>
            <w:shd w:val="clear" w:color="auto" w:fill="B7E4FF"/>
          </w:tcPr>
          <w:p>
            <w:pPr>
              <w:spacing w:after="0"/>
              <w:rPr>
                <w:sz w:val="14"/>
                <w:szCs w:val="14"/>
                <w:color w:val="auto"/>
              </w:rPr>
            </w:pPr>
          </w:p>
        </w:tc>
        <w:tc>
          <w:tcPr>
            <w:tcW w:w="1720" w:type="dxa"/>
            <w:vAlign w:val="bottom"/>
            <w:shd w:val="clear" w:color="auto" w:fill="B7E4FF"/>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560" w:type="dxa"/>
            <w:vAlign w:val="bottom"/>
            <w:shd w:val="clear" w:color="auto" w:fill="B7E4FF"/>
          </w:tcPr>
          <w:p>
            <w:pPr>
              <w:spacing w:after="0"/>
              <w:rPr>
                <w:sz w:val="5"/>
                <w:szCs w:val="5"/>
                <w:color w:val="auto"/>
              </w:rPr>
            </w:pPr>
          </w:p>
        </w:tc>
        <w:tc>
          <w:tcPr>
            <w:tcW w:w="440" w:type="dxa"/>
            <w:vAlign w:val="bottom"/>
            <w:shd w:val="clear" w:color="auto" w:fill="B7E4FF"/>
          </w:tcPr>
          <w:p>
            <w:pPr>
              <w:spacing w:after="0"/>
              <w:rPr>
                <w:sz w:val="5"/>
                <w:szCs w:val="5"/>
                <w:color w:val="auto"/>
              </w:rPr>
            </w:pPr>
          </w:p>
        </w:tc>
        <w:tc>
          <w:tcPr>
            <w:tcW w:w="880" w:type="dxa"/>
            <w:vAlign w:val="bottom"/>
            <w:shd w:val="clear" w:color="auto" w:fill="B7E4FF"/>
          </w:tcPr>
          <w:p>
            <w:pPr>
              <w:spacing w:after="0"/>
              <w:rPr>
                <w:sz w:val="5"/>
                <w:szCs w:val="5"/>
                <w:color w:val="auto"/>
              </w:rPr>
            </w:pPr>
          </w:p>
        </w:tc>
        <w:tc>
          <w:tcPr>
            <w:tcW w:w="2280" w:type="dxa"/>
            <w:vAlign w:val="bottom"/>
            <w:vMerge w:val="restart"/>
            <w:shd w:val="clear" w:color="auto" w:fill="B7E4FF"/>
          </w:tcPr>
          <w:p>
            <w:pPr>
              <w:spacing w:after="0"/>
              <w:rPr>
                <w:sz w:val="20"/>
                <w:szCs w:val="20"/>
                <w:color w:val="auto"/>
              </w:rPr>
            </w:pPr>
            <w:r>
              <w:rPr>
                <w:rFonts w:ascii="Arial" w:cs="Arial" w:eastAsia="Arial" w:hAnsi="Arial"/>
                <w:sz w:val="14"/>
                <w:szCs w:val="14"/>
                <w:color w:val="4D4D4F"/>
              </w:rPr>
              <w:t>Inc.</w:t>
            </w:r>
          </w:p>
        </w:tc>
        <w:tc>
          <w:tcPr>
            <w:tcW w:w="100" w:type="dxa"/>
            <w:vAlign w:val="bottom"/>
            <w:vMerge w:val="continue"/>
            <w:shd w:val="clear" w:color="auto" w:fill="B7E4FF"/>
          </w:tcPr>
          <w:p>
            <w:pPr>
              <w:spacing w:after="0"/>
              <w:rPr>
                <w:sz w:val="5"/>
                <w:szCs w:val="5"/>
                <w:color w:val="auto"/>
              </w:rPr>
            </w:pPr>
          </w:p>
        </w:tc>
        <w:tc>
          <w:tcPr>
            <w:tcW w:w="1340" w:type="dxa"/>
            <w:vAlign w:val="bottom"/>
            <w:vMerge w:val="continue"/>
            <w:shd w:val="clear" w:color="auto" w:fill="B7E4FF"/>
          </w:tcPr>
          <w:p>
            <w:pPr>
              <w:spacing w:after="0"/>
              <w:rPr>
                <w:sz w:val="5"/>
                <w:szCs w:val="5"/>
                <w:color w:val="auto"/>
              </w:rPr>
            </w:pPr>
          </w:p>
        </w:tc>
        <w:tc>
          <w:tcPr>
            <w:tcW w:w="560" w:type="dxa"/>
            <w:vAlign w:val="bottom"/>
            <w:shd w:val="clear" w:color="auto" w:fill="B7E4FF"/>
          </w:tcPr>
          <w:p>
            <w:pPr>
              <w:spacing w:after="0"/>
              <w:rPr>
                <w:sz w:val="5"/>
                <w:szCs w:val="5"/>
                <w:color w:val="auto"/>
              </w:rPr>
            </w:pPr>
          </w:p>
        </w:tc>
        <w:tc>
          <w:tcPr>
            <w:tcW w:w="740" w:type="dxa"/>
            <w:vAlign w:val="bottom"/>
            <w:shd w:val="clear" w:color="auto" w:fill="B7E4FF"/>
          </w:tcPr>
          <w:p>
            <w:pPr>
              <w:spacing w:after="0"/>
              <w:rPr>
                <w:sz w:val="5"/>
                <w:szCs w:val="5"/>
                <w:color w:val="auto"/>
              </w:rPr>
            </w:pPr>
          </w:p>
        </w:tc>
        <w:tc>
          <w:tcPr>
            <w:tcW w:w="1240" w:type="dxa"/>
            <w:vAlign w:val="bottom"/>
            <w:shd w:val="clear" w:color="auto" w:fill="B7E4FF"/>
          </w:tcPr>
          <w:p>
            <w:pPr>
              <w:spacing w:after="0"/>
              <w:rPr>
                <w:sz w:val="5"/>
                <w:szCs w:val="5"/>
                <w:color w:val="auto"/>
              </w:rPr>
            </w:pPr>
          </w:p>
        </w:tc>
        <w:tc>
          <w:tcPr>
            <w:tcW w:w="240" w:type="dxa"/>
            <w:vAlign w:val="bottom"/>
            <w:shd w:val="clear" w:color="auto" w:fill="B7E4FF"/>
          </w:tcPr>
          <w:p>
            <w:pPr>
              <w:spacing w:after="0"/>
              <w:rPr>
                <w:sz w:val="5"/>
                <w:szCs w:val="5"/>
                <w:color w:val="auto"/>
              </w:rPr>
            </w:pPr>
          </w:p>
        </w:tc>
        <w:tc>
          <w:tcPr>
            <w:tcW w:w="1720" w:type="dxa"/>
            <w:vAlign w:val="bottom"/>
            <w:shd w:val="clear" w:color="auto" w:fill="B7E4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560" w:type="dxa"/>
            <w:vAlign w:val="bottom"/>
            <w:shd w:val="clear" w:color="auto" w:fill="B7E4FF"/>
          </w:tcPr>
          <w:p>
            <w:pPr>
              <w:spacing w:after="0"/>
              <w:rPr>
                <w:sz w:val="9"/>
                <w:szCs w:val="9"/>
                <w:color w:val="auto"/>
              </w:rPr>
            </w:pPr>
          </w:p>
        </w:tc>
        <w:tc>
          <w:tcPr>
            <w:tcW w:w="440" w:type="dxa"/>
            <w:vAlign w:val="bottom"/>
            <w:shd w:val="clear" w:color="auto" w:fill="B7E4FF"/>
          </w:tcPr>
          <w:p>
            <w:pPr>
              <w:spacing w:after="0"/>
              <w:rPr>
                <w:sz w:val="9"/>
                <w:szCs w:val="9"/>
                <w:color w:val="auto"/>
              </w:rPr>
            </w:pPr>
          </w:p>
        </w:tc>
        <w:tc>
          <w:tcPr>
            <w:tcW w:w="880" w:type="dxa"/>
            <w:vAlign w:val="bottom"/>
            <w:shd w:val="clear" w:color="auto" w:fill="B7E4FF"/>
          </w:tcPr>
          <w:p>
            <w:pPr>
              <w:spacing w:after="0"/>
              <w:rPr>
                <w:sz w:val="9"/>
                <w:szCs w:val="9"/>
                <w:color w:val="auto"/>
              </w:rPr>
            </w:pPr>
          </w:p>
        </w:tc>
        <w:tc>
          <w:tcPr>
            <w:tcW w:w="2280" w:type="dxa"/>
            <w:vAlign w:val="bottom"/>
            <w:vMerge w:val="continue"/>
            <w:shd w:val="clear" w:color="auto" w:fill="B7E4FF"/>
          </w:tcPr>
          <w:p>
            <w:pPr>
              <w:spacing w:after="0"/>
              <w:rPr>
                <w:sz w:val="9"/>
                <w:szCs w:val="9"/>
                <w:color w:val="auto"/>
              </w:rPr>
            </w:pPr>
          </w:p>
        </w:tc>
        <w:tc>
          <w:tcPr>
            <w:tcW w:w="100" w:type="dxa"/>
            <w:vAlign w:val="bottom"/>
            <w:vMerge w:val="restart"/>
            <w:shd w:val="clear" w:color="auto" w:fill="B7E4FF"/>
          </w:tcPr>
          <w:p>
            <w:pPr>
              <w:spacing w:after="0"/>
              <w:rPr>
                <w:sz w:val="20"/>
                <w:szCs w:val="20"/>
                <w:color w:val="auto"/>
              </w:rPr>
            </w:pPr>
            <w:r>
              <w:rPr>
                <w:rFonts w:ascii="Arial" w:cs="Arial" w:eastAsia="Arial" w:hAnsi="Arial"/>
                <w:sz w:val="14"/>
                <w:szCs w:val="14"/>
                <w:color w:val="0079C0"/>
              </w:rPr>
              <w:t>•</w:t>
            </w:r>
          </w:p>
        </w:tc>
        <w:tc>
          <w:tcPr>
            <w:tcW w:w="1340" w:type="dxa"/>
            <w:vAlign w:val="bottom"/>
            <w:vMerge w:val="restart"/>
            <w:shd w:val="clear" w:color="auto" w:fill="B7E4FF"/>
          </w:tcPr>
          <w:p>
            <w:pPr>
              <w:ind w:left="60"/>
              <w:spacing w:after="0"/>
              <w:rPr>
                <w:sz w:val="20"/>
                <w:szCs w:val="20"/>
                <w:color w:val="auto"/>
              </w:rPr>
            </w:pPr>
            <w:r>
              <w:rPr>
                <w:rFonts w:ascii="Arial" w:cs="Arial" w:eastAsia="Arial" w:hAnsi="Arial"/>
                <w:sz w:val="14"/>
                <w:szCs w:val="14"/>
                <w:color w:val="4D4D4F"/>
              </w:rPr>
              <w:t>Leadership</w:t>
            </w:r>
          </w:p>
        </w:tc>
        <w:tc>
          <w:tcPr>
            <w:tcW w:w="560" w:type="dxa"/>
            <w:vAlign w:val="bottom"/>
            <w:shd w:val="clear" w:color="auto" w:fill="B7E4FF"/>
          </w:tcPr>
          <w:p>
            <w:pPr>
              <w:spacing w:after="0"/>
              <w:rPr>
                <w:sz w:val="9"/>
                <w:szCs w:val="9"/>
                <w:color w:val="auto"/>
              </w:rPr>
            </w:pPr>
          </w:p>
        </w:tc>
        <w:tc>
          <w:tcPr>
            <w:tcW w:w="740" w:type="dxa"/>
            <w:vAlign w:val="bottom"/>
            <w:shd w:val="clear" w:color="auto" w:fill="B7E4FF"/>
          </w:tcPr>
          <w:p>
            <w:pPr>
              <w:spacing w:after="0"/>
              <w:rPr>
                <w:sz w:val="9"/>
                <w:szCs w:val="9"/>
                <w:color w:val="auto"/>
              </w:rPr>
            </w:pPr>
          </w:p>
        </w:tc>
        <w:tc>
          <w:tcPr>
            <w:tcW w:w="1240" w:type="dxa"/>
            <w:vAlign w:val="bottom"/>
            <w:shd w:val="clear" w:color="auto" w:fill="B7E4FF"/>
          </w:tcPr>
          <w:p>
            <w:pPr>
              <w:spacing w:after="0"/>
              <w:rPr>
                <w:sz w:val="9"/>
                <w:szCs w:val="9"/>
                <w:color w:val="auto"/>
              </w:rPr>
            </w:pPr>
          </w:p>
        </w:tc>
        <w:tc>
          <w:tcPr>
            <w:tcW w:w="240" w:type="dxa"/>
            <w:vAlign w:val="bottom"/>
            <w:shd w:val="clear" w:color="auto" w:fill="B7E4FF"/>
          </w:tcPr>
          <w:p>
            <w:pPr>
              <w:spacing w:after="0"/>
              <w:rPr>
                <w:sz w:val="9"/>
                <w:szCs w:val="9"/>
                <w:color w:val="auto"/>
              </w:rPr>
            </w:pPr>
          </w:p>
        </w:tc>
        <w:tc>
          <w:tcPr>
            <w:tcW w:w="1720" w:type="dxa"/>
            <w:vAlign w:val="bottom"/>
            <w:shd w:val="clear" w:color="auto" w:fill="B7E4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60" w:type="dxa"/>
            <w:vAlign w:val="bottom"/>
            <w:shd w:val="clear" w:color="auto" w:fill="B7E4FF"/>
          </w:tcPr>
          <w:p>
            <w:pPr>
              <w:spacing w:after="0"/>
              <w:rPr>
                <w:sz w:val="9"/>
                <w:szCs w:val="9"/>
                <w:color w:val="auto"/>
              </w:rPr>
            </w:pPr>
          </w:p>
        </w:tc>
        <w:tc>
          <w:tcPr>
            <w:tcW w:w="440" w:type="dxa"/>
            <w:vAlign w:val="bottom"/>
            <w:shd w:val="clear" w:color="auto" w:fill="B7E4FF"/>
          </w:tcPr>
          <w:p>
            <w:pPr>
              <w:spacing w:after="0"/>
              <w:rPr>
                <w:sz w:val="9"/>
                <w:szCs w:val="9"/>
                <w:color w:val="auto"/>
              </w:rPr>
            </w:pPr>
          </w:p>
        </w:tc>
        <w:tc>
          <w:tcPr>
            <w:tcW w:w="880" w:type="dxa"/>
            <w:vAlign w:val="bottom"/>
            <w:shd w:val="clear" w:color="auto" w:fill="B7E4FF"/>
          </w:tcPr>
          <w:p>
            <w:pPr>
              <w:spacing w:after="0"/>
              <w:rPr>
                <w:sz w:val="9"/>
                <w:szCs w:val="9"/>
                <w:color w:val="auto"/>
              </w:rPr>
            </w:pPr>
          </w:p>
        </w:tc>
        <w:tc>
          <w:tcPr>
            <w:tcW w:w="2280" w:type="dxa"/>
            <w:vAlign w:val="bottom"/>
            <w:shd w:val="clear" w:color="auto" w:fill="B7E4FF"/>
          </w:tcPr>
          <w:p>
            <w:pPr>
              <w:spacing w:after="0"/>
              <w:rPr>
                <w:sz w:val="9"/>
                <w:szCs w:val="9"/>
                <w:color w:val="auto"/>
              </w:rPr>
            </w:pPr>
          </w:p>
        </w:tc>
        <w:tc>
          <w:tcPr>
            <w:tcW w:w="100" w:type="dxa"/>
            <w:vAlign w:val="bottom"/>
            <w:vMerge w:val="continue"/>
            <w:shd w:val="clear" w:color="auto" w:fill="B7E4FF"/>
          </w:tcPr>
          <w:p>
            <w:pPr>
              <w:spacing w:after="0"/>
              <w:rPr>
                <w:sz w:val="9"/>
                <w:szCs w:val="9"/>
                <w:color w:val="auto"/>
              </w:rPr>
            </w:pPr>
          </w:p>
        </w:tc>
        <w:tc>
          <w:tcPr>
            <w:tcW w:w="1340" w:type="dxa"/>
            <w:vAlign w:val="bottom"/>
            <w:vMerge w:val="continue"/>
            <w:shd w:val="clear" w:color="auto" w:fill="B7E4FF"/>
          </w:tcPr>
          <w:p>
            <w:pPr>
              <w:spacing w:after="0"/>
              <w:rPr>
                <w:sz w:val="9"/>
                <w:szCs w:val="9"/>
                <w:color w:val="auto"/>
              </w:rPr>
            </w:pPr>
          </w:p>
        </w:tc>
        <w:tc>
          <w:tcPr>
            <w:tcW w:w="560" w:type="dxa"/>
            <w:vAlign w:val="bottom"/>
            <w:shd w:val="clear" w:color="auto" w:fill="B7E4FF"/>
          </w:tcPr>
          <w:p>
            <w:pPr>
              <w:spacing w:after="0"/>
              <w:rPr>
                <w:sz w:val="9"/>
                <w:szCs w:val="9"/>
                <w:color w:val="auto"/>
              </w:rPr>
            </w:pPr>
          </w:p>
        </w:tc>
        <w:tc>
          <w:tcPr>
            <w:tcW w:w="740" w:type="dxa"/>
            <w:vAlign w:val="bottom"/>
            <w:shd w:val="clear" w:color="auto" w:fill="B7E4FF"/>
          </w:tcPr>
          <w:p>
            <w:pPr>
              <w:spacing w:after="0"/>
              <w:rPr>
                <w:sz w:val="9"/>
                <w:szCs w:val="9"/>
                <w:color w:val="auto"/>
              </w:rPr>
            </w:pPr>
          </w:p>
        </w:tc>
        <w:tc>
          <w:tcPr>
            <w:tcW w:w="1240" w:type="dxa"/>
            <w:vAlign w:val="bottom"/>
            <w:shd w:val="clear" w:color="auto" w:fill="B7E4FF"/>
          </w:tcPr>
          <w:p>
            <w:pPr>
              <w:spacing w:after="0"/>
              <w:rPr>
                <w:sz w:val="9"/>
                <w:szCs w:val="9"/>
                <w:color w:val="auto"/>
              </w:rPr>
            </w:pPr>
          </w:p>
        </w:tc>
        <w:tc>
          <w:tcPr>
            <w:tcW w:w="240" w:type="dxa"/>
            <w:vAlign w:val="bottom"/>
            <w:shd w:val="clear" w:color="auto" w:fill="B7E4FF"/>
          </w:tcPr>
          <w:p>
            <w:pPr>
              <w:spacing w:after="0"/>
              <w:rPr>
                <w:sz w:val="9"/>
                <w:szCs w:val="9"/>
                <w:color w:val="auto"/>
              </w:rPr>
            </w:pPr>
          </w:p>
        </w:tc>
        <w:tc>
          <w:tcPr>
            <w:tcW w:w="1720" w:type="dxa"/>
            <w:vAlign w:val="bottom"/>
            <w:shd w:val="clear" w:color="auto" w:fill="B7E4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560" w:type="dxa"/>
            <w:vAlign w:val="bottom"/>
            <w:shd w:val="clear" w:color="auto" w:fill="B7E4FF"/>
          </w:tcPr>
          <w:p>
            <w:pPr>
              <w:spacing w:after="0"/>
              <w:rPr>
                <w:sz w:val="6"/>
                <w:szCs w:val="6"/>
                <w:color w:val="auto"/>
              </w:rPr>
            </w:pPr>
          </w:p>
        </w:tc>
        <w:tc>
          <w:tcPr>
            <w:tcW w:w="440" w:type="dxa"/>
            <w:vAlign w:val="bottom"/>
            <w:shd w:val="clear" w:color="auto" w:fill="B7E4FF"/>
          </w:tcPr>
          <w:p>
            <w:pPr>
              <w:spacing w:after="0"/>
              <w:rPr>
                <w:sz w:val="6"/>
                <w:szCs w:val="6"/>
                <w:color w:val="auto"/>
              </w:rPr>
            </w:pPr>
          </w:p>
        </w:tc>
        <w:tc>
          <w:tcPr>
            <w:tcW w:w="880" w:type="dxa"/>
            <w:vAlign w:val="bottom"/>
            <w:shd w:val="clear" w:color="auto" w:fill="B7E4FF"/>
          </w:tcPr>
          <w:p>
            <w:pPr>
              <w:spacing w:after="0"/>
              <w:rPr>
                <w:sz w:val="6"/>
                <w:szCs w:val="6"/>
                <w:color w:val="auto"/>
              </w:rPr>
            </w:pPr>
          </w:p>
        </w:tc>
        <w:tc>
          <w:tcPr>
            <w:tcW w:w="2280" w:type="dxa"/>
            <w:vAlign w:val="bottom"/>
            <w:shd w:val="clear" w:color="auto" w:fill="B7E4FF"/>
          </w:tcPr>
          <w:p>
            <w:pPr>
              <w:spacing w:after="0"/>
              <w:rPr>
                <w:sz w:val="6"/>
                <w:szCs w:val="6"/>
                <w:color w:val="auto"/>
              </w:rPr>
            </w:pPr>
          </w:p>
        </w:tc>
        <w:tc>
          <w:tcPr>
            <w:tcW w:w="100" w:type="dxa"/>
            <w:vAlign w:val="bottom"/>
            <w:shd w:val="clear" w:color="auto" w:fill="B7E4FF"/>
          </w:tcPr>
          <w:p>
            <w:pPr>
              <w:spacing w:after="0"/>
              <w:rPr>
                <w:sz w:val="6"/>
                <w:szCs w:val="6"/>
                <w:color w:val="auto"/>
              </w:rPr>
            </w:pPr>
          </w:p>
        </w:tc>
        <w:tc>
          <w:tcPr>
            <w:tcW w:w="1340" w:type="dxa"/>
            <w:vAlign w:val="bottom"/>
            <w:shd w:val="clear" w:color="auto" w:fill="B7E4FF"/>
          </w:tcPr>
          <w:p>
            <w:pPr>
              <w:spacing w:after="0"/>
              <w:rPr>
                <w:sz w:val="6"/>
                <w:szCs w:val="6"/>
                <w:color w:val="auto"/>
              </w:rPr>
            </w:pPr>
          </w:p>
        </w:tc>
        <w:tc>
          <w:tcPr>
            <w:tcW w:w="560" w:type="dxa"/>
            <w:vAlign w:val="bottom"/>
            <w:shd w:val="clear" w:color="auto" w:fill="B7E4FF"/>
          </w:tcPr>
          <w:p>
            <w:pPr>
              <w:spacing w:after="0"/>
              <w:rPr>
                <w:sz w:val="6"/>
                <w:szCs w:val="6"/>
                <w:color w:val="auto"/>
              </w:rPr>
            </w:pPr>
          </w:p>
        </w:tc>
        <w:tc>
          <w:tcPr>
            <w:tcW w:w="740" w:type="dxa"/>
            <w:vAlign w:val="bottom"/>
            <w:shd w:val="clear" w:color="auto" w:fill="B7E4FF"/>
          </w:tcPr>
          <w:p>
            <w:pPr>
              <w:spacing w:after="0"/>
              <w:rPr>
                <w:sz w:val="6"/>
                <w:szCs w:val="6"/>
                <w:color w:val="auto"/>
              </w:rPr>
            </w:pPr>
          </w:p>
        </w:tc>
        <w:tc>
          <w:tcPr>
            <w:tcW w:w="1240" w:type="dxa"/>
            <w:vAlign w:val="bottom"/>
            <w:shd w:val="clear" w:color="auto" w:fill="B7E4FF"/>
          </w:tcPr>
          <w:p>
            <w:pPr>
              <w:spacing w:after="0"/>
              <w:rPr>
                <w:sz w:val="6"/>
                <w:szCs w:val="6"/>
                <w:color w:val="auto"/>
              </w:rPr>
            </w:pPr>
          </w:p>
        </w:tc>
        <w:tc>
          <w:tcPr>
            <w:tcW w:w="240" w:type="dxa"/>
            <w:vAlign w:val="bottom"/>
            <w:shd w:val="clear" w:color="auto" w:fill="B7E4FF"/>
          </w:tcPr>
          <w:p>
            <w:pPr>
              <w:spacing w:after="0"/>
              <w:rPr>
                <w:sz w:val="6"/>
                <w:szCs w:val="6"/>
                <w:color w:val="auto"/>
              </w:rPr>
            </w:pPr>
          </w:p>
        </w:tc>
        <w:tc>
          <w:tcPr>
            <w:tcW w:w="1720" w:type="dxa"/>
            <w:vAlign w:val="bottom"/>
            <w:shd w:val="clear" w:color="auto" w:fill="B7E4FF"/>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560" w:type="dxa"/>
            <w:vAlign w:val="bottom"/>
          </w:tcPr>
          <w:p>
            <w:pPr>
              <w:spacing w:after="0"/>
              <w:rPr>
                <w:sz w:val="20"/>
                <w:szCs w:val="20"/>
                <w:color w:val="auto"/>
              </w:rPr>
            </w:pPr>
            <w:r>
              <w:rPr>
                <w:rFonts w:ascii="Arial" w:cs="Arial" w:eastAsia="Arial" w:hAnsi="Arial"/>
                <w:sz w:val="14"/>
                <w:szCs w:val="14"/>
                <w:color w:val="4D4D4F"/>
              </w:rPr>
              <w:t>Yinan Xiang</w:t>
            </w:r>
          </w:p>
        </w:tc>
        <w:tc>
          <w:tcPr>
            <w:tcW w:w="440" w:type="dxa"/>
            <w:vAlign w:val="bottom"/>
          </w:tcPr>
          <w:p>
            <w:pPr>
              <w:jc w:val="center"/>
              <w:spacing w:after="0"/>
              <w:rPr>
                <w:sz w:val="20"/>
                <w:szCs w:val="20"/>
                <w:color w:val="auto"/>
              </w:rPr>
            </w:pPr>
            <w:r>
              <w:rPr>
                <w:rFonts w:ascii="Arial" w:cs="Arial" w:eastAsia="Arial" w:hAnsi="Arial"/>
                <w:sz w:val="14"/>
                <w:szCs w:val="14"/>
                <w:color w:val="4D4D4F"/>
              </w:rPr>
              <w:t>46</w:t>
            </w:r>
          </w:p>
        </w:tc>
        <w:tc>
          <w:tcPr>
            <w:tcW w:w="880" w:type="dxa"/>
            <w:vAlign w:val="bottom"/>
          </w:tcPr>
          <w:p>
            <w:pPr>
              <w:jc w:val="center"/>
              <w:spacing w:after="0"/>
              <w:rPr>
                <w:sz w:val="20"/>
                <w:szCs w:val="20"/>
                <w:color w:val="auto"/>
              </w:rPr>
            </w:pPr>
            <w:r>
              <w:rPr>
                <w:rFonts w:ascii="Arial" w:cs="Arial" w:eastAsia="Arial" w:hAnsi="Arial"/>
                <w:sz w:val="14"/>
                <w:szCs w:val="14"/>
                <w:color w:val="4D4D4F"/>
              </w:rPr>
              <w:t>2017</w:t>
            </w:r>
          </w:p>
        </w:tc>
        <w:tc>
          <w:tcPr>
            <w:tcW w:w="2280" w:type="dxa"/>
            <w:vAlign w:val="bottom"/>
          </w:tcPr>
          <w:p>
            <w:pPr>
              <w:spacing w:after="0"/>
              <w:rPr>
                <w:sz w:val="20"/>
                <w:szCs w:val="20"/>
                <w:color w:val="auto"/>
              </w:rPr>
            </w:pPr>
            <w:r>
              <w:rPr>
                <w:rFonts w:ascii="Arial" w:cs="Arial" w:eastAsia="Arial" w:hAnsi="Arial"/>
                <w:sz w:val="14"/>
                <w:szCs w:val="14"/>
                <w:color w:val="4D4D4F"/>
              </w:rPr>
              <w:t>Deputy General Manager of</w:t>
            </w:r>
          </w:p>
        </w:tc>
        <w:tc>
          <w:tcPr>
            <w:tcW w:w="100" w:type="dxa"/>
            <w:vAlign w:val="bottom"/>
          </w:tcPr>
          <w:p>
            <w:pPr>
              <w:spacing w:after="0"/>
              <w:rPr>
                <w:sz w:val="20"/>
                <w:szCs w:val="20"/>
                <w:color w:val="auto"/>
              </w:rPr>
            </w:pPr>
            <w:r>
              <w:rPr>
                <w:rFonts w:ascii="Arial" w:cs="Arial" w:eastAsia="Arial" w:hAnsi="Arial"/>
                <w:sz w:val="14"/>
                <w:szCs w:val="14"/>
                <w:color w:val="0079C0"/>
              </w:rPr>
              <w:t>•</w:t>
            </w:r>
          </w:p>
        </w:tc>
        <w:tc>
          <w:tcPr>
            <w:tcW w:w="1340" w:type="dxa"/>
            <w:vAlign w:val="bottom"/>
          </w:tcPr>
          <w:p>
            <w:pPr>
              <w:ind w:left="60"/>
              <w:spacing w:after="0"/>
              <w:rPr>
                <w:sz w:val="20"/>
                <w:szCs w:val="20"/>
                <w:color w:val="auto"/>
              </w:rPr>
            </w:pPr>
            <w:r>
              <w:rPr>
                <w:rFonts w:ascii="Arial" w:cs="Arial" w:eastAsia="Arial" w:hAnsi="Arial"/>
                <w:sz w:val="14"/>
                <w:szCs w:val="14"/>
                <w:color w:val="4D4D4F"/>
              </w:rPr>
              <w:t>Investor designee</w:t>
            </w:r>
          </w:p>
        </w:tc>
        <w:tc>
          <w:tcPr>
            <w:tcW w:w="560" w:type="dxa"/>
            <w:vAlign w:val="bottom"/>
          </w:tcPr>
          <w:p>
            <w:pPr>
              <w:jc w:val="center"/>
              <w:ind w:right="51"/>
              <w:spacing w:after="0" w:line="141" w:lineRule="exact"/>
              <w:rPr>
                <w:sz w:val="20"/>
                <w:szCs w:val="20"/>
                <w:color w:val="auto"/>
              </w:rPr>
            </w:pPr>
            <w:r>
              <w:rPr>
                <w:rFonts w:ascii="MS PGothic" w:cs="MS PGothic" w:eastAsia="MS PGothic" w:hAnsi="MS PGothic"/>
                <w:sz w:val="14"/>
                <w:szCs w:val="14"/>
                <w:color w:val="auto"/>
                <w:w w:val="85"/>
                <w:shd w:val="clear" w:color="auto" w:fill="0079C0"/>
              </w:rPr>
              <w:t>✔</w:t>
            </w:r>
          </w:p>
        </w:tc>
        <w:tc>
          <w:tcPr>
            <w:tcW w:w="740" w:type="dxa"/>
            <w:vAlign w:val="bottom"/>
          </w:tcPr>
          <w:p>
            <w:pPr>
              <w:ind w:left="640"/>
              <w:spacing w:after="0"/>
              <w:rPr>
                <w:sz w:val="20"/>
                <w:szCs w:val="20"/>
                <w:color w:val="auto"/>
              </w:rPr>
            </w:pPr>
            <w:r>
              <w:rPr>
                <w:rFonts w:ascii="Arial" w:cs="Arial" w:eastAsia="Arial" w:hAnsi="Arial"/>
                <w:sz w:val="14"/>
                <w:szCs w:val="14"/>
                <w:color w:val="003E64"/>
              </w:rPr>
              <w:t>•</w:t>
            </w:r>
          </w:p>
        </w:tc>
        <w:tc>
          <w:tcPr>
            <w:tcW w:w="1240" w:type="dxa"/>
            <w:vAlign w:val="bottom"/>
          </w:tcPr>
          <w:p>
            <w:pPr>
              <w:ind w:left="60"/>
              <w:spacing w:after="0"/>
              <w:rPr>
                <w:sz w:val="20"/>
                <w:szCs w:val="20"/>
                <w:color w:val="auto"/>
              </w:rPr>
            </w:pPr>
            <w:r>
              <w:rPr>
                <w:rFonts w:ascii="Arial" w:cs="Arial" w:eastAsia="Arial" w:hAnsi="Arial"/>
                <w:sz w:val="14"/>
                <w:szCs w:val="14"/>
                <w:color w:val="4D4D4F"/>
              </w:rPr>
              <w:t>Audit</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4D4D4F"/>
              </w:rPr>
              <w:t>Shanghai S&amp;T Venture Capital</w:t>
            </w:r>
          </w:p>
        </w:tc>
        <w:tc>
          <w:tcPr>
            <w:tcW w:w="100" w:type="dxa"/>
            <w:vAlign w:val="bottom"/>
            <w:vMerge w:val="restart"/>
          </w:tcPr>
          <w:p>
            <w:pPr>
              <w:spacing w:after="0"/>
              <w:rPr>
                <w:sz w:val="20"/>
                <w:szCs w:val="20"/>
                <w:color w:val="auto"/>
              </w:rPr>
            </w:pPr>
            <w:r>
              <w:rPr>
                <w:rFonts w:ascii="Arial" w:cs="Arial" w:eastAsia="Arial" w:hAnsi="Arial"/>
                <w:sz w:val="14"/>
                <w:szCs w:val="14"/>
                <w:color w:val="0079C0"/>
              </w:rPr>
              <w:t>•</w:t>
            </w:r>
          </w:p>
        </w:tc>
        <w:tc>
          <w:tcPr>
            <w:tcW w:w="1340" w:type="dxa"/>
            <w:vAlign w:val="bottom"/>
            <w:vMerge w:val="restart"/>
          </w:tcPr>
          <w:p>
            <w:pPr>
              <w:ind w:left="60"/>
              <w:spacing w:after="0"/>
              <w:rPr>
                <w:sz w:val="20"/>
                <w:szCs w:val="20"/>
                <w:color w:val="auto"/>
              </w:rPr>
            </w:pPr>
            <w:r>
              <w:rPr>
                <w:rFonts w:ascii="Arial" w:cs="Arial" w:eastAsia="Arial" w:hAnsi="Arial"/>
                <w:sz w:val="14"/>
                <w:szCs w:val="14"/>
                <w:color w:val="4D4D4F"/>
              </w:rPr>
              <w:t>Finance</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80" w:type="dxa"/>
            <w:vAlign w:val="bottom"/>
            <w:vMerge w:val="restart"/>
          </w:tcPr>
          <w:p>
            <w:pPr>
              <w:spacing w:after="0"/>
              <w:rPr>
                <w:sz w:val="20"/>
                <w:szCs w:val="20"/>
                <w:color w:val="auto"/>
              </w:rPr>
            </w:pPr>
            <w:r>
              <w:rPr>
                <w:rFonts w:ascii="Arial" w:cs="Arial" w:eastAsia="Arial" w:hAnsi="Arial"/>
                <w:sz w:val="14"/>
                <w:szCs w:val="14"/>
                <w:color w:val="4D4D4F"/>
              </w:rPr>
              <w:t>(Group) Co. Ltd.</w:t>
            </w:r>
          </w:p>
        </w:tc>
        <w:tc>
          <w:tcPr>
            <w:tcW w:w="10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0079C0"/>
              </w:rPr>
              <w:t>•</w:t>
            </w:r>
          </w:p>
        </w:tc>
        <w:tc>
          <w:tcPr>
            <w:tcW w:w="1340" w:type="dxa"/>
            <w:vAlign w:val="bottom"/>
            <w:vMerge w:val="restart"/>
          </w:tcPr>
          <w:p>
            <w:pPr>
              <w:ind w:left="100"/>
              <w:spacing w:after="0"/>
              <w:rPr>
                <w:sz w:val="20"/>
                <w:szCs w:val="20"/>
                <w:color w:val="auto"/>
              </w:rPr>
            </w:pPr>
            <w:r>
              <w:rPr>
                <w:rFonts w:ascii="Arial" w:cs="Arial" w:eastAsia="Arial" w:hAnsi="Arial"/>
                <w:sz w:val="14"/>
                <w:szCs w:val="14"/>
                <w:color w:val="4D4D4F"/>
              </w:rPr>
              <w:t>Industry</w:t>
            </w: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b w:val="1"/>
          <w:bCs w:val="1"/>
          <w:i w:val="1"/>
          <w:iCs w:val="1"/>
          <w:color w:val="0079C0"/>
        </w:rPr>
        <w:t>Board Representation</w:t>
      </w:r>
    </w:p>
    <w:p>
      <w:pPr>
        <w:sectPr>
          <w:pgSz w:w="11900" w:h="16838" w:orient="portrait"/>
          <w:cols w:equalWidth="0" w:num="1">
            <w:col w:w="11220"/>
          </w:cols>
          <w:pgMar w:left="320" w:top="130" w:right="359" w:bottom="1440" w:gutter="0" w:footer="0" w:header="0"/>
        </w:sectPr>
      </w:pP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E64"/>
        </w:rPr>
        <w:t>DIVERSITY</w:t>
      </w:r>
    </w:p>
    <w:p>
      <w:pPr>
        <w:spacing w:after="0" w:line="23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All of our director nominees voluntarily self-identify as having a diverse identity (gender or race).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3E64"/>
        </w:rPr>
        <w:t>INDEPENDENCE</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Four of our five director nominees qualify as independent under SEC regulations and NASDAQ standards.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3E64"/>
        </w:rPr>
        <w:t>TENURE</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tenure of our director nominees reflects a balance of experience and fresh perspective.</w:t>
      </w:r>
    </w:p>
    <w:p>
      <w:pPr>
        <w:spacing w:after="0" w:line="200" w:lineRule="exact"/>
        <w:rPr>
          <w:sz w:val="20"/>
          <w:szCs w:val="20"/>
          <w:color w:val="auto"/>
        </w:rPr>
      </w:pPr>
    </w:p>
    <w:p>
      <w:pPr>
        <w:sectPr>
          <w:pgSz w:w="11900" w:h="16838" w:orient="portrait"/>
          <w:cols w:equalWidth="0" w:num="3">
            <w:col w:w="3540" w:space="440"/>
            <w:col w:w="3420" w:space="420"/>
            <w:col w:w="340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115570</wp:posOffset>
            </wp:positionV>
            <wp:extent cx="7187565" cy="5824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7565" cy="5824855"/>
                    </a:xfrm>
                    <a:prstGeom prst="rect">
                      <a:avLst/>
                    </a:prstGeom>
                    <a:noFill/>
                  </pic:spPr>
                </pic:pic>
              </a:graphicData>
            </a:graphic>
          </wp:anchor>
        </w:drawing>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79C0"/>
        </w:rPr>
        <w:t>Board Governance Practices</w:t>
      </w:r>
    </w:p>
    <w:p>
      <w:pPr>
        <w:spacing w:after="0" w:line="210" w:lineRule="exact"/>
        <w:rPr>
          <w:sz w:val="20"/>
          <w:szCs w:val="20"/>
          <w:color w:val="auto"/>
        </w:rPr>
      </w:pPr>
    </w:p>
    <w:tbl>
      <w:tblPr>
        <w:tblLayout w:type="fixed"/>
        <w:tblInd w:w="1240" w:type="dxa"/>
        <w:tblCellMar>
          <w:top w:w="0" w:type="dxa"/>
          <w:left w:w="0" w:type="dxa"/>
          <w:bottom w:w="0" w:type="dxa"/>
          <w:right w:w="0" w:type="dxa"/>
        </w:tblCellMar>
      </w:tblPr>
      <w:tr>
        <w:trPr>
          <w:trHeight w:val="188"/>
        </w:trPr>
        <w:tc>
          <w:tcPr>
            <w:tcW w:w="1500" w:type="dxa"/>
            <w:vAlign w:val="bottom"/>
          </w:tcPr>
          <w:p>
            <w:pPr>
              <w:spacing w:after="0"/>
              <w:rPr>
                <w:sz w:val="20"/>
                <w:szCs w:val="20"/>
                <w:color w:val="auto"/>
              </w:rPr>
            </w:pPr>
            <w:r>
              <w:rPr>
                <w:rFonts w:ascii="Arial" w:cs="Arial" w:eastAsia="Arial" w:hAnsi="Arial"/>
                <w:sz w:val="14"/>
                <w:szCs w:val="14"/>
                <w:b w:val="1"/>
                <w:bCs w:val="1"/>
                <w:i w:val="1"/>
                <w:iCs w:val="1"/>
                <w:color w:val="003E64"/>
              </w:rPr>
              <w:t>Elections:</w:t>
            </w:r>
          </w:p>
        </w:tc>
        <w:tc>
          <w:tcPr>
            <w:tcW w:w="5500" w:type="dxa"/>
            <w:vAlign w:val="bottom"/>
          </w:tcPr>
          <w:p>
            <w:pPr>
              <w:ind w:left="140"/>
              <w:spacing w:after="0"/>
              <w:rPr>
                <w:sz w:val="20"/>
                <w:szCs w:val="20"/>
                <w:color w:val="auto"/>
              </w:rPr>
            </w:pPr>
            <w:r>
              <w:rPr>
                <w:rFonts w:ascii="Arial" w:cs="Arial" w:eastAsia="Arial" w:hAnsi="Arial"/>
                <w:sz w:val="14"/>
                <w:szCs w:val="14"/>
                <w:color w:val="4D4D4F"/>
              </w:rPr>
              <w:t>Classified Board</w:t>
            </w:r>
          </w:p>
        </w:tc>
        <w:tc>
          <w:tcPr>
            <w:tcW w:w="1880" w:type="dxa"/>
            <w:vAlign w:val="bottom"/>
          </w:tcPr>
          <w:p>
            <w:pPr>
              <w:ind w:left="980"/>
              <w:spacing w:after="0"/>
              <w:rPr>
                <w:sz w:val="20"/>
                <w:szCs w:val="20"/>
                <w:color w:val="auto"/>
              </w:rPr>
            </w:pPr>
            <w:r>
              <w:rPr>
                <w:rFonts w:ascii="Arial" w:cs="Arial" w:eastAsia="Arial" w:hAnsi="Arial"/>
                <w:sz w:val="14"/>
                <w:szCs w:val="14"/>
                <w:color w:val="4D4D4F"/>
              </w:rPr>
              <w:t>No</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Frequency of Director Elections</w:t>
            </w:r>
          </w:p>
        </w:tc>
        <w:tc>
          <w:tcPr>
            <w:tcW w:w="1880" w:type="dxa"/>
            <w:vAlign w:val="bottom"/>
          </w:tcPr>
          <w:p>
            <w:pPr>
              <w:ind w:left="980"/>
              <w:spacing w:after="0"/>
              <w:rPr>
                <w:sz w:val="20"/>
                <w:szCs w:val="20"/>
                <w:color w:val="auto"/>
              </w:rPr>
            </w:pPr>
            <w:r>
              <w:rPr>
                <w:rFonts w:ascii="Arial" w:cs="Arial" w:eastAsia="Arial" w:hAnsi="Arial"/>
                <w:sz w:val="14"/>
                <w:szCs w:val="14"/>
                <w:color w:val="4D4D4F"/>
              </w:rPr>
              <w:t>Annual</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Voting Standard</w:t>
            </w:r>
          </w:p>
        </w:tc>
        <w:tc>
          <w:tcPr>
            <w:tcW w:w="1880" w:type="dxa"/>
            <w:vAlign w:val="bottom"/>
          </w:tcPr>
          <w:p>
            <w:pPr>
              <w:ind w:left="980"/>
              <w:spacing w:after="0"/>
              <w:rPr>
                <w:sz w:val="20"/>
                <w:szCs w:val="20"/>
                <w:color w:val="auto"/>
              </w:rPr>
            </w:pPr>
            <w:r>
              <w:rPr>
                <w:rFonts w:ascii="Arial" w:cs="Arial" w:eastAsia="Arial" w:hAnsi="Arial"/>
                <w:sz w:val="14"/>
                <w:szCs w:val="14"/>
                <w:color w:val="4D4D4F"/>
              </w:rPr>
              <w:t>Plurality</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Resignation Policy</w:t>
            </w:r>
          </w:p>
        </w:tc>
        <w:tc>
          <w:tcPr>
            <w:tcW w:w="1880" w:type="dxa"/>
            <w:vAlign w:val="bottom"/>
          </w:tcPr>
          <w:p>
            <w:pPr>
              <w:ind w:left="980"/>
              <w:spacing w:after="0"/>
              <w:rPr>
                <w:sz w:val="20"/>
                <w:szCs w:val="20"/>
                <w:color w:val="auto"/>
              </w:rPr>
            </w:pPr>
            <w:r>
              <w:rPr>
                <w:rFonts w:ascii="Arial" w:cs="Arial" w:eastAsia="Arial" w:hAnsi="Arial"/>
                <w:sz w:val="14"/>
                <w:szCs w:val="14"/>
                <w:color w:val="4D4D4F"/>
              </w:rPr>
              <w:t>Yes</w:t>
            </w:r>
          </w:p>
        </w:tc>
      </w:tr>
      <w:tr>
        <w:trPr>
          <w:trHeight w:val="201"/>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Mandatory Retirement Age or Tenure</w:t>
            </w:r>
          </w:p>
        </w:tc>
        <w:tc>
          <w:tcPr>
            <w:tcW w:w="1880" w:type="dxa"/>
            <w:vAlign w:val="bottom"/>
          </w:tcPr>
          <w:p>
            <w:pPr>
              <w:ind w:left="980"/>
              <w:spacing w:after="0"/>
              <w:rPr>
                <w:sz w:val="20"/>
                <w:szCs w:val="20"/>
                <w:color w:val="auto"/>
              </w:rPr>
            </w:pPr>
            <w:r>
              <w:rPr>
                <w:rFonts w:ascii="Arial" w:cs="Arial" w:eastAsia="Arial" w:hAnsi="Arial"/>
                <w:sz w:val="14"/>
                <w:szCs w:val="14"/>
                <w:color w:val="4D4D4F"/>
              </w:rPr>
              <w:t>No</w:t>
            </w:r>
          </w:p>
        </w:tc>
      </w:tr>
      <w:tr>
        <w:trPr>
          <w:trHeight w:val="203"/>
        </w:trPr>
        <w:tc>
          <w:tcPr>
            <w:tcW w:w="1500" w:type="dxa"/>
            <w:vAlign w:val="bottom"/>
            <w:shd w:val="clear" w:color="auto" w:fill="B7E4FF"/>
          </w:tcPr>
          <w:p>
            <w:pPr>
              <w:spacing w:after="0"/>
              <w:rPr>
                <w:sz w:val="20"/>
                <w:szCs w:val="20"/>
                <w:color w:val="auto"/>
              </w:rPr>
            </w:pPr>
            <w:r>
              <w:rPr>
                <w:rFonts w:ascii="Arial" w:cs="Arial" w:eastAsia="Arial" w:hAnsi="Arial"/>
                <w:sz w:val="14"/>
                <w:szCs w:val="14"/>
                <w:b w:val="1"/>
                <w:bCs w:val="1"/>
                <w:i w:val="1"/>
                <w:iCs w:val="1"/>
                <w:color w:val="003E64"/>
              </w:rPr>
              <w:t>Chair:</w:t>
            </w: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Separate Chair of the Board and CEO</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No</w:t>
            </w:r>
          </w:p>
        </w:tc>
      </w:tr>
      <w:tr>
        <w:trPr>
          <w:trHeight w:val="203"/>
        </w:trPr>
        <w:tc>
          <w:tcPr>
            <w:tcW w:w="1500" w:type="dxa"/>
            <w:vAlign w:val="bottom"/>
            <w:shd w:val="clear" w:color="auto" w:fill="B7E4FF"/>
          </w:tcPr>
          <w:p>
            <w:pPr>
              <w:spacing w:after="0"/>
              <w:rPr>
                <w:sz w:val="17"/>
                <w:szCs w:val="17"/>
                <w:color w:val="auto"/>
              </w:rPr>
            </w:pP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Independent Lead Director</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Yes</w:t>
            </w:r>
          </w:p>
        </w:tc>
      </w:tr>
      <w:tr>
        <w:trPr>
          <w:trHeight w:val="203"/>
        </w:trPr>
        <w:tc>
          <w:tcPr>
            <w:tcW w:w="1500" w:type="dxa"/>
            <w:vAlign w:val="bottom"/>
            <w:shd w:val="clear" w:color="auto" w:fill="B7E4FF"/>
          </w:tcPr>
          <w:p>
            <w:pPr>
              <w:spacing w:after="0"/>
              <w:rPr>
                <w:sz w:val="17"/>
                <w:szCs w:val="17"/>
                <w:color w:val="auto"/>
              </w:rPr>
            </w:pP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Robust Responsibilities and Duties Assigned to Independent Chair</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Yes</w:t>
            </w:r>
          </w:p>
        </w:tc>
      </w:tr>
      <w:tr>
        <w:trPr>
          <w:trHeight w:val="204"/>
        </w:trPr>
        <w:tc>
          <w:tcPr>
            <w:tcW w:w="1500" w:type="dxa"/>
            <w:vAlign w:val="bottom"/>
          </w:tcPr>
          <w:p>
            <w:pPr>
              <w:spacing w:after="0"/>
              <w:rPr>
                <w:sz w:val="20"/>
                <w:szCs w:val="20"/>
                <w:color w:val="auto"/>
              </w:rPr>
            </w:pPr>
            <w:r>
              <w:rPr>
                <w:rFonts w:ascii="Arial" w:cs="Arial" w:eastAsia="Arial" w:hAnsi="Arial"/>
                <w:sz w:val="14"/>
                <w:szCs w:val="14"/>
                <w:b w:val="1"/>
                <w:bCs w:val="1"/>
                <w:i w:val="1"/>
                <w:iCs w:val="1"/>
                <w:color w:val="003E64"/>
              </w:rPr>
              <w:t>Meetings:</w:t>
            </w:r>
          </w:p>
        </w:tc>
        <w:tc>
          <w:tcPr>
            <w:tcW w:w="5500" w:type="dxa"/>
            <w:vAlign w:val="bottom"/>
          </w:tcPr>
          <w:p>
            <w:pPr>
              <w:ind w:left="140"/>
              <w:spacing w:after="0"/>
              <w:rPr>
                <w:sz w:val="20"/>
                <w:szCs w:val="20"/>
                <w:color w:val="auto"/>
              </w:rPr>
            </w:pPr>
            <w:r>
              <w:rPr>
                <w:rFonts w:ascii="Arial" w:cs="Arial" w:eastAsia="Arial" w:hAnsi="Arial"/>
                <w:sz w:val="14"/>
                <w:szCs w:val="14"/>
                <w:color w:val="4D4D4F"/>
              </w:rPr>
              <w:t>Number of Board Meetings Held in 2020</w:t>
            </w:r>
          </w:p>
        </w:tc>
        <w:tc>
          <w:tcPr>
            <w:tcW w:w="1880" w:type="dxa"/>
            <w:vAlign w:val="bottom"/>
          </w:tcPr>
          <w:p>
            <w:pPr>
              <w:ind w:left="980"/>
              <w:spacing w:after="0"/>
              <w:rPr>
                <w:sz w:val="20"/>
                <w:szCs w:val="20"/>
                <w:color w:val="auto"/>
              </w:rPr>
            </w:pPr>
            <w:r>
              <w:rPr>
                <w:rFonts w:ascii="Arial" w:cs="Arial" w:eastAsia="Arial" w:hAnsi="Arial"/>
                <w:sz w:val="14"/>
                <w:szCs w:val="14"/>
                <w:color w:val="4D4D4F"/>
              </w:rPr>
              <w:t>6</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Directors Attending Fewer than 75% of Board Meetings in 2020</w:t>
            </w:r>
          </w:p>
        </w:tc>
        <w:tc>
          <w:tcPr>
            <w:tcW w:w="1880" w:type="dxa"/>
            <w:vAlign w:val="bottom"/>
          </w:tcPr>
          <w:p>
            <w:pPr>
              <w:ind w:left="980"/>
              <w:spacing w:after="0"/>
              <w:rPr>
                <w:sz w:val="20"/>
                <w:szCs w:val="20"/>
                <w:color w:val="auto"/>
              </w:rPr>
            </w:pPr>
            <w:r>
              <w:rPr>
                <w:rFonts w:ascii="Arial" w:cs="Arial" w:eastAsia="Arial" w:hAnsi="Arial"/>
                <w:sz w:val="14"/>
                <w:szCs w:val="14"/>
                <w:color w:val="4D4D4F"/>
              </w:rPr>
              <w:t>2*</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Independent Directors Meet Without Management Present</w:t>
            </w:r>
          </w:p>
        </w:tc>
        <w:tc>
          <w:tcPr>
            <w:tcW w:w="1880" w:type="dxa"/>
            <w:vAlign w:val="bottom"/>
          </w:tcPr>
          <w:p>
            <w:pPr>
              <w:ind w:left="980"/>
              <w:spacing w:after="0"/>
              <w:rPr>
                <w:sz w:val="20"/>
                <w:szCs w:val="20"/>
                <w:color w:val="auto"/>
              </w:rPr>
            </w:pPr>
            <w:r>
              <w:rPr>
                <w:rFonts w:ascii="Arial" w:cs="Arial" w:eastAsia="Arial" w:hAnsi="Arial"/>
                <w:sz w:val="14"/>
                <w:szCs w:val="14"/>
                <w:color w:val="4D4D4F"/>
              </w:rPr>
              <w:t>Yes</w:t>
            </w:r>
          </w:p>
        </w:tc>
      </w:tr>
      <w:tr>
        <w:trPr>
          <w:trHeight w:val="203"/>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Number of Standing Committee Meetings Held in 2020</w:t>
            </w:r>
          </w:p>
        </w:tc>
        <w:tc>
          <w:tcPr>
            <w:tcW w:w="1880" w:type="dxa"/>
            <w:vAlign w:val="bottom"/>
          </w:tcPr>
          <w:p>
            <w:pPr>
              <w:ind w:left="980"/>
              <w:spacing w:after="0"/>
              <w:rPr>
                <w:sz w:val="20"/>
                <w:szCs w:val="20"/>
                <w:color w:val="auto"/>
              </w:rPr>
            </w:pPr>
            <w:r>
              <w:rPr>
                <w:rFonts w:ascii="Arial" w:cs="Arial" w:eastAsia="Arial" w:hAnsi="Arial"/>
                <w:sz w:val="14"/>
                <w:szCs w:val="14"/>
                <w:color w:val="4D4D4F"/>
              </w:rPr>
              <w:t>13</w:t>
            </w:r>
          </w:p>
        </w:tc>
      </w:tr>
      <w:tr>
        <w:trPr>
          <w:trHeight w:val="201"/>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Members Attending Fewer than 75% of Committee Meetings in 2020</w:t>
            </w:r>
          </w:p>
        </w:tc>
        <w:tc>
          <w:tcPr>
            <w:tcW w:w="1880" w:type="dxa"/>
            <w:vAlign w:val="bottom"/>
          </w:tcPr>
          <w:p>
            <w:pPr>
              <w:ind w:left="980"/>
              <w:spacing w:after="0"/>
              <w:rPr>
                <w:sz w:val="20"/>
                <w:szCs w:val="20"/>
                <w:color w:val="auto"/>
              </w:rPr>
            </w:pPr>
            <w:r>
              <w:rPr>
                <w:rFonts w:ascii="Arial" w:cs="Arial" w:eastAsia="Arial" w:hAnsi="Arial"/>
                <w:sz w:val="14"/>
                <w:szCs w:val="14"/>
                <w:color w:val="4D4D4F"/>
              </w:rPr>
              <w:t>0</w:t>
            </w:r>
          </w:p>
        </w:tc>
      </w:tr>
      <w:tr>
        <w:trPr>
          <w:trHeight w:val="203"/>
        </w:trPr>
        <w:tc>
          <w:tcPr>
            <w:tcW w:w="1500" w:type="dxa"/>
            <w:vAlign w:val="bottom"/>
            <w:shd w:val="clear" w:color="auto" w:fill="B7E4FF"/>
          </w:tcPr>
          <w:p>
            <w:pPr>
              <w:spacing w:after="0"/>
              <w:rPr>
                <w:sz w:val="20"/>
                <w:szCs w:val="20"/>
                <w:color w:val="auto"/>
              </w:rPr>
            </w:pPr>
            <w:r>
              <w:rPr>
                <w:rFonts w:ascii="Arial" w:cs="Arial" w:eastAsia="Arial" w:hAnsi="Arial"/>
                <w:sz w:val="14"/>
                <w:szCs w:val="14"/>
                <w:b w:val="1"/>
                <w:bCs w:val="1"/>
                <w:i w:val="1"/>
                <w:iCs w:val="1"/>
                <w:color w:val="003E64"/>
              </w:rPr>
              <w:t>Director Status:</w:t>
            </w: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Directors Overboarded per ISS or Glass Lewis Voting Guidelines</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None</w:t>
            </w:r>
          </w:p>
        </w:tc>
      </w:tr>
      <w:tr>
        <w:trPr>
          <w:trHeight w:val="203"/>
        </w:trPr>
        <w:tc>
          <w:tcPr>
            <w:tcW w:w="1500" w:type="dxa"/>
            <w:vAlign w:val="bottom"/>
            <w:shd w:val="clear" w:color="auto" w:fill="B7E4FF"/>
          </w:tcPr>
          <w:p>
            <w:pPr>
              <w:spacing w:after="0"/>
              <w:rPr>
                <w:sz w:val="17"/>
                <w:szCs w:val="17"/>
                <w:color w:val="auto"/>
              </w:rPr>
            </w:pP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Standing Board Committee Membership Independence</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100%</w:t>
            </w:r>
          </w:p>
        </w:tc>
      </w:tr>
      <w:tr>
        <w:trPr>
          <w:trHeight w:val="204"/>
        </w:trPr>
        <w:tc>
          <w:tcPr>
            <w:tcW w:w="1500" w:type="dxa"/>
            <w:vAlign w:val="bottom"/>
            <w:shd w:val="clear" w:color="auto" w:fill="B7E4FF"/>
          </w:tcPr>
          <w:p>
            <w:pPr>
              <w:spacing w:after="0"/>
              <w:rPr>
                <w:sz w:val="17"/>
                <w:szCs w:val="17"/>
                <w:color w:val="auto"/>
              </w:rPr>
            </w:pP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Board Oversight of Company Strategy and Risk</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Yes</w:t>
            </w:r>
          </w:p>
        </w:tc>
      </w:tr>
      <w:tr>
        <w:trPr>
          <w:trHeight w:val="201"/>
        </w:trPr>
        <w:tc>
          <w:tcPr>
            <w:tcW w:w="1500" w:type="dxa"/>
            <w:vAlign w:val="bottom"/>
            <w:shd w:val="clear" w:color="auto" w:fill="B7E4FF"/>
          </w:tcPr>
          <w:p>
            <w:pPr>
              <w:spacing w:after="0"/>
              <w:rPr>
                <w:sz w:val="17"/>
                <w:szCs w:val="17"/>
                <w:color w:val="auto"/>
              </w:rPr>
            </w:pPr>
          </w:p>
        </w:tc>
        <w:tc>
          <w:tcPr>
            <w:tcW w:w="5500" w:type="dxa"/>
            <w:vAlign w:val="bottom"/>
            <w:shd w:val="clear" w:color="auto" w:fill="B7E4FF"/>
          </w:tcPr>
          <w:p>
            <w:pPr>
              <w:ind w:left="140"/>
              <w:spacing w:after="0"/>
              <w:rPr>
                <w:sz w:val="20"/>
                <w:szCs w:val="20"/>
                <w:color w:val="auto"/>
              </w:rPr>
            </w:pPr>
            <w:r>
              <w:rPr>
                <w:rFonts w:ascii="Arial" w:cs="Arial" w:eastAsia="Arial" w:hAnsi="Arial"/>
                <w:sz w:val="14"/>
                <w:szCs w:val="14"/>
                <w:color w:val="4D4D4F"/>
              </w:rPr>
              <w:t>Shares Pledged by Directors</w:t>
            </w:r>
          </w:p>
        </w:tc>
        <w:tc>
          <w:tcPr>
            <w:tcW w:w="1880" w:type="dxa"/>
            <w:vAlign w:val="bottom"/>
            <w:shd w:val="clear" w:color="auto" w:fill="B7E4FF"/>
          </w:tcPr>
          <w:p>
            <w:pPr>
              <w:ind w:left="980"/>
              <w:spacing w:after="0"/>
              <w:rPr>
                <w:sz w:val="20"/>
                <w:szCs w:val="20"/>
                <w:color w:val="auto"/>
              </w:rPr>
            </w:pPr>
            <w:r>
              <w:rPr>
                <w:rFonts w:ascii="Arial" w:cs="Arial" w:eastAsia="Arial" w:hAnsi="Arial"/>
                <w:sz w:val="14"/>
                <w:szCs w:val="14"/>
                <w:color w:val="4D4D4F"/>
              </w:rPr>
              <w:t>None</w:t>
            </w:r>
          </w:p>
        </w:tc>
      </w:tr>
      <w:tr>
        <w:trPr>
          <w:trHeight w:val="204"/>
        </w:trPr>
        <w:tc>
          <w:tcPr>
            <w:tcW w:w="1500" w:type="dxa"/>
            <w:vAlign w:val="bottom"/>
          </w:tcPr>
          <w:p>
            <w:pPr>
              <w:spacing w:after="0"/>
              <w:rPr>
                <w:sz w:val="20"/>
                <w:szCs w:val="20"/>
                <w:color w:val="auto"/>
              </w:rPr>
            </w:pPr>
            <w:r>
              <w:rPr>
                <w:rFonts w:ascii="Arial" w:cs="Arial" w:eastAsia="Arial" w:hAnsi="Arial"/>
                <w:sz w:val="14"/>
                <w:szCs w:val="14"/>
                <w:b w:val="1"/>
                <w:bCs w:val="1"/>
                <w:i w:val="1"/>
                <w:iCs w:val="1"/>
                <w:color w:val="003E64"/>
              </w:rPr>
              <w:t>Shareholder Rights:</w:t>
            </w:r>
          </w:p>
        </w:tc>
        <w:tc>
          <w:tcPr>
            <w:tcW w:w="5500" w:type="dxa"/>
            <w:vAlign w:val="bottom"/>
          </w:tcPr>
          <w:p>
            <w:pPr>
              <w:ind w:left="140"/>
              <w:spacing w:after="0"/>
              <w:rPr>
                <w:sz w:val="20"/>
                <w:szCs w:val="20"/>
                <w:color w:val="auto"/>
              </w:rPr>
            </w:pPr>
            <w:r>
              <w:rPr>
                <w:rFonts w:ascii="Arial" w:cs="Arial" w:eastAsia="Arial" w:hAnsi="Arial"/>
                <w:sz w:val="14"/>
                <w:szCs w:val="14"/>
                <w:color w:val="4D4D4F"/>
              </w:rPr>
              <w:t>Cumulative Voting</w:t>
            </w:r>
          </w:p>
        </w:tc>
        <w:tc>
          <w:tcPr>
            <w:tcW w:w="1880" w:type="dxa"/>
            <w:vAlign w:val="bottom"/>
          </w:tcPr>
          <w:p>
            <w:pPr>
              <w:ind w:left="980"/>
              <w:spacing w:after="0"/>
              <w:rPr>
                <w:sz w:val="20"/>
                <w:szCs w:val="20"/>
                <w:color w:val="auto"/>
              </w:rPr>
            </w:pPr>
            <w:r>
              <w:rPr>
                <w:rFonts w:ascii="Arial" w:cs="Arial" w:eastAsia="Arial" w:hAnsi="Arial"/>
                <w:sz w:val="14"/>
                <w:szCs w:val="14"/>
                <w:color w:val="4D4D4F"/>
              </w:rPr>
              <w:t>No</w:t>
            </w:r>
          </w:p>
        </w:tc>
      </w:tr>
      <w:tr>
        <w:trPr>
          <w:trHeight w:val="200"/>
        </w:trPr>
        <w:tc>
          <w:tcPr>
            <w:tcW w:w="1500" w:type="dxa"/>
            <w:vAlign w:val="bottom"/>
          </w:tcPr>
          <w:p>
            <w:pPr>
              <w:spacing w:after="0"/>
              <w:rPr>
                <w:sz w:val="17"/>
                <w:szCs w:val="17"/>
                <w:color w:val="auto"/>
              </w:rPr>
            </w:pPr>
          </w:p>
        </w:tc>
        <w:tc>
          <w:tcPr>
            <w:tcW w:w="5500" w:type="dxa"/>
            <w:vAlign w:val="bottom"/>
          </w:tcPr>
          <w:p>
            <w:pPr>
              <w:ind w:left="140"/>
              <w:spacing w:after="0"/>
              <w:rPr>
                <w:sz w:val="20"/>
                <w:szCs w:val="20"/>
                <w:color w:val="auto"/>
              </w:rPr>
            </w:pPr>
            <w:r>
              <w:rPr>
                <w:rFonts w:ascii="Arial" w:cs="Arial" w:eastAsia="Arial" w:hAnsi="Arial"/>
                <w:sz w:val="14"/>
                <w:szCs w:val="14"/>
                <w:color w:val="4D4D4F"/>
              </w:rPr>
              <w:t>Proxy Access Bylaw</w:t>
            </w:r>
          </w:p>
        </w:tc>
        <w:tc>
          <w:tcPr>
            <w:tcW w:w="1880" w:type="dxa"/>
            <w:vAlign w:val="bottom"/>
          </w:tcPr>
          <w:p>
            <w:pPr>
              <w:ind w:left="980"/>
              <w:spacing w:after="0"/>
              <w:rPr>
                <w:sz w:val="20"/>
                <w:szCs w:val="20"/>
                <w:color w:val="auto"/>
              </w:rPr>
            </w:pPr>
            <w:r>
              <w:rPr>
                <w:rFonts w:ascii="Arial" w:cs="Arial" w:eastAsia="Arial" w:hAnsi="Arial"/>
                <w:sz w:val="14"/>
                <w:szCs w:val="14"/>
                <w:color w:val="4D4D4F"/>
              </w:rPr>
              <w:t>Yes</w:t>
            </w:r>
          </w:p>
        </w:tc>
      </w:tr>
    </w:tbl>
    <w:p>
      <w:pPr>
        <w:ind w:left="1400" w:hanging="164"/>
        <w:spacing w:after="0" w:line="206" w:lineRule="auto"/>
        <w:tabs>
          <w:tab w:leader="none" w:pos="1400" w:val="left"/>
        </w:tabs>
        <w:numPr>
          <w:ilvl w:val="0"/>
          <w:numId w:val="5"/>
        </w:numPr>
        <w:rPr>
          <w:rFonts w:ascii="Arial" w:cs="Arial" w:eastAsia="Arial" w:hAnsi="Arial"/>
          <w:sz w:val="18"/>
          <w:szCs w:val="18"/>
          <w:color w:val="4D4D4F"/>
        </w:rPr>
      </w:pPr>
      <w:r>
        <w:rPr>
          <w:rFonts w:ascii="Arial" w:cs="Arial" w:eastAsia="Arial" w:hAnsi="Arial"/>
          <w:sz w:val="14"/>
          <w:szCs w:val="14"/>
          <w:color w:val="4D4D4F"/>
        </w:rPr>
        <w:t>One director nominee and one director not standing for re-election each attended 67% of board meetings held in 2020.</w:t>
      </w:r>
    </w:p>
    <w:p>
      <w:pPr>
        <w:spacing w:after="0" w:line="398"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0079C0"/>
        </w:rPr>
        <w:t>Amendments to Certificate of Incorporation</w:t>
      </w:r>
    </w:p>
    <w:p>
      <w:pPr>
        <w:spacing w:after="0" w:line="238"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4D4D4F"/>
        </w:rPr>
        <w:t>As the second proposal, we are asking stockholders to approve amendments to our certificate of incorporation, principally to increase the numbers of shares of common stock we are authorized to issue as follows:</w:t>
      </w:r>
    </w:p>
    <w:p>
      <w:pPr>
        <w:spacing w:after="0" w:line="62" w:lineRule="exact"/>
        <w:rPr>
          <w:sz w:val="20"/>
          <w:szCs w:val="20"/>
          <w:color w:val="auto"/>
        </w:rPr>
      </w:pPr>
    </w:p>
    <w:p>
      <w:pPr>
        <w:jc w:val="both"/>
        <w:ind w:left="440" w:hanging="324"/>
        <w:spacing w:after="0" w:line="238" w:lineRule="auto"/>
        <w:tabs>
          <w:tab w:leader="none" w:pos="440" w:val="left"/>
        </w:tabs>
        <w:numPr>
          <w:ilvl w:val="0"/>
          <w:numId w:val="6"/>
        </w:numPr>
        <w:rPr>
          <w:rFonts w:ascii="Arial" w:cs="Arial" w:eastAsia="Arial" w:hAnsi="Arial"/>
          <w:sz w:val="18"/>
          <w:szCs w:val="18"/>
          <w:color w:val="4D4D4F"/>
        </w:rPr>
      </w:pPr>
      <w:r>
        <w:rPr>
          <w:rFonts w:ascii="Arial" w:cs="Arial" w:eastAsia="Arial" w:hAnsi="Arial"/>
          <w:sz w:val="18"/>
          <w:szCs w:val="18"/>
          <w:color w:val="4D4D4F"/>
        </w:rPr>
        <w:t>The total number of authorized shares of Class A common stock would be increased from 50,000,000 to 150,000,000. Of the additional 100,000,000 shares of Class A common stock that would be authorized, a total of 60,000,000 shares would be available only for issuance as dividends on outstanding Class A common stock, in order to enable the board of directors to declare stock dividends in the future that would have the effect of a stock split of the Class A common stock.</w:t>
      </w:r>
    </w:p>
    <w:p>
      <w:pPr>
        <w:spacing w:after="0" w:line="42" w:lineRule="exact"/>
        <w:rPr>
          <w:rFonts w:ascii="Arial" w:cs="Arial" w:eastAsia="Arial" w:hAnsi="Arial"/>
          <w:sz w:val="18"/>
          <w:szCs w:val="18"/>
          <w:color w:val="4D4D4F"/>
        </w:rPr>
      </w:pPr>
    </w:p>
    <w:p>
      <w:pPr>
        <w:jc w:val="both"/>
        <w:ind w:left="440" w:hanging="324"/>
        <w:spacing w:after="0" w:line="238" w:lineRule="auto"/>
        <w:tabs>
          <w:tab w:leader="none" w:pos="440" w:val="left"/>
        </w:tabs>
        <w:numPr>
          <w:ilvl w:val="0"/>
          <w:numId w:val="6"/>
        </w:numPr>
        <w:rPr>
          <w:rFonts w:ascii="Arial" w:cs="Arial" w:eastAsia="Arial" w:hAnsi="Arial"/>
          <w:sz w:val="18"/>
          <w:szCs w:val="18"/>
          <w:color w:val="4D4D4F"/>
        </w:rPr>
      </w:pPr>
      <w:r>
        <w:rPr>
          <w:rFonts w:ascii="Arial" w:cs="Arial" w:eastAsia="Arial" w:hAnsi="Arial"/>
          <w:sz w:val="18"/>
          <w:szCs w:val="18"/>
          <w:color w:val="4D4D4F"/>
        </w:rPr>
        <w:t>The total number of authorized shares of Class B common stock would be increased from 2,409,738 to 5,307,816. All of the 2,898,078 additional shares of authorized but unissued Class B common stock, as well as the 640,466 shares of Class B common stock currently authorized but unissued, would be available only for issuance as dividends on outstanding Class B common stock, in order to enable the board to declare stock dividends in the future that would have the effect of a stock split of the Class B common stock.</w:t>
      </w:r>
    </w:p>
    <w:p>
      <w:pPr>
        <w:spacing w:after="0" w:line="42" w:lineRule="exact"/>
        <w:rPr>
          <w:rFonts w:ascii="Arial" w:cs="Arial" w:eastAsia="Arial" w:hAnsi="Arial"/>
          <w:sz w:val="18"/>
          <w:szCs w:val="18"/>
          <w:color w:val="4D4D4F"/>
        </w:rPr>
      </w:pPr>
    </w:p>
    <w:p>
      <w:pPr>
        <w:jc w:val="both"/>
        <w:ind w:left="440" w:hanging="324"/>
        <w:spacing w:after="0" w:line="238" w:lineRule="auto"/>
        <w:tabs>
          <w:tab w:leader="none" w:pos="440" w:val="left"/>
        </w:tabs>
        <w:numPr>
          <w:ilvl w:val="0"/>
          <w:numId w:val="6"/>
        </w:numPr>
        <w:rPr>
          <w:rFonts w:ascii="Arial" w:cs="Arial" w:eastAsia="Arial" w:hAnsi="Arial"/>
          <w:sz w:val="18"/>
          <w:szCs w:val="18"/>
          <w:color w:val="4D4D4F"/>
        </w:rPr>
      </w:pPr>
      <w:r>
        <w:rPr>
          <w:rFonts w:ascii="Arial" w:cs="Arial" w:eastAsia="Arial" w:hAnsi="Arial"/>
          <w:sz w:val="18"/>
          <w:szCs w:val="18"/>
          <w:color w:val="4D4D4F"/>
        </w:rPr>
        <w:t xml:space="preserve">The full text of the proposed amendments to our certificate of incorporation, marked to show the proposed deletions and insertions, is set forth in </w:t>
      </w:r>
      <w:r>
        <w:rPr>
          <w:rFonts w:ascii="Arial" w:cs="Arial" w:eastAsia="Arial" w:hAnsi="Arial"/>
          <w:sz w:val="18"/>
          <w:szCs w:val="18"/>
          <w:i w:val="1"/>
          <w:iCs w:val="1"/>
          <w:color w:val="4D4D4F"/>
        </w:rPr>
        <w:t>Appendix A</w:t>
      </w:r>
      <w:r>
        <w:rPr>
          <w:rFonts w:ascii="Arial" w:cs="Arial" w:eastAsia="Arial" w:hAnsi="Arial"/>
          <w:sz w:val="18"/>
          <w:szCs w:val="18"/>
          <w:color w:val="4D4D4F"/>
        </w:rPr>
        <w:t xml:space="preserve"> to this Proxy Statement. The general description of provisions of our certificate of incorporation and the proposed amendments to our certificate of incorporation set forth herein are qualified in their entirety by reference to the text of </w:t>
      </w:r>
      <w:r>
        <w:rPr>
          <w:rFonts w:ascii="Arial" w:cs="Arial" w:eastAsia="Arial" w:hAnsi="Arial"/>
          <w:sz w:val="18"/>
          <w:szCs w:val="18"/>
          <w:i w:val="1"/>
          <w:iCs w:val="1"/>
          <w:color w:val="4D4D4F"/>
        </w:rPr>
        <w:t>Appendix A</w:t>
      </w:r>
      <w:r>
        <w:rPr>
          <w:rFonts w:ascii="Arial" w:cs="Arial" w:eastAsia="Arial" w:hAnsi="Arial"/>
          <w:sz w:val="18"/>
          <w:szCs w:val="18"/>
          <w:color w:val="4D4D4F"/>
        </w:rPr>
        <w:t>.</w:t>
      </w:r>
    </w:p>
    <w:p>
      <w:pPr>
        <w:spacing w:after="0" w:line="42" w:lineRule="exact"/>
        <w:rPr>
          <w:rFonts w:ascii="Arial" w:cs="Arial" w:eastAsia="Arial" w:hAnsi="Arial"/>
          <w:sz w:val="18"/>
          <w:szCs w:val="18"/>
          <w:color w:val="4D4D4F"/>
        </w:rPr>
      </w:pPr>
    </w:p>
    <w:p>
      <w:pPr>
        <w:jc w:val="both"/>
        <w:ind w:left="440" w:hanging="324"/>
        <w:spacing w:after="0"/>
        <w:tabs>
          <w:tab w:leader="none" w:pos="440" w:val="left"/>
        </w:tabs>
        <w:numPr>
          <w:ilvl w:val="0"/>
          <w:numId w:val="6"/>
        </w:numPr>
        <w:rPr>
          <w:rFonts w:ascii="Arial" w:cs="Arial" w:eastAsia="Arial" w:hAnsi="Arial"/>
          <w:sz w:val="18"/>
          <w:szCs w:val="18"/>
          <w:color w:val="4D4D4F"/>
        </w:rPr>
      </w:pPr>
      <w:r>
        <w:rPr>
          <w:rFonts w:ascii="Arial" w:cs="Arial" w:eastAsia="Arial" w:hAnsi="Arial"/>
          <w:sz w:val="18"/>
          <w:szCs w:val="18"/>
          <w:color w:val="4D4D4F"/>
        </w:rPr>
        <w:t>If stockholders approve the proposed amendments to our certificate of incorporation, we will file a Certificate of Amendment that includes the proposed amendments with the Secretary of State of the State of Delaware following the Annual Meeting. The Certificate of Amendment will become effective upon acceptance of the filing by the Secretary of State of the State of Delaware.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115570</wp:posOffset>
            </wp:positionV>
            <wp:extent cx="7187565" cy="5387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7565" cy="538734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0079C0"/>
        </w:rPr>
        <w:t>Ratification of Appointment of Independent Auditor for 2021</w:t>
      </w:r>
    </w:p>
    <w:p>
      <w:pPr>
        <w:spacing w:after="0" w:line="200" w:lineRule="exact"/>
        <w:rPr>
          <w:sz w:val="20"/>
          <w:szCs w:val="20"/>
          <w:color w:val="auto"/>
        </w:rPr>
      </w:pPr>
    </w:p>
    <w:p>
      <w:pPr>
        <w:spacing w:after="0" w:line="21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4D4D4F"/>
        </w:rPr>
        <w:t>We are asking stockholders to ratify the audit committee’s retention of BDO China Shu Lun Pan Certified Public Accountants LLP, an independent registered public accounting firm, as our independent auditor to examine and report on our consolidated financial statements for the fiscal year ending December 31, 2021.</w:t>
      </w:r>
    </w:p>
    <w:p>
      <w:pPr>
        <w:spacing w:after="0" w:line="360"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0079C0"/>
        </w:rPr>
        <w:t>Advisory Vote on 2020 Executive Compensation</w:t>
      </w:r>
    </w:p>
    <w:p>
      <w:pPr>
        <w:spacing w:after="0" w:line="200" w:lineRule="exact"/>
        <w:rPr>
          <w:sz w:val="20"/>
          <w:szCs w:val="20"/>
          <w:color w:val="auto"/>
        </w:rPr>
      </w:pPr>
    </w:p>
    <w:p>
      <w:pPr>
        <w:spacing w:after="0" w:line="21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4D4D4F"/>
        </w:rPr>
        <w:t>In accordance with the rules of the Securities Exchange Commission, or the SEC, we are asking stockholders for an advisory vote — known as a “say-on-pay” vote — of the 2020 executive compensation of our “named executive officers,” or NEOs, as set forth in the compensation tables, related narrative discussion and other disclosures under “Executive Compensation” in this Proxy Statement. The following table provides information concerning the compensation paid for 2018, 2019 and 2020 to our NEOs, determined in accordance with SEC rules:</w:t>
      </w:r>
    </w:p>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80" w:type="dxa"/>
            <w:vAlign w:val="bottom"/>
            <w:shd w:val="clear" w:color="auto" w:fill="003E64"/>
          </w:tcPr>
          <w:p>
            <w:pPr>
              <w:spacing w:after="0"/>
              <w:rPr>
                <w:sz w:val="14"/>
                <w:szCs w:val="14"/>
                <w:color w:val="auto"/>
              </w:rPr>
            </w:pPr>
          </w:p>
        </w:tc>
        <w:tc>
          <w:tcPr>
            <w:tcW w:w="780" w:type="dxa"/>
            <w:vAlign w:val="bottom"/>
            <w:shd w:val="clear" w:color="auto" w:fill="003E64"/>
          </w:tcPr>
          <w:p>
            <w:pPr>
              <w:spacing w:after="0"/>
              <w:rPr>
                <w:sz w:val="14"/>
                <w:szCs w:val="14"/>
                <w:color w:val="auto"/>
              </w:rPr>
            </w:pPr>
          </w:p>
        </w:tc>
        <w:tc>
          <w:tcPr>
            <w:tcW w:w="1120" w:type="dxa"/>
            <w:vAlign w:val="bottom"/>
            <w:shd w:val="clear" w:color="auto" w:fill="003E64"/>
          </w:tcPr>
          <w:p>
            <w:pPr>
              <w:spacing w:after="0"/>
              <w:rPr>
                <w:sz w:val="14"/>
                <w:szCs w:val="14"/>
                <w:color w:val="auto"/>
              </w:rPr>
            </w:pPr>
          </w:p>
        </w:tc>
        <w:tc>
          <w:tcPr>
            <w:tcW w:w="1160" w:type="dxa"/>
            <w:vAlign w:val="bottom"/>
            <w:shd w:val="clear" w:color="auto" w:fill="003E64"/>
          </w:tcPr>
          <w:p>
            <w:pPr>
              <w:spacing w:after="0"/>
              <w:rPr>
                <w:sz w:val="14"/>
                <w:szCs w:val="14"/>
                <w:color w:val="auto"/>
              </w:rPr>
            </w:pPr>
          </w:p>
        </w:tc>
        <w:tc>
          <w:tcPr>
            <w:tcW w:w="1240" w:type="dxa"/>
            <w:vAlign w:val="bottom"/>
            <w:shd w:val="clear" w:color="auto" w:fill="003E64"/>
          </w:tcPr>
          <w:p>
            <w:pPr>
              <w:jc w:val="right"/>
              <w:ind w:right="388"/>
              <w:spacing w:after="0"/>
              <w:rPr>
                <w:sz w:val="20"/>
                <w:szCs w:val="20"/>
                <w:color w:val="auto"/>
              </w:rPr>
            </w:pPr>
            <w:r>
              <w:rPr>
                <w:rFonts w:ascii="Arial" w:cs="Arial" w:eastAsia="Arial" w:hAnsi="Arial"/>
                <w:sz w:val="14"/>
                <w:szCs w:val="14"/>
                <w:b w:val="1"/>
                <w:bCs w:val="1"/>
                <w:color w:val="FFFFFF"/>
              </w:rPr>
              <w:t>Option</w:t>
            </w: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All Other</w:t>
            </w:r>
          </w:p>
        </w:tc>
        <w:tc>
          <w:tcPr>
            <w:tcW w:w="1080" w:type="dxa"/>
            <w:vAlign w:val="bottom"/>
            <w:shd w:val="clear" w:color="auto" w:fill="003E64"/>
          </w:tcPr>
          <w:p>
            <w:pPr>
              <w:spacing w:after="0"/>
              <w:rPr>
                <w:sz w:val="14"/>
                <w:szCs w:val="14"/>
                <w:color w:val="auto"/>
              </w:rPr>
            </w:pPr>
          </w:p>
        </w:tc>
      </w:tr>
      <w:tr>
        <w:trPr>
          <w:trHeight w:val="162"/>
        </w:trPr>
        <w:tc>
          <w:tcPr>
            <w:tcW w:w="4380" w:type="dxa"/>
            <w:vAlign w:val="bottom"/>
            <w:shd w:val="clear" w:color="auto" w:fill="003E64"/>
          </w:tcPr>
          <w:p>
            <w:pPr>
              <w:spacing w:after="0"/>
              <w:rPr>
                <w:sz w:val="14"/>
                <w:szCs w:val="14"/>
                <w:color w:val="auto"/>
              </w:rPr>
            </w:pPr>
          </w:p>
        </w:tc>
        <w:tc>
          <w:tcPr>
            <w:tcW w:w="780" w:type="dxa"/>
            <w:vAlign w:val="bottom"/>
            <w:shd w:val="clear" w:color="auto" w:fill="003E64"/>
          </w:tcPr>
          <w:p>
            <w:pPr>
              <w:spacing w:after="0"/>
              <w:rPr>
                <w:sz w:val="14"/>
                <w:szCs w:val="14"/>
                <w:color w:val="auto"/>
              </w:rPr>
            </w:pPr>
          </w:p>
        </w:tc>
        <w:tc>
          <w:tcPr>
            <w:tcW w:w="1120" w:type="dxa"/>
            <w:vAlign w:val="bottom"/>
            <w:shd w:val="clear" w:color="auto" w:fill="003E64"/>
          </w:tcPr>
          <w:p>
            <w:pPr>
              <w:spacing w:after="0"/>
              <w:rPr>
                <w:sz w:val="14"/>
                <w:szCs w:val="14"/>
                <w:color w:val="auto"/>
              </w:rPr>
            </w:pPr>
          </w:p>
        </w:tc>
        <w:tc>
          <w:tcPr>
            <w:tcW w:w="1160" w:type="dxa"/>
            <w:vAlign w:val="bottom"/>
            <w:shd w:val="clear" w:color="auto" w:fill="003E64"/>
          </w:tcPr>
          <w:p>
            <w:pPr>
              <w:spacing w:after="0"/>
              <w:rPr>
                <w:sz w:val="14"/>
                <w:szCs w:val="14"/>
                <w:color w:val="auto"/>
              </w:rPr>
            </w:pPr>
          </w:p>
        </w:tc>
        <w:tc>
          <w:tcPr>
            <w:tcW w:w="1240" w:type="dxa"/>
            <w:vAlign w:val="bottom"/>
            <w:shd w:val="clear" w:color="auto" w:fill="003E64"/>
          </w:tcPr>
          <w:p>
            <w:pPr>
              <w:jc w:val="right"/>
              <w:ind w:right="328"/>
              <w:spacing w:after="0"/>
              <w:rPr>
                <w:sz w:val="20"/>
                <w:szCs w:val="20"/>
                <w:color w:val="auto"/>
              </w:rPr>
            </w:pPr>
            <w:r>
              <w:rPr>
                <w:rFonts w:ascii="Arial" w:cs="Arial" w:eastAsia="Arial" w:hAnsi="Arial"/>
                <w:sz w:val="14"/>
                <w:szCs w:val="14"/>
                <w:b w:val="1"/>
                <w:bCs w:val="1"/>
                <w:color w:val="FFFFFF"/>
              </w:rPr>
              <w:t>Awards</w:t>
            </w: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shd w:val="clear" w:color="auto" w:fill="003E64"/>
          </w:tcPr>
          <w:p>
            <w:pPr>
              <w:spacing w:after="0"/>
              <w:rPr>
                <w:sz w:val="14"/>
                <w:szCs w:val="14"/>
                <w:color w:val="auto"/>
              </w:rPr>
            </w:pPr>
          </w:p>
        </w:tc>
      </w:tr>
      <w:tr>
        <w:trPr>
          <w:trHeight w:val="175"/>
        </w:trPr>
        <w:tc>
          <w:tcPr>
            <w:tcW w:w="438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 and Principal Position</w:t>
            </w:r>
          </w:p>
        </w:tc>
        <w:tc>
          <w:tcPr>
            <w:tcW w:w="780" w:type="dxa"/>
            <w:vAlign w:val="bottom"/>
            <w:shd w:val="clear" w:color="auto" w:fill="003E64"/>
          </w:tcPr>
          <w:p>
            <w:pPr>
              <w:ind w:left="280"/>
              <w:spacing w:after="0"/>
              <w:rPr>
                <w:sz w:val="20"/>
                <w:szCs w:val="20"/>
                <w:color w:val="auto"/>
              </w:rPr>
            </w:pPr>
            <w:r>
              <w:rPr>
                <w:rFonts w:ascii="Arial" w:cs="Arial" w:eastAsia="Arial" w:hAnsi="Arial"/>
                <w:sz w:val="14"/>
                <w:szCs w:val="14"/>
                <w:b w:val="1"/>
                <w:bCs w:val="1"/>
                <w:color w:val="FFFFFF"/>
              </w:rPr>
              <w:t>Year</w:t>
            </w:r>
          </w:p>
        </w:tc>
        <w:tc>
          <w:tcPr>
            <w:tcW w:w="1120" w:type="dxa"/>
            <w:vAlign w:val="bottom"/>
            <w:shd w:val="clear" w:color="auto" w:fill="003E64"/>
          </w:tcPr>
          <w:p>
            <w:pPr>
              <w:jc w:val="right"/>
              <w:ind w:right="68"/>
              <w:spacing w:after="0"/>
              <w:rPr>
                <w:sz w:val="20"/>
                <w:szCs w:val="20"/>
                <w:color w:val="auto"/>
              </w:rPr>
            </w:pPr>
            <w:r>
              <w:rPr>
                <w:rFonts w:ascii="Arial" w:cs="Arial" w:eastAsia="Arial" w:hAnsi="Arial"/>
                <w:sz w:val="14"/>
                <w:szCs w:val="14"/>
                <w:b w:val="1"/>
                <w:bCs w:val="1"/>
                <w:color w:val="FFFFFF"/>
              </w:rPr>
              <w:t>Salary($)(1)</w:t>
            </w:r>
          </w:p>
        </w:tc>
        <w:tc>
          <w:tcPr>
            <w:tcW w:w="1160" w:type="dxa"/>
            <w:vAlign w:val="bottom"/>
            <w:shd w:val="clear" w:color="auto" w:fill="003E64"/>
          </w:tcPr>
          <w:p>
            <w:pPr>
              <w:jc w:val="right"/>
              <w:ind w:right="128"/>
              <w:spacing w:after="0"/>
              <w:rPr>
                <w:sz w:val="20"/>
                <w:szCs w:val="20"/>
                <w:color w:val="auto"/>
              </w:rPr>
            </w:pPr>
            <w:r>
              <w:rPr>
                <w:rFonts w:ascii="Arial" w:cs="Arial" w:eastAsia="Arial" w:hAnsi="Arial"/>
                <w:sz w:val="14"/>
                <w:szCs w:val="14"/>
                <w:b w:val="1"/>
                <w:bCs w:val="1"/>
                <w:color w:val="FFFFFF"/>
              </w:rPr>
              <w:t>Bonus($)(1)</w:t>
            </w:r>
          </w:p>
        </w:tc>
        <w:tc>
          <w:tcPr>
            <w:tcW w:w="1240" w:type="dxa"/>
            <w:vAlign w:val="bottom"/>
            <w:shd w:val="clear" w:color="auto" w:fill="003E64"/>
          </w:tcPr>
          <w:p>
            <w:pPr>
              <w:jc w:val="right"/>
              <w:ind w:right="328"/>
              <w:spacing w:after="0"/>
              <w:rPr>
                <w:sz w:val="20"/>
                <w:szCs w:val="20"/>
                <w:color w:val="auto"/>
              </w:rPr>
            </w:pPr>
            <w:r>
              <w:rPr>
                <w:rFonts w:ascii="Arial" w:cs="Arial" w:eastAsia="Arial" w:hAnsi="Arial"/>
                <w:sz w:val="14"/>
                <w:szCs w:val="14"/>
                <w:b w:val="1"/>
                <w:bCs w:val="1"/>
                <w:color w:val="FFFFFF"/>
              </w:rPr>
              <w:t>($)(2)(3)</w:t>
            </w: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($)(1)(4)</w:t>
            </w:r>
          </w:p>
        </w:tc>
        <w:tc>
          <w:tcPr>
            <w:tcW w:w="1080" w:type="dxa"/>
            <w:vAlign w:val="bottom"/>
            <w:shd w:val="clear" w:color="auto" w:fill="003E64"/>
          </w:tcPr>
          <w:p>
            <w:pPr>
              <w:jc w:val="right"/>
              <w:ind w:right="148"/>
              <w:spacing w:after="0"/>
              <w:rPr>
                <w:sz w:val="20"/>
                <w:szCs w:val="20"/>
                <w:color w:val="auto"/>
              </w:rPr>
            </w:pPr>
            <w:r>
              <w:rPr>
                <w:rFonts w:ascii="Arial" w:cs="Arial" w:eastAsia="Arial" w:hAnsi="Arial"/>
                <w:sz w:val="14"/>
                <w:szCs w:val="14"/>
                <w:b w:val="1"/>
                <w:bCs w:val="1"/>
                <w:color w:val="FFFFFF"/>
              </w:rPr>
              <w:t>Total($)</w:t>
            </w:r>
          </w:p>
        </w:tc>
      </w:tr>
      <w:tr>
        <w:trPr>
          <w:trHeight w:val="156"/>
        </w:trPr>
        <w:tc>
          <w:tcPr>
            <w:tcW w:w="4380" w:type="dxa"/>
            <w:vAlign w:val="bottom"/>
          </w:tcPr>
          <w:p>
            <w:pPr>
              <w:spacing w:after="0" w:line="157" w:lineRule="exact"/>
              <w:rPr>
                <w:sz w:val="20"/>
                <w:szCs w:val="20"/>
                <w:color w:val="auto"/>
              </w:rPr>
            </w:pPr>
            <w:r>
              <w:rPr>
                <w:rFonts w:ascii="Arial" w:cs="Arial" w:eastAsia="Arial" w:hAnsi="Arial"/>
                <w:sz w:val="14"/>
                <w:szCs w:val="14"/>
                <w:color w:val="4D4D4F"/>
              </w:rPr>
              <w:t>David H. Wang</w:t>
            </w:r>
          </w:p>
        </w:tc>
        <w:tc>
          <w:tcPr>
            <w:tcW w:w="780" w:type="dxa"/>
            <w:vAlign w:val="bottom"/>
          </w:tcPr>
          <w:p>
            <w:pPr>
              <w:ind w:left="280"/>
              <w:spacing w:after="0" w:line="157" w:lineRule="exact"/>
              <w:rPr>
                <w:sz w:val="20"/>
                <w:szCs w:val="20"/>
                <w:color w:val="auto"/>
              </w:rPr>
            </w:pPr>
            <w:r>
              <w:rPr>
                <w:rFonts w:ascii="Arial" w:cs="Arial" w:eastAsia="Arial" w:hAnsi="Arial"/>
                <w:sz w:val="14"/>
                <w:szCs w:val="14"/>
                <w:color w:val="4D4D4F"/>
              </w:rPr>
              <w:t>2020</w:t>
            </w:r>
          </w:p>
        </w:tc>
        <w:tc>
          <w:tcPr>
            <w:tcW w:w="1120" w:type="dxa"/>
            <w:vAlign w:val="bottom"/>
          </w:tcPr>
          <w:p>
            <w:pPr>
              <w:jc w:val="right"/>
              <w:ind w:right="108"/>
              <w:spacing w:after="0" w:line="157" w:lineRule="exact"/>
              <w:rPr>
                <w:sz w:val="20"/>
                <w:szCs w:val="20"/>
                <w:color w:val="auto"/>
              </w:rPr>
            </w:pPr>
            <w:r>
              <w:rPr>
                <w:rFonts w:ascii="Arial" w:cs="Arial" w:eastAsia="Arial" w:hAnsi="Arial"/>
                <w:sz w:val="14"/>
                <w:szCs w:val="14"/>
                <w:color w:val="4D4D4F"/>
              </w:rPr>
              <w:t>$294,054</w:t>
            </w:r>
          </w:p>
        </w:tc>
        <w:tc>
          <w:tcPr>
            <w:tcW w:w="1160" w:type="dxa"/>
            <w:vAlign w:val="bottom"/>
          </w:tcPr>
          <w:p>
            <w:pPr>
              <w:jc w:val="right"/>
              <w:ind w:right="128"/>
              <w:spacing w:after="0" w:line="157" w:lineRule="exact"/>
              <w:rPr>
                <w:sz w:val="20"/>
                <w:szCs w:val="20"/>
                <w:color w:val="auto"/>
              </w:rPr>
            </w:pPr>
            <w:r>
              <w:rPr>
                <w:rFonts w:ascii="Arial" w:cs="Arial" w:eastAsia="Arial" w:hAnsi="Arial"/>
                <w:sz w:val="14"/>
                <w:szCs w:val="14"/>
                <w:color w:val="4D4D4F"/>
              </w:rPr>
              <w:t>$95,700</w:t>
            </w:r>
          </w:p>
        </w:tc>
        <w:tc>
          <w:tcPr>
            <w:tcW w:w="1240" w:type="dxa"/>
            <w:vAlign w:val="bottom"/>
          </w:tcPr>
          <w:p>
            <w:pPr>
              <w:jc w:val="right"/>
              <w:ind w:right="128"/>
              <w:spacing w:after="0" w:line="157" w:lineRule="exact"/>
              <w:rPr>
                <w:sz w:val="20"/>
                <w:szCs w:val="20"/>
                <w:color w:val="auto"/>
              </w:rPr>
            </w:pPr>
            <w:r>
              <w:rPr>
                <w:rFonts w:ascii="Arial" w:cs="Arial" w:eastAsia="Arial" w:hAnsi="Arial"/>
                <w:sz w:val="14"/>
                <w:szCs w:val="14"/>
                <w:color w:val="4D4D4F"/>
              </w:rPr>
              <w:t>$4,963,675</w:t>
            </w:r>
          </w:p>
        </w:tc>
        <w:tc>
          <w:tcPr>
            <w:tcW w:w="1340" w:type="dxa"/>
            <w:vAlign w:val="bottom"/>
          </w:tcPr>
          <w:p>
            <w:pPr>
              <w:jc w:val="right"/>
              <w:ind w:right="48"/>
              <w:spacing w:after="0" w:line="157" w:lineRule="exact"/>
              <w:rPr>
                <w:sz w:val="20"/>
                <w:szCs w:val="20"/>
                <w:color w:val="auto"/>
              </w:rPr>
            </w:pPr>
            <w:r>
              <w:rPr>
                <w:rFonts w:ascii="Arial" w:cs="Arial" w:eastAsia="Arial" w:hAnsi="Arial"/>
                <w:sz w:val="14"/>
                <w:szCs w:val="14"/>
                <w:color w:val="4D4D4F"/>
              </w:rPr>
              <w:t>$15,660</w:t>
            </w:r>
          </w:p>
        </w:tc>
        <w:tc>
          <w:tcPr>
            <w:tcW w:w="1080" w:type="dxa"/>
            <w:vAlign w:val="bottom"/>
          </w:tcPr>
          <w:p>
            <w:pPr>
              <w:jc w:val="right"/>
              <w:ind w:right="48"/>
              <w:spacing w:after="0" w:line="157" w:lineRule="exact"/>
              <w:rPr>
                <w:sz w:val="20"/>
                <w:szCs w:val="20"/>
                <w:color w:val="auto"/>
              </w:rPr>
            </w:pPr>
            <w:r>
              <w:rPr>
                <w:rFonts w:ascii="Arial" w:cs="Arial" w:eastAsia="Arial" w:hAnsi="Arial"/>
                <w:sz w:val="14"/>
                <w:szCs w:val="14"/>
                <w:color w:val="4D4D4F"/>
              </w:rPr>
              <w:t>$5,369,089</w:t>
            </w:r>
          </w:p>
        </w:tc>
      </w:tr>
      <w:tr>
        <w:trPr>
          <w:trHeight w:val="189"/>
        </w:trPr>
        <w:tc>
          <w:tcPr>
            <w:tcW w:w="4380" w:type="dxa"/>
            <w:vAlign w:val="bottom"/>
          </w:tcPr>
          <w:p>
            <w:pPr>
              <w:spacing w:after="0"/>
              <w:rPr>
                <w:sz w:val="20"/>
                <w:szCs w:val="20"/>
                <w:color w:val="auto"/>
              </w:rPr>
            </w:pPr>
            <w:r>
              <w:rPr>
                <w:rFonts w:ascii="Arial" w:cs="Arial" w:eastAsia="Arial" w:hAnsi="Arial"/>
                <w:sz w:val="14"/>
                <w:szCs w:val="14"/>
                <w:i w:val="1"/>
                <w:iCs w:val="1"/>
                <w:color w:val="4D4D4F"/>
              </w:rPr>
              <w:t>Chief Executive Officer and President</w:t>
            </w:r>
          </w:p>
        </w:tc>
        <w:tc>
          <w:tcPr>
            <w:tcW w:w="780" w:type="dxa"/>
            <w:vAlign w:val="bottom"/>
          </w:tcPr>
          <w:p>
            <w:pPr>
              <w:ind w:left="280"/>
              <w:spacing w:after="0"/>
              <w:rPr>
                <w:sz w:val="20"/>
                <w:szCs w:val="20"/>
                <w:color w:val="auto"/>
              </w:rPr>
            </w:pPr>
            <w:r>
              <w:rPr>
                <w:rFonts w:ascii="Arial" w:cs="Arial" w:eastAsia="Arial" w:hAnsi="Arial"/>
                <w:sz w:val="14"/>
                <w:szCs w:val="14"/>
                <w:color w:val="4D4D4F"/>
              </w:rPr>
              <w:t>2019</w:t>
            </w:r>
          </w:p>
        </w:tc>
        <w:tc>
          <w:tcPr>
            <w:tcW w:w="1120" w:type="dxa"/>
            <w:vAlign w:val="bottom"/>
          </w:tcPr>
          <w:p>
            <w:pPr>
              <w:jc w:val="right"/>
              <w:ind w:right="108"/>
              <w:spacing w:after="0"/>
              <w:rPr>
                <w:sz w:val="20"/>
                <w:szCs w:val="20"/>
                <w:color w:val="auto"/>
              </w:rPr>
            </w:pPr>
            <w:r>
              <w:rPr>
                <w:rFonts w:ascii="Arial" w:cs="Arial" w:eastAsia="Arial" w:hAnsi="Arial"/>
                <w:sz w:val="14"/>
                <w:szCs w:val="14"/>
                <w:color w:val="4D4D4F"/>
              </w:rPr>
              <w:t>229,742</w:t>
            </w:r>
          </w:p>
        </w:tc>
        <w:tc>
          <w:tcPr>
            <w:tcW w:w="1160" w:type="dxa"/>
            <w:vAlign w:val="bottom"/>
          </w:tcPr>
          <w:p>
            <w:pPr>
              <w:jc w:val="right"/>
              <w:ind w:right="128"/>
              <w:spacing w:after="0"/>
              <w:rPr>
                <w:sz w:val="20"/>
                <w:szCs w:val="20"/>
                <w:color w:val="auto"/>
              </w:rPr>
            </w:pPr>
            <w:r>
              <w:rPr>
                <w:rFonts w:ascii="Arial" w:cs="Arial" w:eastAsia="Arial" w:hAnsi="Arial"/>
                <w:sz w:val="14"/>
                <w:szCs w:val="14"/>
                <w:color w:val="4D4D4F"/>
              </w:rPr>
              <w:t>19,358</w:t>
            </w:r>
          </w:p>
        </w:tc>
        <w:tc>
          <w:tcPr>
            <w:tcW w:w="1240" w:type="dxa"/>
            <w:vAlign w:val="bottom"/>
          </w:tcPr>
          <w:p>
            <w:pPr>
              <w:jc w:val="right"/>
              <w:ind w:right="128"/>
              <w:spacing w:after="0"/>
              <w:rPr>
                <w:sz w:val="20"/>
                <w:szCs w:val="20"/>
                <w:color w:val="auto"/>
              </w:rPr>
            </w:pPr>
            <w:r>
              <w:rPr>
                <w:rFonts w:ascii="Arial" w:cs="Arial" w:eastAsia="Arial" w:hAnsi="Arial"/>
                <w:sz w:val="14"/>
                <w:szCs w:val="14"/>
                <w:color w:val="4D4D4F"/>
              </w:rPr>
              <w:t>325,000</w:t>
            </w:r>
          </w:p>
        </w:tc>
        <w:tc>
          <w:tcPr>
            <w:tcW w:w="1340" w:type="dxa"/>
            <w:vAlign w:val="bottom"/>
          </w:tcPr>
          <w:p>
            <w:pPr>
              <w:jc w:val="right"/>
              <w:ind w:right="48"/>
              <w:spacing w:after="0"/>
              <w:rPr>
                <w:sz w:val="20"/>
                <w:szCs w:val="20"/>
                <w:color w:val="auto"/>
              </w:rPr>
            </w:pPr>
            <w:r>
              <w:rPr>
                <w:rFonts w:ascii="Arial" w:cs="Arial" w:eastAsia="Arial" w:hAnsi="Arial"/>
                <w:sz w:val="14"/>
                <w:szCs w:val="14"/>
                <w:color w:val="4D4D4F"/>
              </w:rPr>
              <w:t>13,920</w:t>
            </w:r>
          </w:p>
        </w:tc>
        <w:tc>
          <w:tcPr>
            <w:tcW w:w="1080" w:type="dxa"/>
            <w:vAlign w:val="bottom"/>
          </w:tcPr>
          <w:p>
            <w:pPr>
              <w:jc w:val="right"/>
              <w:ind w:right="48"/>
              <w:spacing w:after="0"/>
              <w:rPr>
                <w:sz w:val="20"/>
                <w:szCs w:val="20"/>
                <w:color w:val="auto"/>
              </w:rPr>
            </w:pPr>
            <w:r>
              <w:rPr>
                <w:rFonts w:ascii="Arial" w:cs="Arial" w:eastAsia="Arial" w:hAnsi="Arial"/>
                <w:sz w:val="14"/>
                <w:szCs w:val="14"/>
                <w:color w:val="4D4D4F"/>
              </w:rPr>
              <w:t>588,020</w:t>
            </w:r>
          </w:p>
        </w:tc>
      </w:tr>
      <w:tr>
        <w:trPr>
          <w:trHeight w:val="222"/>
        </w:trPr>
        <w:tc>
          <w:tcPr>
            <w:tcW w:w="4380" w:type="dxa"/>
            <w:vAlign w:val="bottom"/>
          </w:tcPr>
          <w:p>
            <w:pPr>
              <w:spacing w:after="0"/>
              <w:rPr>
                <w:sz w:val="19"/>
                <w:szCs w:val="19"/>
                <w:color w:val="auto"/>
              </w:rPr>
            </w:pPr>
          </w:p>
        </w:tc>
        <w:tc>
          <w:tcPr>
            <w:tcW w:w="780" w:type="dxa"/>
            <w:vAlign w:val="bottom"/>
          </w:tcPr>
          <w:p>
            <w:pPr>
              <w:ind w:left="280"/>
              <w:spacing w:after="0"/>
              <w:rPr>
                <w:sz w:val="20"/>
                <w:szCs w:val="20"/>
                <w:color w:val="auto"/>
              </w:rPr>
            </w:pPr>
            <w:r>
              <w:rPr>
                <w:rFonts w:ascii="Arial" w:cs="Arial" w:eastAsia="Arial" w:hAnsi="Arial"/>
                <w:sz w:val="14"/>
                <w:szCs w:val="14"/>
                <w:color w:val="4D4D4F"/>
              </w:rPr>
              <w:t>2018</w:t>
            </w:r>
          </w:p>
        </w:tc>
        <w:tc>
          <w:tcPr>
            <w:tcW w:w="1120" w:type="dxa"/>
            <w:vAlign w:val="bottom"/>
          </w:tcPr>
          <w:p>
            <w:pPr>
              <w:jc w:val="right"/>
              <w:ind w:right="108"/>
              <w:spacing w:after="0"/>
              <w:rPr>
                <w:sz w:val="20"/>
                <w:szCs w:val="20"/>
                <w:color w:val="auto"/>
              </w:rPr>
            </w:pPr>
            <w:r>
              <w:rPr>
                <w:rFonts w:ascii="Arial" w:cs="Arial" w:eastAsia="Arial" w:hAnsi="Arial"/>
                <w:sz w:val="14"/>
                <w:szCs w:val="14"/>
                <w:color w:val="4D4D4F"/>
              </w:rPr>
              <w:t>189,373</w:t>
            </w:r>
          </w:p>
        </w:tc>
        <w:tc>
          <w:tcPr>
            <w:tcW w:w="1160" w:type="dxa"/>
            <w:vAlign w:val="bottom"/>
          </w:tcPr>
          <w:p>
            <w:pPr>
              <w:jc w:val="right"/>
              <w:ind w:right="128"/>
              <w:spacing w:after="0"/>
              <w:rPr>
                <w:sz w:val="20"/>
                <w:szCs w:val="20"/>
                <w:color w:val="auto"/>
              </w:rPr>
            </w:pPr>
            <w:r>
              <w:rPr>
                <w:rFonts w:ascii="Arial" w:cs="Arial" w:eastAsia="Arial" w:hAnsi="Arial"/>
                <w:sz w:val="14"/>
                <w:szCs w:val="14"/>
                <w:color w:val="4D4D4F"/>
              </w:rPr>
              <w:t>34,519</w:t>
            </w:r>
          </w:p>
        </w:tc>
        <w:tc>
          <w:tcPr>
            <w:tcW w:w="1240" w:type="dxa"/>
            <w:vAlign w:val="bottom"/>
          </w:tcPr>
          <w:p>
            <w:pPr>
              <w:jc w:val="right"/>
              <w:ind w:right="128"/>
              <w:spacing w:after="0"/>
              <w:rPr>
                <w:sz w:val="20"/>
                <w:szCs w:val="20"/>
                <w:color w:val="auto"/>
              </w:rPr>
            </w:pPr>
            <w:r>
              <w:rPr>
                <w:rFonts w:ascii="Arial" w:cs="Arial" w:eastAsia="Arial" w:hAnsi="Arial"/>
                <w:sz w:val="14"/>
                <w:szCs w:val="14"/>
                <w:color w:val="4D4D4F"/>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4D4D4F"/>
              </w:rPr>
              <w:t>10,667</w:t>
            </w:r>
          </w:p>
        </w:tc>
        <w:tc>
          <w:tcPr>
            <w:tcW w:w="1080" w:type="dxa"/>
            <w:vAlign w:val="bottom"/>
          </w:tcPr>
          <w:p>
            <w:pPr>
              <w:jc w:val="right"/>
              <w:ind w:right="48"/>
              <w:spacing w:after="0"/>
              <w:rPr>
                <w:sz w:val="20"/>
                <w:szCs w:val="20"/>
                <w:color w:val="auto"/>
              </w:rPr>
            </w:pPr>
            <w:r>
              <w:rPr>
                <w:rFonts w:ascii="Arial" w:cs="Arial" w:eastAsia="Arial" w:hAnsi="Arial"/>
                <w:sz w:val="14"/>
                <w:szCs w:val="14"/>
                <w:color w:val="4D4D4F"/>
              </w:rPr>
              <w:t>234,559</w:t>
            </w:r>
          </w:p>
        </w:tc>
      </w:tr>
      <w:tr>
        <w:trPr>
          <w:trHeight w:val="189"/>
        </w:trPr>
        <w:tc>
          <w:tcPr>
            <w:tcW w:w="4380" w:type="dxa"/>
            <w:vAlign w:val="bottom"/>
            <w:shd w:val="clear" w:color="auto" w:fill="B7E4FF"/>
          </w:tcPr>
          <w:p>
            <w:pPr>
              <w:spacing w:after="0"/>
              <w:rPr>
                <w:sz w:val="20"/>
                <w:szCs w:val="20"/>
                <w:color w:val="auto"/>
              </w:rPr>
            </w:pPr>
            <w:r>
              <w:rPr>
                <w:rFonts w:ascii="Arial" w:cs="Arial" w:eastAsia="Arial" w:hAnsi="Arial"/>
                <w:sz w:val="14"/>
                <w:szCs w:val="14"/>
                <w:color w:val="4D4D4F"/>
              </w:rPr>
              <w:t>Mark McKechnie</w:t>
            </w:r>
          </w:p>
        </w:tc>
        <w:tc>
          <w:tcPr>
            <w:tcW w:w="780" w:type="dxa"/>
            <w:vAlign w:val="bottom"/>
            <w:shd w:val="clear" w:color="auto" w:fill="B7E4FF"/>
          </w:tcPr>
          <w:p>
            <w:pPr>
              <w:ind w:left="280"/>
              <w:spacing w:after="0"/>
              <w:rPr>
                <w:sz w:val="20"/>
                <w:szCs w:val="20"/>
                <w:color w:val="auto"/>
              </w:rPr>
            </w:pPr>
            <w:r>
              <w:rPr>
                <w:rFonts w:ascii="Arial" w:cs="Arial" w:eastAsia="Arial" w:hAnsi="Arial"/>
                <w:sz w:val="14"/>
                <w:szCs w:val="14"/>
                <w:color w:val="4D4D4F"/>
              </w:rPr>
              <w:t>2020</w:t>
            </w:r>
          </w:p>
        </w:tc>
        <w:tc>
          <w:tcPr>
            <w:tcW w:w="1120" w:type="dxa"/>
            <w:vAlign w:val="bottom"/>
            <w:shd w:val="clear" w:color="auto" w:fill="B7E4FF"/>
          </w:tcPr>
          <w:p>
            <w:pPr>
              <w:jc w:val="right"/>
              <w:ind w:right="108"/>
              <w:spacing w:after="0"/>
              <w:rPr>
                <w:sz w:val="20"/>
                <w:szCs w:val="20"/>
                <w:color w:val="auto"/>
              </w:rPr>
            </w:pPr>
            <w:r>
              <w:rPr>
                <w:rFonts w:ascii="Arial" w:cs="Arial" w:eastAsia="Arial" w:hAnsi="Arial"/>
                <w:sz w:val="14"/>
                <w:szCs w:val="14"/>
                <w:color w:val="4D4D4F"/>
              </w:rPr>
              <w:t>243,906</w:t>
            </w:r>
          </w:p>
        </w:tc>
        <w:tc>
          <w:tcPr>
            <w:tcW w:w="1160" w:type="dxa"/>
            <w:vAlign w:val="bottom"/>
            <w:shd w:val="clear" w:color="auto" w:fill="B7E4FF"/>
          </w:tcPr>
          <w:p>
            <w:pPr>
              <w:jc w:val="right"/>
              <w:ind w:right="128"/>
              <w:spacing w:after="0"/>
              <w:rPr>
                <w:sz w:val="20"/>
                <w:szCs w:val="20"/>
                <w:color w:val="auto"/>
              </w:rPr>
            </w:pPr>
            <w:r>
              <w:rPr>
                <w:rFonts w:ascii="Arial" w:cs="Arial" w:eastAsia="Arial" w:hAnsi="Arial"/>
                <w:sz w:val="14"/>
                <w:szCs w:val="14"/>
                <w:color w:val="4D4D4F"/>
              </w:rPr>
              <w:t>—</w:t>
            </w:r>
          </w:p>
        </w:tc>
        <w:tc>
          <w:tcPr>
            <w:tcW w:w="1240" w:type="dxa"/>
            <w:vAlign w:val="bottom"/>
            <w:shd w:val="clear" w:color="auto" w:fill="B7E4FF"/>
          </w:tcPr>
          <w:p>
            <w:pPr>
              <w:jc w:val="right"/>
              <w:ind w:right="128"/>
              <w:spacing w:after="0"/>
              <w:rPr>
                <w:sz w:val="20"/>
                <w:szCs w:val="20"/>
                <w:color w:val="auto"/>
              </w:rPr>
            </w:pPr>
            <w:r>
              <w:rPr>
                <w:rFonts w:ascii="Arial" w:cs="Arial" w:eastAsia="Arial" w:hAnsi="Arial"/>
                <w:sz w:val="14"/>
                <w:szCs w:val="14"/>
                <w:color w:val="4D4D4F"/>
              </w:rPr>
              <w:t>—</w:t>
            </w:r>
          </w:p>
        </w:tc>
        <w:tc>
          <w:tcPr>
            <w:tcW w:w="1340" w:type="dxa"/>
            <w:vAlign w:val="bottom"/>
            <w:shd w:val="clear" w:color="auto" w:fill="B7E4FF"/>
          </w:tcPr>
          <w:p>
            <w:pPr>
              <w:jc w:val="right"/>
              <w:ind w:right="48"/>
              <w:spacing w:after="0"/>
              <w:rPr>
                <w:sz w:val="20"/>
                <w:szCs w:val="20"/>
                <w:color w:val="auto"/>
              </w:rPr>
            </w:pPr>
            <w:r>
              <w:rPr>
                <w:rFonts w:ascii="Arial" w:cs="Arial" w:eastAsia="Arial" w:hAnsi="Arial"/>
                <w:sz w:val="14"/>
                <w:szCs w:val="14"/>
                <w:color w:val="4D4D4F"/>
              </w:rPr>
              <w:t>—</w:t>
            </w:r>
          </w:p>
        </w:tc>
        <w:tc>
          <w:tcPr>
            <w:tcW w:w="1080" w:type="dxa"/>
            <w:vAlign w:val="bottom"/>
            <w:shd w:val="clear" w:color="auto" w:fill="B7E4FF"/>
          </w:tcPr>
          <w:p>
            <w:pPr>
              <w:jc w:val="right"/>
              <w:ind w:right="48"/>
              <w:spacing w:after="0"/>
              <w:rPr>
                <w:sz w:val="20"/>
                <w:szCs w:val="20"/>
                <w:color w:val="auto"/>
              </w:rPr>
            </w:pPr>
            <w:r>
              <w:rPr>
                <w:rFonts w:ascii="Arial" w:cs="Arial" w:eastAsia="Arial" w:hAnsi="Arial"/>
                <w:sz w:val="14"/>
                <w:szCs w:val="14"/>
                <w:color w:val="4D4D4F"/>
              </w:rPr>
              <w:t>243,906</w:t>
            </w:r>
          </w:p>
        </w:tc>
      </w:tr>
      <w:tr>
        <w:trPr>
          <w:trHeight w:val="189"/>
        </w:trPr>
        <w:tc>
          <w:tcPr>
            <w:tcW w:w="4380" w:type="dxa"/>
            <w:vAlign w:val="bottom"/>
            <w:shd w:val="clear" w:color="auto" w:fill="B7E4FF"/>
          </w:tcPr>
          <w:p>
            <w:pPr>
              <w:spacing w:after="0"/>
              <w:rPr>
                <w:sz w:val="20"/>
                <w:szCs w:val="20"/>
                <w:color w:val="auto"/>
              </w:rPr>
            </w:pPr>
            <w:r>
              <w:rPr>
                <w:rFonts w:ascii="Arial" w:cs="Arial" w:eastAsia="Arial" w:hAnsi="Arial"/>
                <w:sz w:val="14"/>
                <w:szCs w:val="14"/>
                <w:i w:val="1"/>
                <w:iCs w:val="1"/>
                <w:color w:val="4D4D4F"/>
              </w:rPr>
              <w:t>Chief Financial Officer, Treasurer and Secretary</w:t>
            </w:r>
          </w:p>
        </w:tc>
        <w:tc>
          <w:tcPr>
            <w:tcW w:w="780" w:type="dxa"/>
            <w:vAlign w:val="bottom"/>
            <w:shd w:val="clear" w:color="auto" w:fill="B7E4FF"/>
          </w:tcPr>
          <w:p>
            <w:pPr>
              <w:ind w:left="280"/>
              <w:spacing w:after="0"/>
              <w:rPr>
                <w:sz w:val="20"/>
                <w:szCs w:val="20"/>
                <w:color w:val="auto"/>
              </w:rPr>
            </w:pPr>
            <w:r>
              <w:rPr>
                <w:rFonts w:ascii="Arial" w:cs="Arial" w:eastAsia="Arial" w:hAnsi="Arial"/>
                <w:sz w:val="14"/>
                <w:szCs w:val="14"/>
                <w:color w:val="4D4D4F"/>
              </w:rPr>
              <w:t>2019</w:t>
            </w:r>
          </w:p>
        </w:tc>
        <w:tc>
          <w:tcPr>
            <w:tcW w:w="1120" w:type="dxa"/>
            <w:vAlign w:val="bottom"/>
            <w:shd w:val="clear" w:color="auto" w:fill="B7E4FF"/>
          </w:tcPr>
          <w:p>
            <w:pPr>
              <w:jc w:val="right"/>
              <w:ind w:right="108"/>
              <w:spacing w:after="0"/>
              <w:rPr>
                <w:sz w:val="20"/>
                <w:szCs w:val="20"/>
                <w:color w:val="auto"/>
              </w:rPr>
            </w:pPr>
            <w:r>
              <w:rPr>
                <w:rFonts w:ascii="Arial" w:cs="Arial" w:eastAsia="Arial" w:hAnsi="Arial"/>
                <w:sz w:val="14"/>
                <w:szCs w:val="14"/>
                <w:color w:val="4D4D4F"/>
              </w:rPr>
              <w:t>232,424</w:t>
            </w:r>
          </w:p>
        </w:tc>
        <w:tc>
          <w:tcPr>
            <w:tcW w:w="1160" w:type="dxa"/>
            <w:vAlign w:val="bottom"/>
            <w:shd w:val="clear" w:color="auto" w:fill="B7E4FF"/>
          </w:tcPr>
          <w:p>
            <w:pPr>
              <w:jc w:val="right"/>
              <w:ind w:right="128"/>
              <w:spacing w:after="0"/>
              <w:rPr>
                <w:sz w:val="20"/>
                <w:szCs w:val="20"/>
                <w:color w:val="auto"/>
              </w:rPr>
            </w:pPr>
            <w:r>
              <w:rPr>
                <w:rFonts w:ascii="Arial" w:cs="Arial" w:eastAsia="Arial" w:hAnsi="Arial"/>
                <w:sz w:val="14"/>
                <w:szCs w:val="14"/>
                <w:color w:val="4D4D4F"/>
              </w:rPr>
              <w:t>129,327</w:t>
            </w:r>
          </w:p>
        </w:tc>
        <w:tc>
          <w:tcPr>
            <w:tcW w:w="1240" w:type="dxa"/>
            <w:vAlign w:val="bottom"/>
            <w:shd w:val="clear" w:color="auto" w:fill="B7E4FF"/>
          </w:tcPr>
          <w:p>
            <w:pPr>
              <w:jc w:val="right"/>
              <w:ind w:right="128"/>
              <w:spacing w:after="0"/>
              <w:rPr>
                <w:sz w:val="20"/>
                <w:szCs w:val="20"/>
                <w:color w:val="auto"/>
              </w:rPr>
            </w:pPr>
            <w:r>
              <w:rPr>
                <w:rFonts w:ascii="Arial" w:cs="Arial" w:eastAsia="Arial" w:hAnsi="Arial"/>
                <w:sz w:val="14"/>
                <w:szCs w:val="14"/>
                <w:color w:val="4D4D4F"/>
              </w:rPr>
              <w:t>299,400</w:t>
            </w:r>
          </w:p>
        </w:tc>
        <w:tc>
          <w:tcPr>
            <w:tcW w:w="1340" w:type="dxa"/>
            <w:vAlign w:val="bottom"/>
            <w:shd w:val="clear" w:color="auto" w:fill="B7E4FF"/>
          </w:tcPr>
          <w:p>
            <w:pPr>
              <w:jc w:val="right"/>
              <w:ind w:right="48"/>
              <w:spacing w:after="0"/>
              <w:rPr>
                <w:sz w:val="20"/>
                <w:szCs w:val="20"/>
                <w:color w:val="auto"/>
              </w:rPr>
            </w:pPr>
            <w:r>
              <w:rPr>
                <w:rFonts w:ascii="Arial" w:cs="Arial" w:eastAsia="Arial" w:hAnsi="Arial"/>
                <w:sz w:val="14"/>
                <w:szCs w:val="14"/>
                <w:color w:val="4D4D4F"/>
              </w:rPr>
              <w:t>13,920</w:t>
            </w:r>
          </w:p>
        </w:tc>
        <w:tc>
          <w:tcPr>
            <w:tcW w:w="1080" w:type="dxa"/>
            <w:vAlign w:val="bottom"/>
            <w:shd w:val="clear" w:color="auto" w:fill="B7E4FF"/>
          </w:tcPr>
          <w:p>
            <w:pPr>
              <w:jc w:val="right"/>
              <w:ind w:right="48"/>
              <w:spacing w:after="0"/>
              <w:rPr>
                <w:sz w:val="20"/>
                <w:szCs w:val="20"/>
                <w:color w:val="auto"/>
              </w:rPr>
            </w:pPr>
            <w:r>
              <w:rPr>
                <w:rFonts w:ascii="Arial" w:cs="Arial" w:eastAsia="Arial" w:hAnsi="Arial"/>
                <w:sz w:val="14"/>
                <w:szCs w:val="14"/>
                <w:color w:val="4D4D4F"/>
              </w:rPr>
              <w:t>675,071</w:t>
            </w:r>
          </w:p>
        </w:tc>
      </w:tr>
      <w:tr>
        <w:trPr>
          <w:trHeight w:val="156"/>
        </w:trPr>
        <w:tc>
          <w:tcPr>
            <w:tcW w:w="4380" w:type="dxa"/>
            <w:vAlign w:val="bottom"/>
          </w:tcPr>
          <w:p>
            <w:pPr>
              <w:spacing w:after="0" w:line="157" w:lineRule="exact"/>
              <w:rPr>
                <w:sz w:val="20"/>
                <w:szCs w:val="20"/>
                <w:color w:val="auto"/>
              </w:rPr>
            </w:pPr>
            <w:r>
              <w:rPr>
                <w:rFonts w:ascii="Arial" w:cs="Arial" w:eastAsia="Arial" w:hAnsi="Arial"/>
                <w:sz w:val="14"/>
                <w:szCs w:val="14"/>
                <w:color w:val="4D4D4F"/>
              </w:rPr>
              <w:t>Jian Wang</w:t>
            </w:r>
          </w:p>
        </w:tc>
        <w:tc>
          <w:tcPr>
            <w:tcW w:w="780" w:type="dxa"/>
            <w:vAlign w:val="bottom"/>
          </w:tcPr>
          <w:p>
            <w:pPr>
              <w:ind w:left="280"/>
              <w:spacing w:after="0" w:line="157" w:lineRule="exact"/>
              <w:rPr>
                <w:sz w:val="20"/>
                <w:szCs w:val="20"/>
                <w:color w:val="auto"/>
              </w:rPr>
            </w:pPr>
            <w:r>
              <w:rPr>
                <w:rFonts w:ascii="Arial" w:cs="Arial" w:eastAsia="Arial" w:hAnsi="Arial"/>
                <w:sz w:val="14"/>
                <w:szCs w:val="14"/>
                <w:color w:val="4D4D4F"/>
              </w:rPr>
              <w:t>2020</w:t>
            </w:r>
          </w:p>
        </w:tc>
        <w:tc>
          <w:tcPr>
            <w:tcW w:w="1120" w:type="dxa"/>
            <w:vAlign w:val="bottom"/>
          </w:tcPr>
          <w:p>
            <w:pPr>
              <w:jc w:val="right"/>
              <w:ind w:right="108"/>
              <w:spacing w:after="0" w:line="157" w:lineRule="exact"/>
              <w:rPr>
                <w:sz w:val="20"/>
                <w:szCs w:val="20"/>
                <w:color w:val="auto"/>
              </w:rPr>
            </w:pPr>
            <w:r>
              <w:rPr>
                <w:rFonts w:ascii="Arial" w:cs="Arial" w:eastAsia="Arial" w:hAnsi="Arial"/>
                <w:sz w:val="14"/>
                <w:szCs w:val="14"/>
                <w:color w:val="4D4D4F"/>
              </w:rPr>
              <w:t>162,492</w:t>
            </w:r>
          </w:p>
        </w:tc>
        <w:tc>
          <w:tcPr>
            <w:tcW w:w="1160" w:type="dxa"/>
            <w:vAlign w:val="bottom"/>
          </w:tcPr>
          <w:p>
            <w:pPr>
              <w:jc w:val="right"/>
              <w:ind w:right="128"/>
              <w:spacing w:after="0" w:line="157" w:lineRule="exact"/>
              <w:rPr>
                <w:sz w:val="20"/>
                <w:szCs w:val="20"/>
                <w:color w:val="auto"/>
              </w:rPr>
            </w:pPr>
            <w:r>
              <w:rPr>
                <w:rFonts w:ascii="Arial" w:cs="Arial" w:eastAsia="Arial" w:hAnsi="Arial"/>
                <w:sz w:val="14"/>
                <w:szCs w:val="14"/>
                <w:color w:val="4D4D4F"/>
              </w:rPr>
              <w:t>55,100</w:t>
            </w:r>
          </w:p>
        </w:tc>
        <w:tc>
          <w:tcPr>
            <w:tcW w:w="1240" w:type="dxa"/>
            <w:vAlign w:val="bottom"/>
          </w:tcPr>
          <w:p>
            <w:pPr>
              <w:jc w:val="right"/>
              <w:ind w:right="128"/>
              <w:spacing w:after="0" w:line="157" w:lineRule="exact"/>
              <w:rPr>
                <w:sz w:val="20"/>
                <w:szCs w:val="20"/>
                <w:color w:val="auto"/>
              </w:rPr>
            </w:pPr>
            <w:r>
              <w:rPr>
                <w:rFonts w:ascii="Arial" w:cs="Arial" w:eastAsia="Arial" w:hAnsi="Arial"/>
                <w:sz w:val="14"/>
                <w:szCs w:val="14"/>
                <w:color w:val="4D4D4F"/>
              </w:rPr>
              <w:t>67,728</w:t>
            </w:r>
          </w:p>
        </w:tc>
        <w:tc>
          <w:tcPr>
            <w:tcW w:w="1340" w:type="dxa"/>
            <w:vAlign w:val="bottom"/>
          </w:tcPr>
          <w:p>
            <w:pPr>
              <w:jc w:val="right"/>
              <w:ind w:right="48"/>
              <w:spacing w:after="0" w:line="157" w:lineRule="exact"/>
              <w:rPr>
                <w:sz w:val="20"/>
                <w:szCs w:val="20"/>
                <w:color w:val="auto"/>
              </w:rPr>
            </w:pPr>
            <w:r>
              <w:rPr>
                <w:rFonts w:ascii="Arial" w:cs="Arial" w:eastAsia="Arial" w:hAnsi="Arial"/>
                <w:sz w:val="14"/>
                <w:szCs w:val="14"/>
                <w:color w:val="4D4D4F"/>
              </w:rPr>
              <w:t>15,660</w:t>
            </w:r>
          </w:p>
        </w:tc>
        <w:tc>
          <w:tcPr>
            <w:tcW w:w="1080" w:type="dxa"/>
            <w:vAlign w:val="bottom"/>
          </w:tcPr>
          <w:p>
            <w:pPr>
              <w:jc w:val="right"/>
              <w:ind w:right="48"/>
              <w:spacing w:after="0" w:line="157" w:lineRule="exact"/>
              <w:rPr>
                <w:sz w:val="20"/>
                <w:szCs w:val="20"/>
                <w:color w:val="auto"/>
              </w:rPr>
            </w:pPr>
            <w:r>
              <w:rPr>
                <w:rFonts w:ascii="Arial" w:cs="Arial" w:eastAsia="Arial" w:hAnsi="Arial"/>
                <w:sz w:val="14"/>
                <w:szCs w:val="14"/>
                <w:color w:val="4D4D4F"/>
              </w:rPr>
              <w:t>300,980</w:t>
            </w:r>
          </w:p>
        </w:tc>
      </w:tr>
      <w:tr>
        <w:trPr>
          <w:trHeight w:val="189"/>
        </w:trPr>
        <w:tc>
          <w:tcPr>
            <w:tcW w:w="4380" w:type="dxa"/>
            <w:vAlign w:val="bottom"/>
          </w:tcPr>
          <w:p>
            <w:pPr>
              <w:spacing w:after="0"/>
              <w:rPr>
                <w:sz w:val="20"/>
                <w:szCs w:val="20"/>
                <w:color w:val="auto"/>
              </w:rPr>
            </w:pPr>
            <w:r>
              <w:rPr>
                <w:rFonts w:ascii="Arial" w:cs="Arial" w:eastAsia="Arial" w:hAnsi="Arial"/>
                <w:sz w:val="14"/>
                <w:szCs w:val="14"/>
                <w:i w:val="1"/>
                <w:iCs w:val="1"/>
                <w:color w:val="4D4D4F"/>
              </w:rPr>
              <w:t>Chief Executive Oﬃcer and President,</w:t>
            </w:r>
          </w:p>
        </w:tc>
        <w:tc>
          <w:tcPr>
            <w:tcW w:w="780" w:type="dxa"/>
            <w:vAlign w:val="bottom"/>
          </w:tcPr>
          <w:p>
            <w:pPr>
              <w:ind w:left="280"/>
              <w:spacing w:after="0"/>
              <w:rPr>
                <w:sz w:val="20"/>
                <w:szCs w:val="20"/>
                <w:color w:val="auto"/>
              </w:rPr>
            </w:pPr>
            <w:r>
              <w:rPr>
                <w:rFonts w:ascii="Arial" w:cs="Arial" w:eastAsia="Arial" w:hAnsi="Arial"/>
                <w:sz w:val="14"/>
                <w:szCs w:val="14"/>
                <w:color w:val="4D4D4F"/>
              </w:rPr>
              <w:t>2019</w:t>
            </w:r>
          </w:p>
        </w:tc>
        <w:tc>
          <w:tcPr>
            <w:tcW w:w="1120" w:type="dxa"/>
            <w:vAlign w:val="bottom"/>
          </w:tcPr>
          <w:p>
            <w:pPr>
              <w:jc w:val="right"/>
              <w:ind w:right="108"/>
              <w:spacing w:after="0"/>
              <w:rPr>
                <w:sz w:val="20"/>
                <w:szCs w:val="20"/>
                <w:color w:val="auto"/>
              </w:rPr>
            </w:pPr>
            <w:r>
              <w:rPr>
                <w:rFonts w:ascii="Arial" w:cs="Arial" w:eastAsia="Arial" w:hAnsi="Arial"/>
                <w:sz w:val="14"/>
                <w:szCs w:val="14"/>
                <w:color w:val="4D4D4F"/>
              </w:rPr>
              <w:t>139,241</w:t>
            </w:r>
          </w:p>
        </w:tc>
        <w:tc>
          <w:tcPr>
            <w:tcW w:w="1160" w:type="dxa"/>
            <w:vAlign w:val="bottom"/>
          </w:tcPr>
          <w:p>
            <w:pPr>
              <w:jc w:val="right"/>
              <w:ind w:right="128"/>
              <w:spacing w:after="0"/>
              <w:rPr>
                <w:sz w:val="20"/>
                <w:szCs w:val="20"/>
                <w:color w:val="auto"/>
              </w:rPr>
            </w:pPr>
            <w:r>
              <w:rPr>
                <w:rFonts w:ascii="Arial" w:cs="Arial" w:eastAsia="Arial" w:hAnsi="Arial"/>
                <w:sz w:val="14"/>
                <w:szCs w:val="14"/>
                <w:color w:val="4D4D4F"/>
              </w:rPr>
              <w:t>49,126</w:t>
            </w:r>
          </w:p>
        </w:tc>
        <w:tc>
          <w:tcPr>
            <w:tcW w:w="1240" w:type="dxa"/>
            <w:vAlign w:val="bottom"/>
          </w:tcPr>
          <w:p>
            <w:pPr>
              <w:jc w:val="right"/>
              <w:ind w:right="128"/>
              <w:spacing w:after="0"/>
              <w:rPr>
                <w:sz w:val="20"/>
                <w:szCs w:val="20"/>
                <w:color w:val="auto"/>
              </w:rPr>
            </w:pPr>
            <w:r>
              <w:rPr>
                <w:rFonts w:ascii="Arial" w:cs="Arial" w:eastAsia="Arial" w:hAnsi="Arial"/>
                <w:sz w:val="14"/>
                <w:szCs w:val="14"/>
                <w:color w:val="4D4D4F"/>
              </w:rPr>
              <w:t>183,594</w:t>
            </w:r>
          </w:p>
        </w:tc>
        <w:tc>
          <w:tcPr>
            <w:tcW w:w="1340" w:type="dxa"/>
            <w:vAlign w:val="bottom"/>
          </w:tcPr>
          <w:p>
            <w:pPr>
              <w:jc w:val="right"/>
              <w:ind w:right="48"/>
              <w:spacing w:after="0"/>
              <w:rPr>
                <w:sz w:val="20"/>
                <w:szCs w:val="20"/>
                <w:color w:val="auto"/>
              </w:rPr>
            </w:pPr>
            <w:r>
              <w:rPr>
                <w:rFonts w:ascii="Arial" w:cs="Arial" w:eastAsia="Arial" w:hAnsi="Arial"/>
                <w:sz w:val="14"/>
                <w:szCs w:val="14"/>
                <w:color w:val="4D4D4F"/>
              </w:rPr>
              <w:t>13,920</w:t>
            </w:r>
          </w:p>
        </w:tc>
        <w:tc>
          <w:tcPr>
            <w:tcW w:w="1080" w:type="dxa"/>
            <w:vAlign w:val="bottom"/>
          </w:tcPr>
          <w:p>
            <w:pPr>
              <w:jc w:val="right"/>
              <w:ind w:right="48"/>
              <w:spacing w:after="0"/>
              <w:rPr>
                <w:sz w:val="20"/>
                <w:szCs w:val="20"/>
                <w:color w:val="auto"/>
              </w:rPr>
            </w:pPr>
            <w:r>
              <w:rPr>
                <w:rFonts w:ascii="Arial" w:cs="Arial" w:eastAsia="Arial" w:hAnsi="Arial"/>
                <w:sz w:val="14"/>
                <w:szCs w:val="14"/>
                <w:color w:val="4D4D4F"/>
              </w:rPr>
              <w:t>385,881</w:t>
            </w:r>
          </w:p>
        </w:tc>
      </w:tr>
      <w:tr>
        <w:trPr>
          <w:trHeight w:val="222"/>
        </w:trPr>
        <w:tc>
          <w:tcPr>
            <w:tcW w:w="4380" w:type="dxa"/>
            <w:vAlign w:val="bottom"/>
          </w:tcPr>
          <w:p>
            <w:pPr>
              <w:spacing w:after="0"/>
              <w:rPr>
                <w:sz w:val="20"/>
                <w:szCs w:val="20"/>
                <w:color w:val="auto"/>
              </w:rPr>
            </w:pPr>
            <w:r>
              <w:rPr>
                <w:rFonts w:ascii="Arial" w:cs="Arial" w:eastAsia="Arial" w:hAnsi="Arial"/>
                <w:sz w:val="14"/>
                <w:szCs w:val="14"/>
                <w:i w:val="1"/>
                <w:iCs w:val="1"/>
                <w:color w:val="4D4D4F"/>
              </w:rPr>
              <w:t>ACM Research (Shanghai), Inc.</w:t>
            </w:r>
          </w:p>
        </w:tc>
        <w:tc>
          <w:tcPr>
            <w:tcW w:w="780" w:type="dxa"/>
            <w:vAlign w:val="bottom"/>
          </w:tcPr>
          <w:p>
            <w:pPr>
              <w:ind w:left="280"/>
              <w:spacing w:after="0"/>
              <w:rPr>
                <w:sz w:val="20"/>
                <w:szCs w:val="20"/>
                <w:color w:val="auto"/>
              </w:rPr>
            </w:pPr>
            <w:r>
              <w:rPr>
                <w:rFonts w:ascii="Arial" w:cs="Arial" w:eastAsia="Arial" w:hAnsi="Arial"/>
                <w:sz w:val="14"/>
                <w:szCs w:val="14"/>
                <w:color w:val="4D4D4F"/>
              </w:rPr>
              <w:t>2018</w:t>
            </w:r>
          </w:p>
        </w:tc>
        <w:tc>
          <w:tcPr>
            <w:tcW w:w="1120" w:type="dxa"/>
            <w:vAlign w:val="bottom"/>
          </w:tcPr>
          <w:p>
            <w:pPr>
              <w:jc w:val="right"/>
              <w:ind w:right="108"/>
              <w:spacing w:after="0"/>
              <w:rPr>
                <w:sz w:val="20"/>
                <w:szCs w:val="20"/>
                <w:color w:val="auto"/>
              </w:rPr>
            </w:pPr>
            <w:r>
              <w:rPr>
                <w:rFonts w:ascii="Arial" w:cs="Arial" w:eastAsia="Arial" w:hAnsi="Arial"/>
                <w:sz w:val="14"/>
                <w:szCs w:val="14"/>
                <w:color w:val="4D4D4F"/>
              </w:rPr>
              <w:t>140,059</w:t>
            </w:r>
          </w:p>
        </w:tc>
        <w:tc>
          <w:tcPr>
            <w:tcW w:w="1160" w:type="dxa"/>
            <w:vAlign w:val="bottom"/>
          </w:tcPr>
          <w:p>
            <w:pPr>
              <w:jc w:val="right"/>
              <w:ind w:right="128"/>
              <w:spacing w:after="0"/>
              <w:rPr>
                <w:sz w:val="20"/>
                <w:szCs w:val="20"/>
                <w:color w:val="auto"/>
              </w:rPr>
            </w:pPr>
            <w:r>
              <w:rPr>
                <w:rFonts w:ascii="Arial" w:cs="Arial" w:eastAsia="Arial" w:hAnsi="Arial"/>
                <w:sz w:val="14"/>
                <w:szCs w:val="14"/>
                <w:color w:val="4D4D4F"/>
              </w:rPr>
              <w:t>16,296</w:t>
            </w:r>
          </w:p>
        </w:tc>
        <w:tc>
          <w:tcPr>
            <w:tcW w:w="1240" w:type="dxa"/>
            <w:vAlign w:val="bottom"/>
          </w:tcPr>
          <w:p>
            <w:pPr>
              <w:jc w:val="right"/>
              <w:ind w:right="128"/>
              <w:spacing w:after="0"/>
              <w:rPr>
                <w:sz w:val="20"/>
                <w:szCs w:val="20"/>
                <w:color w:val="auto"/>
              </w:rPr>
            </w:pPr>
            <w:r>
              <w:rPr>
                <w:rFonts w:ascii="Arial" w:cs="Arial" w:eastAsia="Arial" w:hAnsi="Arial"/>
                <w:sz w:val="14"/>
                <w:szCs w:val="14"/>
                <w:color w:val="4D4D4F"/>
              </w:rPr>
              <w:t>257,032</w:t>
            </w:r>
          </w:p>
        </w:tc>
        <w:tc>
          <w:tcPr>
            <w:tcW w:w="1340" w:type="dxa"/>
            <w:vAlign w:val="bottom"/>
          </w:tcPr>
          <w:p>
            <w:pPr>
              <w:jc w:val="right"/>
              <w:ind w:right="48"/>
              <w:spacing w:after="0"/>
              <w:rPr>
                <w:sz w:val="20"/>
                <w:szCs w:val="20"/>
                <w:color w:val="auto"/>
              </w:rPr>
            </w:pPr>
            <w:r>
              <w:rPr>
                <w:rFonts w:ascii="Arial" w:cs="Arial" w:eastAsia="Arial" w:hAnsi="Arial"/>
                <w:sz w:val="14"/>
                <w:szCs w:val="14"/>
                <w:color w:val="4D4D4F"/>
              </w:rPr>
              <w:t>10,667</w:t>
            </w:r>
          </w:p>
        </w:tc>
        <w:tc>
          <w:tcPr>
            <w:tcW w:w="1080" w:type="dxa"/>
            <w:vAlign w:val="bottom"/>
          </w:tcPr>
          <w:p>
            <w:pPr>
              <w:jc w:val="right"/>
              <w:ind w:right="48"/>
              <w:spacing w:after="0"/>
              <w:rPr>
                <w:sz w:val="20"/>
                <w:szCs w:val="20"/>
                <w:color w:val="auto"/>
              </w:rPr>
            </w:pPr>
            <w:r>
              <w:rPr>
                <w:rFonts w:ascii="Arial" w:cs="Arial" w:eastAsia="Arial" w:hAnsi="Arial"/>
                <w:sz w:val="14"/>
                <w:szCs w:val="14"/>
                <w:color w:val="4D4D4F"/>
              </w:rPr>
              <w:t>424,054</w:t>
            </w:r>
          </w:p>
        </w:tc>
      </w:tr>
      <w:tr>
        <w:trPr>
          <w:trHeight w:val="189"/>
        </w:trPr>
        <w:tc>
          <w:tcPr>
            <w:tcW w:w="4380" w:type="dxa"/>
            <w:vAlign w:val="bottom"/>
            <w:shd w:val="clear" w:color="auto" w:fill="B7E4FF"/>
          </w:tcPr>
          <w:p>
            <w:pPr>
              <w:spacing w:after="0"/>
              <w:rPr>
                <w:sz w:val="20"/>
                <w:szCs w:val="20"/>
                <w:color w:val="auto"/>
              </w:rPr>
            </w:pPr>
            <w:r>
              <w:rPr>
                <w:rFonts w:ascii="Arial" w:cs="Arial" w:eastAsia="Arial" w:hAnsi="Arial"/>
                <w:sz w:val="14"/>
                <w:szCs w:val="14"/>
                <w:color w:val="4D4D4F"/>
              </w:rPr>
              <w:t>Lisa Feng</w:t>
            </w:r>
          </w:p>
        </w:tc>
        <w:tc>
          <w:tcPr>
            <w:tcW w:w="780" w:type="dxa"/>
            <w:vAlign w:val="bottom"/>
            <w:shd w:val="clear" w:color="auto" w:fill="B7E4FF"/>
          </w:tcPr>
          <w:p>
            <w:pPr>
              <w:ind w:left="280"/>
              <w:spacing w:after="0"/>
              <w:rPr>
                <w:sz w:val="20"/>
                <w:szCs w:val="20"/>
                <w:color w:val="auto"/>
              </w:rPr>
            </w:pPr>
            <w:r>
              <w:rPr>
                <w:rFonts w:ascii="Arial" w:cs="Arial" w:eastAsia="Arial" w:hAnsi="Arial"/>
                <w:sz w:val="14"/>
                <w:szCs w:val="14"/>
                <w:color w:val="4D4D4F"/>
              </w:rPr>
              <w:t>2020</w:t>
            </w:r>
          </w:p>
        </w:tc>
        <w:tc>
          <w:tcPr>
            <w:tcW w:w="1120" w:type="dxa"/>
            <w:vAlign w:val="bottom"/>
            <w:shd w:val="clear" w:color="auto" w:fill="B7E4FF"/>
          </w:tcPr>
          <w:p>
            <w:pPr>
              <w:jc w:val="right"/>
              <w:ind w:right="108"/>
              <w:spacing w:after="0"/>
              <w:rPr>
                <w:sz w:val="20"/>
                <w:szCs w:val="20"/>
                <w:color w:val="auto"/>
              </w:rPr>
            </w:pPr>
            <w:r>
              <w:rPr>
                <w:rFonts w:ascii="Arial" w:cs="Arial" w:eastAsia="Arial" w:hAnsi="Arial"/>
                <w:sz w:val="14"/>
                <w:szCs w:val="14"/>
                <w:color w:val="4D4D4F"/>
              </w:rPr>
              <w:t>169,172</w:t>
            </w:r>
          </w:p>
        </w:tc>
        <w:tc>
          <w:tcPr>
            <w:tcW w:w="1160" w:type="dxa"/>
            <w:vAlign w:val="bottom"/>
            <w:shd w:val="clear" w:color="auto" w:fill="B7E4FF"/>
          </w:tcPr>
          <w:p>
            <w:pPr>
              <w:jc w:val="right"/>
              <w:ind w:right="128"/>
              <w:spacing w:after="0"/>
              <w:rPr>
                <w:sz w:val="20"/>
                <w:szCs w:val="20"/>
                <w:color w:val="auto"/>
              </w:rPr>
            </w:pPr>
            <w:r>
              <w:rPr>
                <w:rFonts w:ascii="Arial" w:cs="Arial" w:eastAsia="Arial" w:hAnsi="Arial"/>
                <w:sz w:val="14"/>
                <w:szCs w:val="14"/>
                <w:color w:val="4D4D4F"/>
              </w:rPr>
              <w:t>43,500</w:t>
            </w:r>
          </w:p>
        </w:tc>
        <w:tc>
          <w:tcPr>
            <w:tcW w:w="1240" w:type="dxa"/>
            <w:vAlign w:val="bottom"/>
            <w:shd w:val="clear" w:color="auto" w:fill="B7E4FF"/>
          </w:tcPr>
          <w:p>
            <w:pPr>
              <w:jc w:val="right"/>
              <w:ind w:right="128"/>
              <w:spacing w:after="0"/>
              <w:rPr>
                <w:sz w:val="20"/>
                <w:szCs w:val="20"/>
                <w:color w:val="auto"/>
              </w:rPr>
            </w:pPr>
            <w:r>
              <w:rPr>
                <w:rFonts w:ascii="Arial" w:cs="Arial" w:eastAsia="Arial" w:hAnsi="Arial"/>
                <w:sz w:val="14"/>
                <w:szCs w:val="14"/>
                <w:color w:val="4D4D4F"/>
              </w:rPr>
              <w:t>225,809</w:t>
            </w:r>
          </w:p>
        </w:tc>
        <w:tc>
          <w:tcPr>
            <w:tcW w:w="1340" w:type="dxa"/>
            <w:vAlign w:val="bottom"/>
            <w:shd w:val="clear" w:color="auto" w:fill="B7E4FF"/>
          </w:tcPr>
          <w:p>
            <w:pPr>
              <w:jc w:val="right"/>
              <w:ind w:right="48"/>
              <w:spacing w:after="0"/>
              <w:rPr>
                <w:sz w:val="20"/>
                <w:szCs w:val="20"/>
                <w:color w:val="auto"/>
              </w:rPr>
            </w:pPr>
            <w:r>
              <w:rPr>
                <w:rFonts w:ascii="Arial" w:cs="Arial" w:eastAsia="Arial" w:hAnsi="Arial"/>
                <w:sz w:val="14"/>
                <w:szCs w:val="14"/>
                <w:color w:val="4D4D4F"/>
              </w:rPr>
              <w:t>13,616</w:t>
            </w:r>
          </w:p>
        </w:tc>
        <w:tc>
          <w:tcPr>
            <w:tcW w:w="1080" w:type="dxa"/>
            <w:vAlign w:val="bottom"/>
            <w:shd w:val="clear" w:color="auto" w:fill="B7E4FF"/>
          </w:tcPr>
          <w:p>
            <w:pPr>
              <w:jc w:val="right"/>
              <w:ind w:right="48"/>
              <w:spacing w:after="0"/>
              <w:rPr>
                <w:sz w:val="20"/>
                <w:szCs w:val="20"/>
                <w:color w:val="auto"/>
              </w:rPr>
            </w:pPr>
            <w:r>
              <w:rPr>
                <w:rFonts w:ascii="Arial" w:cs="Arial" w:eastAsia="Arial" w:hAnsi="Arial"/>
                <w:sz w:val="14"/>
                <w:szCs w:val="14"/>
                <w:color w:val="4D4D4F"/>
              </w:rPr>
              <w:t>452,097</w:t>
            </w:r>
          </w:p>
        </w:tc>
      </w:tr>
      <w:tr>
        <w:trPr>
          <w:trHeight w:val="189"/>
        </w:trPr>
        <w:tc>
          <w:tcPr>
            <w:tcW w:w="4380" w:type="dxa"/>
            <w:vAlign w:val="bottom"/>
            <w:shd w:val="clear" w:color="auto" w:fill="B7E4FF"/>
          </w:tcPr>
          <w:p>
            <w:pPr>
              <w:spacing w:after="0"/>
              <w:rPr>
                <w:sz w:val="20"/>
                <w:szCs w:val="20"/>
                <w:color w:val="auto"/>
              </w:rPr>
            </w:pPr>
            <w:r>
              <w:rPr>
                <w:rFonts w:ascii="Arial" w:cs="Arial" w:eastAsia="Arial" w:hAnsi="Arial"/>
                <w:sz w:val="14"/>
                <w:szCs w:val="14"/>
                <w:i w:val="1"/>
                <w:iCs w:val="1"/>
                <w:color w:val="4D4D4F"/>
              </w:rPr>
              <w:t>Chief Financial Officer, ACM Research (Shanghai), Inc.</w:t>
            </w:r>
          </w:p>
        </w:tc>
        <w:tc>
          <w:tcPr>
            <w:tcW w:w="780" w:type="dxa"/>
            <w:vAlign w:val="bottom"/>
            <w:shd w:val="clear" w:color="auto" w:fill="B7E4FF"/>
          </w:tcPr>
          <w:p>
            <w:pPr>
              <w:ind w:left="280"/>
              <w:spacing w:after="0"/>
              <w:rPr>
                <w:sz w:val="20"/>
                <w:szCs w:val="20"/>
                <w:color w:val="auto"/>
              </w:rPr>
            </w:pPr>
            <w:r>
              <w:rPr>
                <w:rFonts w:ascii="Arial" w:cs="Arial" w:eastAsia="Arial" w:hAnsi="Arial"/>
                <w:sz w:val="14"/>
                <w:szCs w:val="14"/>
                <w:color w:val="4D4D4F"/>
              </w:rPr>
              <w:t>2019</w:t>
            </w:r>
          </w:p>
        </w:tc>
        <w:tc>
          <w:tcPr>
            <w:tcW w:w="1120" w:type="dxa"/>
            <w:vAlign w:val="bottom"/>
            <w:shd w:val="clear" w:color="auto" w:fill="B7E4FF"/>
          </w:tcPr>
          <w:p>
            <w:pPr>
              <w:jc w:val="right"/>
              <w:ind w:right="108"/>
              <w:spacing w:after="0"/>
              <w:rPr>
                <w:sz w:val="20"/>
                <w:szCs w:val="20"/>
                <w:color w:val="auto"/>
              </w:rPr>
            </w:pPr>
            <w:r>
              <w:rPr>
                <w:rFonts w:ascii="Arial" w:cs="Arial" w:eastAsia="Arial" w:hAnsi="Arial"/>
                <w:sz w:val="14"/>
                <w:szCs w:val="14"/>
                <w:color w:val="4D4D4F"/>
              </w:rPr>
              <w:t>159,673</w:t>
            </w:r>
          </w:p>
        </w:tc>
        <w:tc>
          <w:tcPr>
            <w:tcW w:w="1160" w:type="dxa"/>
            <w:vAlign w:val="bottom"/>
            <w:shd w:val="clear" w:color="auto" w:fill="B7E4FF"/>
          </w:tcPr>
          <w:p>
            <w:pPr>
              <w:jc w:val="right"/>
              <w:ind w:right="128"/>
              <w:spacing w:after="0"/>
              <w:rPr>
                <w:sz w:val="20"/>
                <w:szCs w:val="20"/>
                <w:color w:val="auto"/>
              </w:rPr>
            </w:pPr>
            <w:r>
              <w:rPr>
                <w:rFonts w:ascii="Arial" w:cs="Arial" w:eastAsia="Arial" w:hAnsi="Arial"/>
                <w:sz w:val="14"/>
                <w:szCs w:val="14"/>
                <w:color w:val="4D4D4F"/>
              </w:rPr>
              <w:t>41,354</w:t>
            </w:r>
          </w:p>
        </w:tc>
        <w:tc>
          <w:tcPr>
            <w:tcW w:w="1240" w:type="dxa"/>
            <w:vAlign w:val="bottom"/>
            <w:shd w:val="clear" w:color="auto" w:fill="B7E4FF"/>
          </w:tcPr>
          <w:p>
            <w:pPr>
              <w:jc w:val="right"/>
              <w:ind w:right="128"/>
              <w:spacing w:after="0"/>
              <w:rPr>
                <w:sz w:val="20"/>
                <w:szCs w:val="20"/>
                <w:color w:val="auto"/>
              </w:rPr>
            </w:pPr>
            <w:r>
              <w:rPr>
                <w:rFonts w:ascii="Arial" w:cs="Arial" w:eastAsia="Arial" w:hAnsi="Arial"/>
                <w:sz w:val="14"/>
                <w:szCs w:val="14"/>
                <w:color w:val="4D4D4F"/>
              </w:rPr>
              <w:t>214,700</w:t>
            </w:r>
          </w:p>
        </w:tc>
        <w:tc>
          <w:tcPr>
            <w:tcW w:w="1340" w:type="dxa"/>
            <w:vAlign w:val="bottom"/>
            <w:shd w:val="clear" w:color="auto" w:fill="B7E4FF"/>
          </w:tcPr>
          <w:p>
            <w:pPr>
              <w:jc w:val="right"/>
              <w:ind w:right="48"/>
              <w:spacing w:after="0"/>
              <w:rPr>
                <w:sz w:val="20"/>
                <w:szCs w:val="20"/>
                <w:color w:val="auto"/>
              </w:rPr>
            </w:pPr>
            <w:r>
              <w:rPr>
                <w:rFonts w:ascii="Arial" w:cs="Arial" w:eastAsia="Arial" w:hAnsi="Arial"/>
                <w:sz w:val="14"/>
                <w:szCs w:val="14"/>
                <w:color w:val="4D4D4F"/>
              </w:rPr>
              <w:t>10,133</w:t>
            </w:r>
          </w:p>
        </w:tc>
        <w:tc>
          <w:tcPr>
            <w:tcW w:w="1080" w:type="dxa"/>
            <w:vAlign w:val="bottom"/>
            <w:shd w:val="clear" w:color="auto" w:fill="B7E4FF"/>
          </w:tcPr>
          <w:p>
            <w:pPr>
              <w:jc w:val="right"/>
              <w:ind w:right="48"/>
              <w:spacing w:after="0"/>
              <w:rPr>
                <w:sz w:val="20"/>
                <w:szCs w:val="20"/>
                <w:color w:val="auto"/>
              </w:rPr>
            </w:pPr>
            <w:r>
              <w:rPr>
                <w:rFonts w:ascii="Arial" w:cs="Arial" w:eastAsia="Arial" w:hAnsi="Arial"/>
                <w:sz w:val="14"/>
                <w:szCs w:val="14"/>
                <w:color w:val="4D4D4F"/>
              </w:rPr>
              <w:t>425,860</w:t>
            </w:r>
          </w:p>
        </w:tc>
      </w:tr>
      <w:tr>
        <w:trPr>
          <w:trHeight w:val="156"/>
        </w:trPr>
        <w:tc>
          <w:tcPr>
            <w:tcW w:w="4380" w:type="dxa"/>
            <w:vAlign w:val="bottom"/>
          </w:tcPr>
          <w:p>
            <w:pPr>
              <w:spacing w:after="0" w:line="157" w:lineRule="exact"/>
              <w:rPr>
                <w:sz w:val="20"/>
                <w:szCs w:val="20"/>
                <w:color w:val="auto"/>
              </w:rPr>
            </w:pPr>
            <w:r>
              <w:rPr>
                <w:rFonts w:ascii="Arial" w:cs="Arial" w:eastAsia="Arial" w:hAnsi="Arial"/>
                <w:sz w:val="14"/>
                <w:szCs w:val="14"/>
                <w:color w:val="4D4D4F"/>
              </w:rPr>
              <w:t>Fuping Chen</w:t>
            </w:r>
          </w:p>
        </w:tc>
        <w:tc>
          <w:tcPr>
            <w:tcW w:w="780" w:type="dxa"/>
            <w:vAlign w:val="bottom"/>
          </w:tcPr>
          <w:p>
            <w:pPr>
              <w:ind w:left="280"/>
              <w:spacing w:after="0" w:line="157" w:lineRule="exact"/>
              <w:rPr>
                <w:sz w:val="20"/>
                <w:szCs w:val="20"/>
                <w:color w:val="auto"/>
              </w:rPr>
            </w:pPr>
            <w:r>
              <w:rPr>
                <w:rFonts w:ascii="Arial" w:cs="Arial" w:eastAsia="Arial" w:hAnsi="Arial"/>
                <w:sz w:val="14"/>
                <w:szCs w:val="14"/>
                <w:color w:val="4D4D4F"/>
              </w:rPr>
              <w:t>2020</w:t>
            </w:r>
          </w:p>
        </w:tc>
        <w:tc>
          <w:tcPr>
            <w:tcW w:w="1120" w:type="dxa"/>
            <w:vAlign w:val="bottom"/>
          </w:tcPr>
          <w:p>
            <w:pPr>
              <w:jc w:val="right"/>
              <w:ind w:right="108"/>
              <w:spacing w:after="0" w:line="157" w:lineRule="exact"/>
              <w:rPr>
                <w:sz w:val="20"/>
                <w:szCs w:val="20"/>
                <w:color w:val="auto"/>
              </w:rPr>
            </w:pPr>
            <w:r>
              <w:rPr>
                <w:rFonts w:ascii="Arial" w:cs="Arial" w:eastAsia="Arial" w:hAnsi="Arial"/>
                <w:sz w:val="14"/>
                <w:szCs w:val="14"/>
                <w:color w:val="4D4D4F"/>
              </w:rPr>
              <w:t>103,871</w:t>
            </w:r>
          </w:p>
        </w:tc>
        <w:tc>
          <w:tcPr>
            <w:tcW w:w="1160" w:type="dxa"/>
            <w:vAlign w:val="bottom"/>
          </w:tcPr>
          <w:p>
            <w:pPr>
              <w:jc w:val="right"/>
              <w:ind w:right="128"/>
              <w:spacing w:after="0" w:line="157" w:lineRule="exact"/>
              <w:rPr>
                <w:sz w:val="20"/>
                <w:szCs w:val="20"/>
                <w:color w:val="auto"/>
              </w:rPr>
            </w:pPr>
            <w:r>
              <w:rPr>
                <w:rFonts w:ascii="Arial" w:cs="Arial" w:eastAsia="Arial" w:hAnsi="Arial"/>
                <w:sz w:val="14"/>
                <w:szCs w:val="14"/>
                <w:color w:val="4D4D4F"/>
              </w:rPr>
              <w:t>95,700</w:t>
            </w:r>
          </w:p>
        </w:tc>
        <w:tc>
          <w:tcPr>
            <w:tcW w:w="1240" w:type="dxa"/>
            <w:vAlign w:val="bottom"/>
          </w:tcPr>
          <w:p>
            <w:pPr>
              <w:jc w:val="right"/>
              <w:ind w:right="128"/>
              <w:spacing w:after="0" w:line="157" w:lineRule="exact"/>
              <w:rPr>
                <w:sz w:val="20"/>
                <w:szCs w:val="20"/>
                <w:color w:val="auto"/>
              </w:rPr>
            </w:pPr>
            <w:r>
              <w:rPr>
                <w:rFonts w:ascii="Arial" w:cs="Arial" w:eastAsia="Arial" w:hAnsi="Arial"/>
                <w:sz w:val="14"/>
                <w:szCs w:val="14"/>
                <w:color w:val="4D4D4F"/>
              </w:rPr>
              <w:t>793,157</w:t>
            </w:r>
          </w:p>
        </w:tc>
        <w:tc>
          <w:tcPr>
            <w:tcW w:w="1340" w:type="dxa"/>
            <w:vAlign w:val="bottom"/>
          </w:tcPr>
          <w:p>
            <w:pPr>
              <w:jc w:val="right"/>
              <w:ind w:right="48"/>
              <w:spacing w:after="0" w:line="157" w:lineRule="exact"/>
              <w:rPr>
                <w:sz w:val="20"/>
                <w:szCs w:val="20"/>
                <w:color w:val="auto"/>
              </w:rPr>
            </w:pPr>
            <w:r>
              <w:rPr>
                <w:rFonts w:ascii="Arial" w:cs="Arial" w:eastAsia="Arial" w:hAnsi="Arial"/>
                <w:sz w:val="14"/>
                <w:szCs w:val="14"/>
                <w:color w:val="4D4D4F"/>
              </w:rPr>
              <w:t>15,660</w:t>
            </w:r>
          </w:p>
        </w:tc>
        <w:tc>
          <w:tcPr>
            <w:tcW w:w="1080" w:type="dxa"/>
            <w:vAlign w:val="bottom"/>
          </w:tcPr>
          <w:p>
            <w:pPr>
              <w:jc w:val="right"/>
              <w:ind w:right="48"/>
              <w:spacing w:after="0" w:line="157" w:lineRule="exact"/>
              <w:rPr>
                <w:sz w:val="20"/>
                <w:szCs w:val="20"/>
                <w:color w:val="auto"/>
              </w:rPr>
            </w:pPr>
            <w:r>
              <w:rPr>
                <w:rFonts w:ascii="Arial" w:cs="Arial" w:eastAsia="Arial" w:hAnsi="Arial"/>
                <w:sz w:val="14"/>
                <w:szCs w:val="14"/>
                <w:color w:val="4D4D4F"/>
              </w:rPr>
              <w:t>1,008,388</w:t>
            </w:r>
          </w:p>
        </w:tc>
      </w:tr>
      <w:tr>
        <w:trPr>
          <w:trHeight w:val="189"/>
        </w:trPr>
        <w:tc>
          <w:tcPr>
            <w:tcW w:w="4380" w:type="dxa"/>
            <w:vAlign w:val="bottom"/>
          </w:tcPr>
          <w:p>
            <w:pPr>
              <w:spacing w:after="0"/>
              <w:rPr>
                <w:sz w:val="20"/>
                <w:szCs w:val="20"/>
                <w:color w:val="auto"/>
              </w:rPr>
            </w:pPr>
            <w:r>
              <w:rPr>
                <w:rFonts w:ascii="Arial" w:cs="Arial" w:eastAsia="Arial" w:hAnsi="Arial"/>
                <w:sz w:val="14"/>
                <w:szCs w:val="14"/>
                <w:i w:val="1"/>
                <w:iCs w:val="1"/>
                <w:color w:val="4D4D4F"/>
              </w:rPr>
              <w:t>Vice President, Sales—China, ACM Research (Shanghai), Inc.</w:t>
            </w:r>
          </w:p>
        </w:tc>
        <w:tc>
          <w:tcPr>
            <w:tcW w:w="780" w:type="dxa"/>
            <w:vAlign w:val="bottom"/>
          </w:tcPr>
          <w:p>
            <w:pPr>
              <w:ind w:left="280"/>
              <w:spacing w:after="0"/>
              <w:rPr>
                <w:sz w:val="20"/>
                <w:szCs w:val="20"/>
                <w:color w:val="auto"/>
              </w:rPr>
            </w:pPr>
            <w:r>
              <w:rPr>
                <w:rFonts w:ascii="Arial" w:cs="Arial" w:eastAsia="Arial" w:hAnsi="Arial"/>
                <w:sz w:val="14"/>
                <w:szCs w:val="14"/>
                <w:color w:val="4D4D4F"/>
              </w:rPr>
              <w:t>2019</w:t>
            </w:r>
          </w:p>
        </w:tc>
        <w:tc>
          <w:tcPr>
            <w:tcW w:w="1120" w:type="dxa"/>
            <w:vAlign w:val="bottom"/>
          </w:tcPr>
          <w:p>
            <w:pPr>
              <w:jc w:val="right"/>
              <w:ind w:right="108"/>
              <w:spacing w:after="0"/>
              <w:rPr>
                <w:sz w:val="20"/>
                <w:szCs w:val="20"/>
                <w:color w:val="auto"/>
              </w:rPr>
            </w:pPr>
            <w:r>
              <w:rPr>
                <w:rFonts w:ascii="Arial" w:cs="Arial" w:eastAsia="Arial" w:hAnsi="Arial"/>
                <w:sz w:val="14"/>
                <w:szCs w:val="14"/>
                <w:color w:val="4D4D4F"/>
              </w:rPr>
              <w:t>90,603</w:t>
            </w:r>
          </w:p>
        </w:tc>
        <w:tc>
          <w:tcPr>
            <w:tcW w:w="1160" w:type="dxa"/>
            <w:vAlign w:val="bottom"/>
          </w:tcPr>
          <w:p>
            <w:pPr>
              <w:jc w:val="right"/>
              <w:ind w:right="128"/>
              <w:spacing w:after="0"/>
              <w:rPr>
                <w:sz w:val="20"/>
                <w:szCs w:val="20"/>
                <w:color w:val="auto"/>
              </w:rPr>
            </w:pPr>
            <w:r>
              <w:rPr>
                <w:rFonts w:ascii="Arial" w:cs="Arial" w:eastAsia="Arial" w:hAnsi="Arial"/>
                <w:sz w:val="14"/>
                <w:szCs w:val="14"/>
                <w:color w:val="4D4D4F"/>
              </w:rPr>
              <w:t>113,129</w:t>
            </w:r>
          </w:p>
        </w:tc>
        <w:tc>
          <w:tcPr>
            <w:tcW w:w="1240" w:type="dxa"/>
            <w:vAlign w:val="bottom"/>
          </w:tcPr>
          <w:p>
            <w:pPr>
              <w:jc w:val="right"/>
              <w:ind w:right="128"/>
              <w:spacing w:after="0"/>
              <w:rPr>
                <w:sz w:val="20"/>
                <w:szCs w:val="20"/>
                <w:color w:val="auto"/>
              </w:rPr>
            </w:pPr>
            <w:r>
              <w:rPr>
                <w:rFonts w:ascii="Arial" w:cs="Arial" w:eastAsia="Arial" w:hAnsi="Arial"/>
                <w:sz w:val="14"/>
                <w:szCs w:val="14"/>
                <w:color w:val="4D4D4F"/>
              </w:rPr>
              <w:t>61,198</w:t>
            </w:r>
          </w:p>
        </w:tc>
        <w:tc>
          <w:tcPr>
            <w:tcW w:w="1340" w:type="dxa"/>
            <w:vAlign w:val="bottom"/>
          </w:tcPr>
          <w:p>
            <w:pPr>
              <w:jc w:val="right"/>
              <w:ind w:right="48"/>
              <w:spacing w:after="0"/>
              <w:rPr>
                <w:sz w:val="20"/>
                <w:szCs w:val="20"/>
                <w:color w:val="auto"/>
              </w:rPr>
            </w:pPr>
            <w:r>
              <w:rPr>
                <w:rFonts w:ascii="Arial" w:cs="Arial" w:eastAsia="Arial" w:hAnsi="Arial"/>
                <w:sz w:val="14"/>
                <w:szCs w:val="14"/>
                <w:color w:val="4D4D4F"/>
              </w:rPr>
              <w:t>13,920</w:t>
            </w:r>
          </w:p>
        </w:tc>
        <w:tc>
          <w:tcPr>
            <w:tcW w:w="1080" w:type="dxa"/>
            <w:vAlign w:val="bottom"/>
          </w:tcPr>
          <w:p>
            <w:pPr>
              <w:jc w:val="right"/>
              <w:ind w:right="48"/>
              <w:spacing w:after="0"/>
              <w:rPr>
                <w:sz w:val="20"/>
                <w:szCs w:val="20"/>
                <w:color w:val="auto"/>
              </w:rPr>
            </w:pPr>
            <w:r>
              <w:rPr>
                <w:rFonts w:ascii="Arial" w:cs="Arial" w:eastAsia="Arial" w:hAnsi="Arial"/>
                <w:sz w:val="14"/>
                <w:szCs w:val="14"/>
                <w:color w:val="4D4D4F"/>
              </w:rPr>
              <w:t>278,850</w:t>
            </w:r>
          </w:p>
        </w:tc>
      </w:tr>
      <w:tr>
        <w:trPr>
          <w:trHeight w:val="226"/>
        </w:trPr>
        <w:tc>
          <w:tcPr>
            <w:tcW w:w="4380" w:type="dxa"/>
            <w:vAlign w:val="bottom"/>
          </w:tcPr>
          <w:p>
            <w:pPr>
              <w:spacing w:after="0"/>
              <w:rPr>
                <w:sz w:val="19"/>
                <w:szCs w:val="19"/>
                <w:color w:val="auto"/>
              </w:rPr>
            </w:pPr>
          </w:p>
        </w:tc>
        <w:tc>
          <w:tcPr>
            <w:tcW w:w="780" w:type="dxa"/>
            <w:vAlign w:val="bottom"/>
          </w:tcPr>
          <w:p>
            <w:pPr>
              <w:ind w:left="280"/>
              <w:spacing w:after="0"/>
              <w:rPr>
                <w:sz w:val="20"/>
                <w:szCs w:val="20"/>
                <w:color w:val="auto"/>
              </w:rPr>
            </w:pPr>
            <w:r>
              <w:rPr>
                <w:rFonts w:ascii="Arial" w:cs="Arial" w:eastAsia="Arial" w:hAnsi="Arial"/>
                <w:sz w:val="14"/>
                <w:szCs w:val="14"/>
                <w:color w:val="4D4D4F"/>
              </w:rPr>
              <w:t>2018</w:t>
            </w:r>
          </w:p>
        </w:tc>
        <w:tc>
          <w:tcPr>
            <w:tcW w:w="1120" w:type="dxa"/>
            <w:vAlign w:val="bottom"/>
          </w:tcPr>
          <w:p>
            <w:pPr>
              <w:jc w:val="right"/>
              <w:ind w:right="108"/>
              <w:spacing w:after="0"/>
              <w:rPr>
                <w:sz w:val="20"/>
                <w:szCs w:val="20"/>
                <w:color w:val="auto"/>
              </w:rPr>
            </w:pPr>
            <w:r>
              <w:rPr>
                <w:rFonts w:ascii="Arial" w:cs="Arial" w:eastAsia="Arial" w:hAnsi="Arial"/>
                <w:sz w:val="14"/>
                <w:szCs w:val="14"/>
                <w:color w:val="4D4D4F"/>
              </w:rPr>
              <w:t>90,348</w:t>
            </w:r>
          </w:p>
        </w:tc>
        <w:tc>
          <w:tcPr>
            <w:tcW w:w="1160" w:type="dxa"/>
            <w:vAlign w:val="bottom"/>
          </w:tcPr>
          <w:p>
            <w:pPr>
              <w:jc w:val="right"/>
              <w:ind w:right="128"/>
              <w:spacing w:after="0"/>
              <w:rPr>
                <w:sz w:val="20"/>
                <w:szCs w:val="20"/>
                <w:color w:val="auto"/>
              </w:rPr>
            </w:pPr>
            <w:r>
              <w:rPr>
                <w:rFonts w:ascii="Arial" w:cs="Arial" w:eastAsia="Arial" w:hAnsi="Arial"/>
                <w:sz w:val="14"/>
                <w:szCs w:val="14"/>
                <w:color w:val="4D4D4F"/>
              </w:rPr>
              <w:t>35,259</w:t>
            </w:r>
          </w:p>
        </w:tc>
        <w:tc>
          <w:tcPr>
            <w:tcW w:w="1240" w:type="dxa"/>
            <w:vAlign w:val="bottom"/>
          </w:tcPr>
          <w:p>
            <w:pPr>
              <w:jc w:val="right"/>
              <w:ind w:right="128"/>
              <w:spacing w:after="0"/>
              <w:rPr>
                <w:sz w:val="20"/>
                <w:szCs w:val="20"/>
                <w:color w:val="auto"/>
              </w:rPr>
            </w:pPr>
            <w:r>
              <w:rPr>
                <w:rFonts w:ascii="Arial" w:cs="Arial" w:eastAsia="Arial" w:hAnsi="Arial"/>
                <w:sz w:val="14"/>
                <w:szCs w:val="14"/>
                <w:color w:val="4D4D4F"/>
              </w:rPr>
              <w:t>112,995</w:t>
            </w:r>
          </w:p>
        </w:tc>
        <w:tc>
          <w:tcPr>
            <w:tcW w:w="1340" w:type="dxa"/>
            <w:vAlign w:val="bottom"/>
          </w:tcPr>
          <w:p>
            <w:pPr>
              <w:jc w:val="right"/>
              <w:ind w:right="48"/>
              <w:spacing w:after="0"/>
              <w:rPr>
                <w:sz w:val="20"/>
                <w:szCs w:val="20"/>
                <w:color w:val="auto"/>
              </w:rPr>
            </w:pPr>
            <w:r>
              <w:rPr>
                <w:rFonts w:ascii="Arial" w:cs="Arial" w:eastAsia="Arial" w:hAnsi="Arial"/>
                <w:sz w:val="14"/>
                <w:szCs w:val="14"/>
                <w:color w:val="4D4D4F"/>
              </w:rPr>
              <w:t>10,667</w:t>
            </w:r>
          </w:p>
        </w:tc>
        <w:tc>
          <w:tcPr>
            <w:tcW w:w="1080" w:type="dxa"/>
            <w:vAlign w:val="bottom"/>
          </w:tcPr>
          <w:p>
            <w:pPr>
              <w:jc w:val="right"/>
              <w:ind w:right="48"/>
              <w:spacing w:after="0"/>
              <w:rPr>
                <w:sz w:val="20"/>
                <w:szCs w:val="20"/>
                <w:color w:val="auto"/>
              </w:rPr>
            </w:pPr>
            <w:r>
              <w:rPr>
                <w:rFonts w:ascii="Arial" w:cs="Arial" w:eastAsia="Arial" w:hAnsi="Arial"/>
                <w:sz w:val="14"/>
                <w:szCs w:val="14"/>
                <w:color w:val="4D4D4F"/>
              </w:rPr>
              <w:t>249,269</w:t>
            </w:r>
          </w:p>
        </w:tc>
      </w:tr>
    </w:tbl>
    <w:p>
      <w:pPr>
        <w:spacing w:after="0" w:line="55" w:lineRule="exact"/>
        <w:rPr>
          <w:sz w:val="20"/>
          <w:szCs w:val="20"/>
          <w:color w:val="auto"/>
        </w:rPr>
      </w:pPr>
    </w:p>
    <w:p>
      <w:pPr>
        <w:ind w:left="440" w:right="20" w:hanging="324"/>
        <w:spacing w:after="0" w:line="258" w:lineRule="auto"/>
        <w:tabs>
          <w:tab w:leader="none" w:pos="440" w:val="left"/>
        </w:tabs>
        <w:numPr>
          <w:ilvl w:val="0"/>
          <w:numId w:val="7"/>
        </w:numPr>
        <w:rPr>
          <w:rFonts w:ascii="Arial" w:cs="Arial" w:eastAsia="Arial" w:hAnsi="Arial"/>
          <w:sz w:val="14"/>
          <w:szCs w:val="14"/>
          <w:color w:val="4D4D4F"/>
        </w:rPr>
      </w:pPr>
      <w:r>
        <w:rPr>
          <w:rFonts w:ascii="Arial" w:cs="Arial" w:eastAsia="Arial" w:hAnsi="Arial"/>
          <w:sz w:val="14"/>
          <w:szCs w:val="14"/>
          <w:color w:val="4D4D4F"/>
        </w:rPr>
        <w:t>Compensation amounts paid in RMB have been converted, for purposes of the table, to U.S. dollars at the average RMB per U.S. dollar exchange rate for the applicable years.</w:t>
      </w:r>
    </w:p>
    <w:p>
      <w:pPr>
        <w:spacing w:after="0" w:line="31" w:lineRule="exact"/>
        <w:rPr>
          <w:rFonts w:ascii="Arial" w:cs="Arial" w:eastAsia="Arial" w:hAnsi="Arial"/>
          <w:sz w:val="14"/>
          <w:szCs w:val="14"/>
          <w:color w:val="4D4D4F"/>
        </w:rPr>
      </w:pPr>
    </w:p>
    <w:p>
      <w:pPr>
        <w:jc w:val="both"/>
        <w:ind w:left="440" w:right="20" w:hanging="324"/>
        <w:spacing w:after="0" w:line="247" w:lineRule="auto"/>
        <w:tabs>
          <w:tab w:leader="none" w:pos="440" w:val="left"/>
        </w:tabs>
        <w:numPr>
          <w:ilvl w:val="0"/>
          <w:numId w:val="7"/>
        </w:numPr>
        <w:rPr>
          <w:rFonts w:ascii="Arial" w:cs="Arial" w:eastAsia="Arial" w:hAnsi="Arial"/>
          <w:sz w:val="14"/>
          <w:szCs w:val="14"/>
          <w:color w:val="4D4D4F"/>
        </w:rPr>
      </w:pPr>
      <w:r>
        <w:rPr>
          <w:rFonts w:ascii="Arial" w:cs="Arial" w:eastAsia="Arial" w:hAnsi="Arial"/>
          <w:sz w:val="14"/>
          <w:szCs w:val="14"/>
          <w:color w:val="4D4D4F"/>
        </w:rPr>
        <w:t xml:space="preserve">Amounts shown represent the aggregate grant date fair value of stock awards granted in accordance with Financial Accounting Standards Board Accounting Standards Codification Topic 718, </w:t>
      </w:r>
      <w:r>
        <w:rPr>
          <w:rFonts w:ascii="Arial" w:cs="Arial" w:eastAsia="Arial" w:hAnsi="Arial"/>
          <w:sz w:val="14"/>
          <w:szCs w:val="14"/>
          <w:i w:val="1"/>
          <w:iCs w:val="1"/>
          <w:color w:val="4D4D4F"/>
        </w:rPr>
        <w:t>Compensation—Stock Compensation</w:t>
      </w:r>
      <w:r>
        <w:rPr>
          <w:rFonts w:ascii="Arial" w:cs="Arial" w:eastAsia="Arial" w:hAnsi="Arial"/>
          <w:sz w:val="14"/>
          <w:szCs w:val="14"/>
          <w:color w:val="4D4D4F"/>
        </w:rPr>
        <w:t>. These amounts do not necessarily correspond to the actual amounts that will be earned by the NEOs. For assumptions made in valuing these awards and related information, see note 2 to our consolidated financial statements included in our Annual Report on Form 10-K for the fiscal year ended December 31, 2020.</w:t>
      </w:r>
    </w:p>
    <w:p>
      <w:pPr>
        <w:spacing w:after="0" w:line="39" w:lineRule="exact"/>
        <w:rPr>
          <w:rFonts w:ascii="Arial" w:cs="Arial" w:eastAsia="Arial" w:hAnsi="Arial"/>
          <w:sz w:val="14"/>
          <w:szCs w:val="14"/>
          <w:color w:val="4D4D4F"/>
        </w:rPr>
      </w:pPr>
    </w:p>
    <w:p>
      <w:pPr>
        <w:ind w:left="440" w:right="20" w:hanging="324"/>
        <w:spacing w:after="0" w:line="258" w:lineRule="auto"/>
        <w:tabs>
          <w:tab w:leader="none" w:pos="440" w:val="left"/>
        </w:tabs>
        <w:numPr>
          <w:ilvl w:val="0"/>
          <w:numId w:val="7"/>
        </w:numPr>
        <w:rPr>
          <w:rFonts w:ascii="Arial" w:cs="Arial" w:eastAsia="Arial" w:hAnsi="Arial"/>
          <w:sz w:val="14"/>
          <w:szCs w:val="14"/>
          <w:color w:val="4D4D4F"/>
        </w:rPr>
      </w:pPr>
      <w:r>
        <w:rPr>
          <w:rFonts w:ascii="Arial" w:cs="Arial" w:eastAsia="Arial" w:hAnsi="Arial"/>
          <w:sz w:val="14"/>
          <w:szCs w:val="14"/>
          <w:color w:val="4D4D4F"/>
        </w:rPr>
        <w:t>Consists of (a) option awards exercisable for Class A common stock and (b) with respect to Dr. Wang, Mr. Wang, Ms. Feng and Mr. Chen in 2020, option awards exercisable for shares of ACM Research (Shanghai), Inc.</w:t>
      </w:r>
    </w:p>
    <w:p>
      <w:pPr>
        <w:spacing w:after="0" w:line="31" w:lineRule="exact"/>
        <w:rPr>
          <w:rFonts w:ascii="Arial" w:cs="Arial" w:eastAsia="Arial" w:hAnsi="Arial"/>
          <w:sz w:val="14"/>
          <w:szCs w:val="14"/>
          <w:color w:val="4D4D4F"/>
        </w:rPr>
      </w:pPr>
    </w:p>
    <w:p>
      <w:pPr>
        <w:ind w:left="440" w:hanging="324"/>
        <w:spacing w:after="0"/>
        <w:tabs>
          <w:tab w:leader="none" w:pos="440" w:val="left"/>
        </w:tabs>
        <w:numPr>
          <w:ilvl w:val="0"/>
          <w:numId w:val="7"/>
        </w:numPr>
        <w:rPr>
          <w:rFonts w:ascii="Arial" w:cs="Arial" w:eastAsia="Arial" w:hAnsi="Arial"/>
          <w:sz w:val="14"/>
          <w:szCs w:val="14"/>
          <w:color w:val="4D4D4F"/>
        </w:rPr>
      </w:pPr>
      <w:r>
        <w:rPr>
          <w:rFonts w:ascii="Arial" w:cs="Arial" w:eastAsia="Arial" w:hAnsi="Arial"/>
          <w:sz w:val="14"/>
          <w:szCs w:val="14"/>
          <w:color w:val="4D4D4F"/>
        </w:rPr>
        <w:t>The amounts shown consist of a housing subsidy.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115570</wp:posOffset>
            </wp:positionV>
            <wp:extent cx="7187565" cy="5644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7565" cy="5644515"/>
                    </a:xfrm>
                    <a:prstGeom prst="rect">
                      <a:avLst/>
                    </a:prstGeom>
                    <a:noFill/>
                  </pic:spPr>
                </pic:pic>
              </a:graphicData>
            </a:graphic>
          </wp:anchor>
        </w:drawing>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9C0"/>
        </w:rPr>
        <w:t>Participation in the Virtual Annual Meeting</w:t>
      </w:r>
    </w:p>
    <w:p>
      <w:pPr>
        <w:spacing w:after="0" w:line="269"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4D4D4F"/>
        </w:rPr>
        <w:t>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 connected devices, including smart phones and tablets, laptop or desktop computers. We will be able to engage with all stockholders as opposed to just those who can afford to travel to an in-person meeting. The virtual meeting format also will allow stockholders to maintain their own personal safety in light of the ongoing public health risks attributable to the COVID-19 (Coronavirus) pandemic. The virtual format allows stockholders to submit questions and comments during the meeting.</w:t>
      </w:r>
    </w:p>
    <w:p>
      <w:pPr>
        <w:spacing w:after="0" w:line="167"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4D4D4F"/>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xml:space="preserve"> and enter the 16-digit control number included on their Notice of Internet Availability of Proxy Materials or proxy card. If you wish to participate in the meeting and your shares are held in street name, you must obtain, from the broker, bank or other organization that holds your shares, the information required, including a 16-digit control number, in order for you to be able to participate in, and vote at, the Annual Meeting.</w:t>
      </w:r>
    </w:p>
    <w:p>
      <w:pPr>
        <w:spacing w:after="0" w:line="16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4D4D4F"/>
        </w:rPr>
        <w:t xml:space="preserve">Stockholders can vote their shares and submit questions via the Internet during the Annual Meeting by accessing the annual meeting website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xml:space="preserve">. We will answer any timely submitted questions on a matter to be voted on at the Annual Meeting before voting is closed on the matter. Following adjournment of the formal business of the Annual Meeting, we will address appropriate general questions from stockholders regarding ACM Research in the order in which the questions are received. Questions relating to stockholder proposals or ACM Research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2021 Rules of Conduct and Procedure, a copy of which is attached hereto as </w:t>
      </w:r>
      <w:r>
        <w:rPr>
          <w:rFonts w:ascii="Arial" w:cs="Arial" w:eastAsia="Arial" w:hAnsi="Arial"/>
          <w:sz w:val="18"/>
          <w:szCs w:val="18"/>
          <w:i w:val="1"/>
          <w:iCs w:val="1"/>
          <w:color w:val="4D4D4F"/>
        </w:rPr>
        <w:t>Appendix B.</w:t>
      </w:r>
      <w:r>
        <w:rPr>
          <w:rFonts w:ascii="Arial" w:cs="Arial" w:eastAsia="Arial" w:hAnsi="Arial"/>
          <w:sz w:val="18"/>
          <w:szCs w:val="18"/>
          <w:color w:val="4D4D4F"/>
        </w:rPr>
        <w:t xml:space="preserve"> Any material changes or updates to the 2021 Rules of Conduct and Procedure will be posted on our website and disclosed in a periodic report to the SEC on Form 8-K.</w:t>
      </w:r>
    </w:p>
    <w:p>
      <w:pPr>
        <w:spacing w:after="0" w:line="17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4D4D4F"/>
        </w:rPr>
        <w:t xml:space="preserve">Online check-in to the Annual Meeting webcast will begin at 6:45 a.m., Pacific time, and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virtual meeting. If you encounter any difficulties accessing the Annual Meeting during the check-in or at meeting time, you should call the technical support number available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w:t>
      </w:r>
    </w:p>
    <w:p>
      <w:pPr>
        <w:spacing w:after="0" w:line="16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4D4D4F"/>
        </w:rPr>
        <w:t xml:space="preserve">We have designed our virtual format to enhance, rather than constrain, stockholder access, participation and communication. For example, stockholders will be able to communicate with us during the Annual Meeting so they can ask questions. An audio replay of the Annual Meeting will be made publicly available at </w:t>
      </w:r>
      <w:r>
        <w:rPr>
          <w:rFonts w:ascii="Arial" w:cs="Arial" w:eastAsia="Arial" w:hAnsi="Arial"/>
          <w:sz w:val="18"/>
          <w:szCs w:val="18"/>
          <w:i w:val="1"/>
          <w:iCs w:val="1"/>
          <w:color w:val="4D4D4F"/>
        </w:rPr>
        <w:t>ir.acmrcsh.com/presentations</w:t>
      </w:r>
      <w:r>
        <w:rPr>
          <w:rFonts w:ascii="Arial" w:cs="Arial" w:eastAsia="Arial" w:hAnsi="Arial"/>
          <w:sz w:val="18"/>
          <w:szCs w:val="18"/>
          <w:color w:val="4D4D4F"/>
        </w:rPr>
        <w:t xml:space="preserve"> until our 2022 annual meeting of stockholders.</w:t>
      </w:r>
    </w:p>
    <w:p>
      <w:pPr>
        <w:spacing w:after="0" w:line="16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4D4D4F"/>
        </w:rPr>
        <w:t>This audio replay will include each stockholder question addressed during the Annual Meeting. We are utilizing technology from Broadridge Financial Solutions, Inc., or Broadridge. The Broadridge platform is expected to accommodate most, if not all, stockholders. Both we and Broadridge will test the platform technology before going “live” for the Annual Meeting.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ind w:left="2600"/>
        <w:spacing w:after="0"/>
        <w:rPr>
          <w:sz w:val="20"/>
          <w:szCs w:val="20"/>
          <w:color w:val="auto"/>
        </w:rPr>
      </w:pPr>
      <w:r>
        <w:rPr>
          <w:rFonts w:ascii="Arial" w:cs="Arial" w:eastAsia="Arial" w:hAnsi="Arial"/>
          <w:sz w:val="25"/>
          <w:szCs w:val="25"/>
          <w:b w:val="1"/>
          <w:bCs w:val="1"/>
          <w:color w:val="003E64"/>
        </w:rPr>
        <w:t>Questions and Answers About the Annual Meeting</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When and where will the Annual Meeting be held?</w:t>
      </w:r>
    </w:p>
    <w:p>
      <w:pPr>
        <w:spacing w:after="0" w:line="217" w:lineRule="exact"/>
        <w:rPr>
          <w:sz w:val="20"/>
          <w:szCs w:val="20"/>
          <w:color w:val="auto"/>
        </w:rPr>
      </w:pPr>
    </w:p>
    <w:p>
      <w:pPr>
        <w:ind w:left="340" w:hanging="332"/>
        <w:spacing w:after="0" w:line="246" w:lineRule="auto"/>
        <w:tabs>
          <w:tab w:leader="none" w:pos="340" w:val="left"/>
        </w:tabs>
        <w:numPr>
          <w:ilvl w:val="0"/>
          <w:numId w:val="8"/>
        </w:numPr>
        <w:rPr>
          <w:rFonts w:ascii="Arial" w:cs="Arial" w:eastAsia="Arial" w:hAnsi="Arial"/>
          <w:sz w:val="18"/>
          <w:szCs w:val="18"/>
          <w:b w:val="1"/>
          <w:bCs w:val="1"/>
          <w:color w:val="4D4D4F"/>
        </w:rPr>
      </w:pPr>
      <w:r>
        <w:rPr>
          <w:rFonts w:ascii="Arial" w:cs="Arial" w:eastAsia="Arial" w:hAnsi="Arial"/>
          <w:sz w:val="18"/>
          <w:szCs w:val="18"/>
          <w:color w:val="4D4D4F"/>
        </w:rPr>
        <w:t xml:space="preserve">This year the Annual Meeting of Stockholders of ACM Research, Inc., which we refer to as the Annual Meeting, will again be held exclusively by webcast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xml:space="preserve"> beginning at 7 a.m., Pacific time, on June 2, 2021.</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Who may join the Annual Meeting?</w:t>
      </w:r>
    </w:p>
    <w:p>
      <w:pPr>
        <w:spacing w:after="0" w:line="202" w:lineRule="exact"/>
        <w:rPr>
          <w:sz w:val="20"/>
          <w:szCs w:val="20"/>
          <w:color w:val="auto"/>
        </w:rPr>
      </w:pPr>
    </w:p>
    <w:p>
      <w:pPr>
        <w:jc w:val="both"/>
        <w:ind w:left="340" w:hanging="332"/>
        <w:spacing w:after="0" w:line="238" w:lineRule="auto"/>
        <w:tabs>
          <w:tab w:leader="none" w:pos="340" w:val="left"/>
        </w:tabs>
        <w:numPr>
          <w:ilvl w:val="0"/>
          <w:numId w:val="9"/>
        </w:numPr>
        <w:rPr>
          <w:rFonts w:ascii="Arial" w:cs="Arial" w:eastAsia="Arial" w:hAnsi="Arial"/>
          <w:sz w:val="18"/>
          <w:szCs w:val="18"/>
          <w:b w:val="1"/>
          <w:bCs w:val="1"/>
          <w:color w:val="4D4D4F"/>
        </w:rPr>
      </w:pPr>
      <w:r>
        <w:rPr>
          <w:rFonts w:ascii="Arial" w:cs="Arial" w:eastAsia="Arial" w:hAnsi="Arial"/>
          <w:sz w:val="18"/>
          <w:szCs w:val="18"/>
          <w:color w:val="4D4D4F"/>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xml:space="preserve"> and enter the 16-digit control number included on their Notice of Internet Availability of Proxy Materials or proxy card.</w:t>
      </w:r>
    </w:p>
    <w:p>
      <w:pPr>
        <w:spacing w:after="0" w:line="69" w:lineRule="exact"/>
        <w:rPr>
          <w:rFonts w:ascii="Arial" w:cs="Arial" w:eastAsia="Arial" w:hAnsi="Arial"/>
          <w:sz w:val="18"/>
          <w:szCs w:val="18"/>
          <w:b w:val="1"/>
          <w:bCs w:val="1"/>
          <w:color w:val="4D4D4F"/>
        </w:rPr>
      </w:pPr>
    </w:p>
    <w:p>
      <w:pPr>
        <w:ind w:left="340"/>
        <w:spacing w:after="0" w:line="246" w:lineRule="auto"/>
        <w:rPr>
          <w:rFonts w:ascii="Arial" w:cs="Arial" w:eastAsia="Arial" w:hAnsi="Arial"/>
          <w:sz w:val="18"/>
          <w:szCs w:val="18"/>
          <w:b w:val="1"/>
          <w:bCs w:val="1"/>
          <w:color w:val="4D4D4F"/>
        </w:rPr>
      </w:pPr>
      <w:r>
        <w:rPr>
          <w:rFonts w:ascii="Arial" w:cs="Arial" w:eastAsia="Arial" w:hAnsi="Arial"/>
          <w:sz w:val="18"/>
          <w:szCs w:val="18"/>
          <w:color w:val="4D4D4F"/>
        </w:rPr>
        <w:t>Online check-in to the Annual Meeting webcast will begin at 6:45 a.m., Pacific time. We encourage you to allow ample time to log in to the meeting webcast and test your computer audio system.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materials have been prepared for stockholders in connection with the Annual Meeting?</w:t>
      </w:r>
    </w:p>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4D4D4F"/>
        </w:rPr>
      </w:pPr>
      <w:r>
        <w:rPr>
          <w:rFonts w:ascii="Arial" w:cs="Arial" w:eastAsia="Arial" w:hAnsi="Arial"/>
          <w:sz w:val="18"/>
          <w:szCs w:val="18"/>
          <w:color w:val="4D4D4F"/>
        </w:rPr>
        <w:t>We are furnishing you and other stockholders of record with the following proxy materials:</w:t>
      </w:r>
    </w:p>
    <w:p>
      <w:pPr>
        <w:spacing w:after="0" w:line="76" w:lineRule="exact"/>
        <w:rPr>
          <w:rFonts w:ascii="Arial" w:cs="Arial" w:eastAsia="Arial" w:hAnsi="Arial"/>
          <w:sz w:val="18"/>
          <w:szCs w:val="18"/>
          <w:b w:val="1"/>
          <w:bCs w:val="1"/>
          <w:color w:val="4D4D4F"/>
        </w:rPr>
      </w:pPr>
    </w:p>
    <w:p>
      <w:pPr>
        <w:jc w:val="both"/>
        <w:ind w:left="660" w:right="20" w:hanging="328"/>
        <w:spacing w:after="0" w:line="210" w:lineRule="exact"/>
        <w:tabs>
          <w:tab w:leader="none" w:pos="660" w:val="left"/>
        </w:tabs>
        <w:numPr>
          <w:ilvl w:val="1"/>
          <w:numId w:val="10"/>
        </w:numPr>
        <w:rPr>
          <w:rFonts w:ascii="Arial" w:cs="Arial" w:eastAsia="Arial" w:hAnsi="Arial"/>
          <w:sz w:val="18"/>
          <w:szCs w:val="18"/>
          <w:color w:val="4D4D4F"/>
        </w:rPr>
      </w:pPr>
      <w:r>
        <w:rPr>
          <w:rFonts w:ascii="Arial" w:cs="Arial" w:eastAsia="Arial" w:hAnsi="Arial"/>
          <w:sz w:val="18"/>
          <w:szCs w:val="18"/>
          <w:color w:val="4D4D4F"/>
        </w:rPr>
        <w:t>our 2020 Annual Report to Stockholders, which we refer to as the 2020 Annual Report and which includes our Annual Report on Form 10</w:t>
      </w:r>
      <w:r>
        <w:rPr>
          <w:rFonts w:ascii="MS PGothic" w:cs="MS PGothic" w:eastAsia="MS PGothic" w:hAnsi="MS PGothic"/>
          <w:sz w:val="18"/>
          <w:szCs w:val="18"/>
          <w:color w:val="4D4D4F"/>
        </w:rPr>
        <w:t>‑</w:t>
      </w:r>
      <w:r>
        <w:rPr>
          <w:rFonts w:ascii="Arial" w:cs="Arial" w:eastAsia="Arial" w:hAnsi="Arial"/>
          <w:sz w:val="18"/>
          <w:szCs w:val="18"/>
          <w:color w:val="4D4D4F"/>
        </w:rPr>
        <w:t>K for the fiscal year ended December 31, 2020 (including our audited consolidated financial statements for 2020 and 2019);</w:t>
      </w:r>
    </w:p>
    <w:p>
      <w:pPr>
        <w:spacing w:after="0" w:line="80" w:lineRule="exact"/>
        <w:rPr>
          <w:rFonts w:ascii="Arial" w:cs="Arial" w:eastAsia="Arial" w:hAnsi="Arial"/>
          <w:sz w:val="18"/>
          <w:szCs w:val="18"/>
          <w:color w:val="4D4D4F"/>
        </w:rPr>
      </w:pPr>
    </w:p>
    <w:p>
      <w:pPr>
        <w:ind w:left="660" w:hanging="328"/>
        <w:spacing w:after="0" w:line="246" w:lineRule="auto"/>
        <w:tabs>
          <w:tab w:leader="none" w:pos="660" w:val="left"/>
        </w:tabs>
        <w:numPr>
          <w:ilvl w:val="1"/>
          <w:numId w:val="10"/>
        </w:numPr>
        <w:rPr>
          <w:rFonts w:ascii="Arial" w:cs="Arial" w:eastAsia="Arial" w:hAnsi="Arial"/>
          <w:sz w:val="18"/>
          <w:szCs w:val="18"/>
          <w:color w:val="4D4D4F"/>
        </w:rPr>
      </w:pPr>
      <w:r>
        <w:rPr>
          <w:rFonts w:ascii="Arial" w:cs="Arial" w:eastAsia="Arial" w:hAnsi="Arial"/>
          <w:sz w:val="18"/>
          <w:szCs w:val="18"/>
          <w:color w:val="4D4D4F"/>
        </w:rPr>
        <w:t>this Proxy Statement for the 2021 Annual Meeting, which we refer to as this Proxy Statement and which also includes a letter from our Chief Executive Officer and President to stockholders, and a Notice of 2021 Annual Meeting of Stockholders; and</w:t>
      </w:r>
    </w:p>
    <w:p>
      <w:pPr>
        <w:spacing w:after="0" w:line="75" w:lineRule="exact"/>
        <w:rPr>
          <w:rFonts w:ascii="Arial" w:cs="Arial" w:eastAsia="Arial" w:hAnsi="Arial"/>
          <w:sz w:val="18"/>
          <w:szCs w:val="18"/>
          <w:color w:val="4D4D4F"/>
        </w:rPr>
      </w:pPr>
    </w:p>
    <w:p>
      <w:pPr>
        <w:ind w:left="660" w:right="20" w:hanging="328"/>
        <w:spacing w:after="0" w:line="246" w:lineRule="auto"/>
        <w:tabs>
          <w:tab w:leader="none" w:pos="660" w:val="left"/>
        </w:tabs>
        <w:numPr>
          <w:ilvl w:val="1"/>
          <w:numId w:val="10"/>
        </w:numPr>
        <w:rPr>
          <w:rFonts w:ascii="Arial" w:cs="Arial" w:eastAsia="Arial" w:hAnsi="Arial"/>
          <w:sz w:val="18"/>
          <w:szCs w:val="18"/>
          <w:color w:val="4D4D4F"/>
        </w:rPr>
      </w:pPr>
      <w:r>
        <w:rPr>
          <w:rFonts w:ascii="Arial" w:cs="Arial" w:eastAsia="Arial" w:hAnsi="Arial"/>
          <w:sz w:val="18"/>
          <w:szCs w:val="18"/>
          <w:color w:val="4D4D4F"/>
        </w:rPr>
        <w:t>a Notice of Internet Availability of Proxy Materials, which we refer to as the Notice of Internet Availability, which includes a control number for use in submitting proxies and accessing the Annual Meeting webcast.</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4D4D4F"/>
        </w:rPr>
        <w:t>These materials were first mailed or made available to stockholders on or about April 23, 2021.</w:t>
      </w:r>
    </w:p>
    <w:p>
      <w:pPr>
        <w:spacing w:after="0" w:line="136"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4D4D4F"/>
        </w:rPr>
        <w:t>If you request, in accordance with the instructions provided in the Notice of Internet Availability, a printed set of proxy materials, you will receive by mail, at no charge, printed copies of the 2020 Annual Report, this Proxy Statement, a proxy card for the Annual Meeting and a postage-paid, pre-addressed envelope to be used to return the completed proxy card. Your proxy card will include a control number for use in accessing the Annual Meeting webcast. If, in accordance with the instructions provided in the Notice of Internet Availability, you request that a set of proxy materials be emailed to you, you will receive by email, at no charge, electronic copies of the 2020 Annual Report and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Why was I mailed a Notice of Internet Availability, rather than a printed set of proxy materials?</w:t>
      </w:r>
    </w:p>
    <w:p>
      <w:pPr>
        <w:spacing w:after="0" w:line="188" w:lineRule="exact"/>
        <w:rPr>
          <w:sz w:val="20"/>
          <w:szCs w:val="20"/>
          <w:color w:val="auto"/>
        </w:rPr>
      </w:pPr>
    </w:p>
    <w:p>
      <w:pPr>
        <w:ind w:left="340" w:right="60" w:hanging="332"/>
        <w:spacing w:after="0" w:line="238" w:lineRule="auto"/>
        <w:tabs>
          <w:tab w:leader="none" w:pos="340" w:val="left"/>
        </w:tabs>
        <w:numPr>
          <w:ilvl w:val="0"/>
          <w:numId w:val="11"/>
        </w:numPr>
        <w:rPr>
          <w:rFonts w:ascii="Arial" w:cs="Arial" w:eastAsia="Arial" w:hAnsi="Arial"/>
          <w:sz w:val="18"/>
          <w:szCs w:val="18"/>
          <w:b w:val="1"/>
          <w:bCs w:val="1"/>
          <w:color w:val="4D4D4F"/>
        </w:rPr>
      </w:pPr>
      <w:r>
        <w:rPr>
          <w:rFonts w:ascii="Arial" w:cs="Arial" w:eastAsia="Arial" w:hAnsi="Arial"/>
          <w:sz w:val="18"/>
          <w:szCs w:val="18"/>
          <w:color w:val="4D4D4F"/>
        </w:rPr>
        <w:t>In accordance with rules adopted by the SEC, we are furnishing the proxy materials to stockholders by providing access via the Internet, instead of mailing printed copies. This process expedites the delivery of proxy materials to our stockholders, lowers our costs and reduces the environmental impact of the Annual Meeting. The Notice of Internet Availability tells you how to access and review the proxy materials on the Internet and how to vote on the Internet. It also provides instructions you may follow to request paper or emailed copies of the proxy materials.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Are the proxy materials available via the Internet?</w:t>
      </w:r>
    </w:p>
    <w:p>
      <w:pPr>
        <w:spacing w:after="0" w:line="170" w:lineRule="exact"/>
        <w:rPr>
          <w:sz w:val="20"/>
          <w:szCs w:val="20"/>
          <w:color w:val="auto"/>
        </w:rPr>
      </w:pPr>
    </w:p>
    <w:p>
      <w:pPr>
        <w:jc w:val="both"/>
        <w:ind w:left="340" w:hanging="332"/>
        <w:spacing w:after="0" w:line="245" w:lineRule="auto"/>
        <w:tabs>
          <w:tab w:leader="none" w:pos="340" w:val="left"/>
        </w:tabs>
        <w:numPr>
          <w:ilvl w:val="0"/>
          <w:numId w:val="12"/>
        </w:numPr>
        <w:rPr>
          <w:rFonts w:ascii="Arial" w:cs="Arial" w:eastAsia="Arial" w:hAnsi="Arial"/>
          <w:sz w:val="18"/>
          <w:szCs w:val="18"/>
          <w:b w:val="1"/>
          <w:bCs w:val="1"/>
          <w:color w:val="4D4D4F"/>
        </w:rPr>
      </w:pPr>
      <w:r>
        <w:rPr>
          <w:rFonts w:ascii="Arial" w:cs="Arial" w:eastAsia="Arial" w:hAnsi="Arial"/>
          <w:sz w:val="18"/>
          <w:szCs w:val="18"/>
          <w:color w:val="4D4D4F"/>
        </w:rPr>
        <w:t xml:space="preserve">You can access and review the proxy materials for the Annual Meeting at </w:t>
      </w:r>
      <w:r>
        <w:rPr>
          <w:rFonts w:ascii="Arial" w:cs="Arial" w:eastAsia="Arial" w:hAnsi="Arial"/>
          <w:sz w:val="18"/>
          <w:szCs w:val="18"/>
          <w:i w:val="1"/>
          <w:iCs w:val="1"/>
          <w:color w:val="4D4D4F"/>
        </w:rPr>
        <w:t>ir.acmrcsh.com/corporate-governance/highlights</w:t>
      </w:r>
      <w:r>
        <w:rPr>
          <w:rFonts w:ascii="Arial" w:cs="Arial" w:eastAsia="Arial" w:hAnsi="Arial"/>
          <w:sz w:val="18"/>
          <w:szCs w:val="18"/>
          <w:color w:val="4D4D4F"/>
        </w:rPr>
        <w:t xml:space="preserve"> or </w:t>
      </w:r>
      <w:r>
        <w:rPr>
          <w:rFonts w:ascii="Arial" w:cs="Arial" w:eastAsia="Arial" w:hAnsi="Arial"/>
          <w:sz w:val="18"/>
          <w:szCs w:val="18"/>
          <w:i w:val="1"/>
          <w:iCs w:val="1"/>
          <w:color w:val="4D4D4F"/>
        </w:rPr>
        <w:t>proxyvote.com</w:t>
      </w:r>
      <w:r>
        <w:rPr>
          <w:rFonts w:ascii="Arial" w:cs="Arial" w:eastAsia="Arial" w:hAnsi="Arial"/>
          <w:sz w:val="18"/>
          <w:szCs w:val="18"/>
          <w:color w:val="4D4D4F"/>
        </w:rPr>
        <w:t>. In order to submit your proxies or access the Annual Meeting webcast, however, you will need to refer to the Notice of</w:t>
      </w:r>
      <w:r>
        <w:rPr>
          <w:rFonts w:ascii="Arial" w:cs="Arial" w:eastAsia="Arial" w:hAnsi="Arial"/>
          <w:sz w:val="18"/>
          <w:szCs w:val="18"/>
          <w:i w:val="1"/>
          <w:iCs w:val="1"/>
          <w:color w:val="4D4D4F"/>
        </w:rPr>
        <w:t xml:space="preserve"> </w:t>
      </w:r>
      <w:r>
        <w:rPr>
          <w:rFonts w:ascii="Arial" w:cs="Arial" w:eastAsia="Arial" w:hAnsi="Arial"/>
          <w:sz w:val="18"/>
          <w:szCs w:val="18"/>
          <w:color w:val="4D4D4F"/>
        </w:rPr>
        <w:t>Internet Availability or proxy card to obtain your 16-digit control number and other personal information needed to vote by proxy or virtually.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is a proxy?</w:t>
      </w:r>
    </w:p>
    <w:p>
      <w:pPr>
        <w:spacing w:after="0" w:line="202" w:lineRule="exact"/>
        <w:rPr>
          <w:sz w:val="20"/>
          <w:szCs w:val="20"/>
          <w:color w:val="auto"/>
        </w:rPr>
      </w:pPr>
    </w:p>
    <w:p>
      <w:pPr>
        <w:ind w:left="340" w:right="20" w:hanging="332"/>
        <w:spacing w:after="0" w:line="246" w:lineRule="auto"/>
        <w:tabs>
          <w:tab w:leader="none" w:pos="340" w:val="left"/>
        </w:tabs>
        <w:numPr>
          <w:ilvl w:val="0"/>
          <w:numId w:val="13"/>
        </w:numPr>
        <w:rPr>
          <w:rFonts w:ascii="Arial" w:cs="Arial" w:eastAsia="Arial" w:hAnsi="Arial"/>
          <w:sz w:val="18"/>
          <w:szCs w:val="18"/>
          <w:b w:val="1"/>
          <w:bCs w:val="1"/>
          <w:color w:val="4D4D4F"/>
        </w:rPr>
      </w:pPr>
      <w:r>
        <w:rPr>
          <w:rFonts w:ascii="Arial" w:cs="Arial" w:eastAsia="Arial" w:hAnsi="Arial"/>
          <w:sz w:val="18"/>
          <w:szCs w:val="18"/>
          <w:color w:val="4D4D4F"/>
        </w:rPr>
        <w:t>The term “proxy,” when used with respect to stockholder, refers to either a person or persons legally authorized to act on the stockholder’s behalf or a format that allows the stockholder to vote without being physically present at the Annual Meeting.</w:t>
      </w:r>
    </w:p>
    <w:p>
      <w:pPr>
        <w:spacing w:after="0" w:line="61" w:lineRule="exact"/>
        <w:rPr>
          <w:rFonts w:ascii="Arial" w:cs="Arial" w:eastAsia="Arial" w:hAnsi="Arial"/>
          <w:sz w:val="18"/>
          <w:szCs w:val="18"/>
          <w:b w:val="1"/>
          <w:bCs w:val="1"/>
          <w:color w:val="4D4D4F"/>
        </w:rPr>
      </w:pPr>
    </w:p>
    <w:p>
      <w:pPr>
        <w:jc w:val="both"/>
        <w:ind w:left="340"/>
        <w:spacing w:after="0" w:line="238" w:lineRule="auto"/>
        <w:rPr>
          <w:rFonts w:ascii="Arial" w:cs="Arial" w:eastAsia="Arial" w:hAnsi="Arial"/>
          <w:sz w:val="18"/>
          <w:szCs w:val="18"/>
          <w:b w:val="1"/>
          <w:bCs w:val="1"/>
          <w:color w:val="4D4D4F"/>
        </w:rPr>
      </w:pPr>
      <w:r>
        <w:rPr>
          <w:rFonts w:ascii="Arial" w:cs="Arial" w:eastAsia="Arial" w:hAnsi="Arial"/>
          <w:sz w:val="18"/>
          <w:szCs w:val="18"/>
          <w:color w:val="4D4D4F"/>
        </w:rPr>
        <w:t>Because it is important that as many stockholders as possible be represented at the Annual Meeting, the board of directors is asking that you review this Proxy Statement carefully and then vote by following the instructions set forth on the Notice of Internet Availability or proxy card. In voting prior to the Annual Meeting, you will deliver your proxy to the proxy holders, which means you will authorize the proxy holders to vote your shares at the Annual Meeting in the way you instruct. The proxy holders consist of David Wang and Mark McKechnie. All shares represented by valid proxies will be voted in accordance with the stockholder’s specific instructions.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matters will the stockholders vote on at the Annual Meeting?</w:t>
      </w:r>
    </w:p>
    <w:p>
      <w:pPr>
        <w:sectPr>
          <w:pgSz w:w="11900" w:h="16838" w:orient="portrait"/>
          <w:cols w:equalWidth="0" w:num="1">
            <w:col w:w="11240"/>
          </w:cols>
          <w:pgMar w:left="320" w:top="130"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 xml:space="preserve">A: </w:t>
      </w:r>
      <w:r>
        <w:rPr>
          <w:rFonts w:ascii="Arial" w:cs="Arial" w:eastAsia="Arial" w:hAnsi="Arial"/>
          <w:sz w:val="18"/>
          <w:szCs w:val="18"/>
          <w:color w:val="4D4D4F"/>
        </w:rPr>
        <w:t xml:space="preserve">Proposal </w:t>
      </w:r>
      <w:r>
        <w:rPr>
          <w:sz w:val="1"/>
          <w:szCs w:val="1"/>
          <w:color w:val="auto"/>
        </w:rPr>
        <w:drawing>
          <wp:inline distT="0" distB="0" distL="0" distR="0">
            <wp:extent cx="162560" cy="1631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4D4D4F"/>
        </w:rPr>
        <w:t>Election of the following five director nominees:</w:t>
      </w:r>
    </w:p>
    <w:p>
      <w:pPr>
        <w:spacing w:after="0" w:line="143" w:lineRule="exact"/>
        <w:rPr>
          <w:sz w:val="20"/>
          <w:szCs w:val="20"/>
          <w:color w:val="auto"/>
        </w:rPr>
      </w:pPr>
    </w:p>
    <w:p>
      <w:pPr>
        <w:sectPr>
          <w:pgSz w:w="11900" w:h="16838" w:orient="portrait"/>
          <w:cols w:equalWidth="0" w:num="2">
            <w:col w:w="1300" w:space="180"/>
            <w:col w:w="9760"/>
          </w:cols>
          <w:pgMar w:left="320" w:top="130" w:right="339" w:bottom="1440" w:gutter="0" w:footer="0" w:header="0"/>
          <w:type w:val="continuous"/>
        </w:sectPr>
      </w:pPr>
    </w:p>
    <w:p>
      <w:pPr>
        <w:ind w:left="1480"/>
        <w:spacing w:after="0"/>
        <w:rPr>
          <w:sz w:val="20"/>
          <w:szCs w:val="20"/>
          <w:color w:val="auto"/>
        </w:rPr>
      </w:pPr>
      <w:r>
        <w:rPr>
          <w:rFonts w:ascii="Arial" w:cs="Arial" w:eastAsia="Arial" w:hAnsi="Arial"/>
          <w:sz w:val="17"/>
          <w:szCs w:val="17"/>
          <w:color w:val="4D4D4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Chenming C. Hu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Haiping Dun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Tracy Liu</w:t>
      </w:r>
    </w:p>
    <w:p>
      <w:pPr>
        <w:spacing w:after="0" w:line="102" w:lineRule="exact"/>
        <w:rPr>
          <w:sz w:val="20"/>
          <w:szCs w:val="20"/>
          <w:color w:val="auto"/>
        </w:rPr>
      </w:pPr>
    </w:p>
    <w:p>
      <w:pPr>
        <w:sectPr>
          <w:pgSz w:w="11900" w:h="16838" w:orient="portrait"/>
          <w:cols w:equalWidth="0" w:num="6">
            <w:col w:w="1540" w:space="280"/>
            <w:col w:w="2100" w:space="720"/>
            <w:col w:w="60" w:space="280"/>
            <w:col w:w="1760" w:space="720"/>
            <w:col w:w="60" w:space="260"/>
            <w:col w:w="3460"/>
          </w:cols>
          <w:pgMar w:left="320" w:top="130" w:right="339" w:bottom="1440" w:gutter="0" w:footer="0" w:header="0"/>
          <w:type w:val="continuous"/>
        </w:sectPr>
      </w:pPr>
    </w:p>
    <w:p>
      <w:pPr>
        <w:ind w:left="1480"/>
        <w:spacing w:after="0"/>
        <w:rPr>
          <w:sz w:val="20"/>
          <w:szCs w:val="20"/>
          <w:color w:val="auto"/>
        </w:rPr>
      </w:pPr>
      <w:r>
        <w:rPr>
          <w:rFonts w:ascii="Arial" w:cs="Arial" w:eastAsia="Arial" w:hAnsi="Arial"/>
          <w:sz w:val="17"/>
          <w:szCs w:val="17"/>
          <w:color w:val="4D4D4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David H. Wang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4D4D4F"/>
        </w:rPr>
        <w:t>Yinan Xiang</w:t>
      </w:r>
    </w:p>
    <w:p>
      <w:pPr>
        <w:spacing w:after="0" w:line="21" w:lineRule="exact"/>
        <w:rPr>
          <w:sz w:val="20"/>
          <w:szCs w:val="20"/>
          <w:color w:val="auto"/>
        </w:rPr>
      </w:pPr>
    </w:p>
    <w:p>
      <w:pPr>
        <w:sectPr>
          <w:pgSz w:w="11900" w:h="16838" w:orient="portrait"/>
          <w:cols w:equalWidth="0" w:num="4">
            <w:col w:w="1540" w:space="280"/>
            <w:col w:w="2100" w:space="720"/>
            <w:col w:w="60" w:space="280"/>
            <w:col w:w="6260"/>
          </w:cols>
          <w:pgMar w:left="320" w:top="130" w:right="339" w:bottom="1440" w:gutter="0" w:footer="0" w:header="0"/>
          <w:type w:val="continuous"/>
        </w:sectPr>
      </w:pPr>
    </w:p>
    <w:p>
      <w:pPr>
        <w:ind w:left="340"/>
        <w:spacing w:after="0"/>
        <w:rPr>
          <w:sz w:val="20"/>
          <w:szCs w:val="20"/>
          <w:color w:val="auto"/>
        </w:rPr>
      </w:pPr>
      <w:r>
        <w:rPr>
          <w:rFonts w:ascii="Arial" w:cs="Arial" w:eastAsia="Arial" w:hAnsi="Arial"/>
          <w:sz w:val="35"/>
          <w:szCs w:val="35"/>
          <w:color w:val="4D4D4F"/>
          <w:vertAlign w:val="subscript"/>
        </w:rPr>
        <w:t xml:space="preserve">Proposal </w:t>
      </w:r>
      <w:r>
        <w:rPr>
          <w:sz w:val="1"/>
          <w:szCs w:val="1"/>
          <w:color w:val="auto"/>
        </w:rPr>
        <w:drawing>
          <wp:inline distT="0" distB="0" distL="0" distR="0">
            <wp:extent cx="162560" cy="16319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18"/>
          <w:szCs w:val="18"/>
          <w:color w:val="4D4D4F"/>
        </w:rPr>
        <w:t xml:space="preserve"> Amendment to our Certificate of Incorporation to increase the number of authorized shares of common stock.</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35"/>
          <w:szCs w:val="35"/>
          <w:color w:val="4D4D4F"/>
          <w:vertAlign w:val="subscript"/>
        </w:rPr>
        <w:t xml:space="preserve">Proposal </w:t>
      </w:r>
      <w:r>
        <w:rPr>
          <w:sz w:val="1"/>
          <w:szCs w:val="1"/>
          <w:color w:val="auto"/>
        </w:rPr>
        <w:drawing>
          <wp:inline distT="0" distB="0" distL="0" distR="0">
            <wp:extent cx="154305" cy="1631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163195"/>
                    </a:xfrm>
                    <a:prstGeom prst="rect">
                      <a:avLst/>
                    </a:prstGeom>
                    <a:noFill/>
                    <a:ln>
                      <a:noFill/>
                    </a:ln>
                  </pic:spPr>
                </pic:pic>
              </a:graphicData>
            </a:graphic>
          </wp:inline>
        </w:drawing>
      </w:r>
      <w:r>
        <w:rPr>
          <w:rFonts w:ascii="Arial" w:cs="Arial" w:eastAsia="Arial" w:hAnsi="Arial"/>
          <w:sz w:val="18"/>
          <w:szCs w:val="18"/>
          <w:color w:val="4D4D4F"/>
        </w:rPr>
        <w:t xml:space="preserve"> Ratification of appointment of our independent auditor for 2021.</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35"/>
          <w:szCs w:val="35"/>
          <w:color w:val="4D4D4F"/>
          <w:vertAlign w:val="subscript"/>
        </w:rPr>
        <w:t xml:space="preserve">Proposal </w:t>
      </w:r>
      <w:r>
        <w:rPr>
          <w:sz w:val="1"/>
          <w:szCs w:val="1"/>
          <w:color w:val="auto"/>
        </w:rPr>
        <w:drawing>
          <wp:inline distT="0" distB="0" distL="0" distR="0">
            <wp:extent cx="145415" cy="16319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415" cy="163195"/>
                    </a:xfrm>
                    <a:prstGeom prst="rect">
                      <a:avLst/>
                    </a:prstGeom>
                    <a:noFill/>
                    <a:ln>
                      <a:noFill/>
                    </a:ln>
                  </pic:spPr>
                </pic:pic>
              </a:graphicData>
            </a:graphic>
          </wp:inline>
        </w:drawing>
      </w:r>
      <w:r>
        <w:rPr>
          <w:rFonts w:ascii="Arial" w:cs="Arial" w:eastAsia="Arial" w:hAnsi="Arial"/>
          <w:sz w:val="18"/>
          <w:szCs w:val="18"/>
          <w:color w:val="4D4D4F"/>
        </w:rPr>
        <w:t xml:space="preserve"> Advisory vote on 2020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Who can vote at the Annual Meeting?</w:t>
      </w:r>
    </w:p>
    <w:p>
      <w:pPr>
        <w:spacing w:after="0" w:line="188" w:lineRule="exact"/>
        <w:rPr>
          <w:sz w:val="20"/>
          <w:szCs w:val="20"/>
          <w:color w:val="auto"/>
        </w:rPr>
      </w:pPr>
    </w:p>
    <w:p>
      <w:pPr>
        <w:jc w:val="both"/>
        <w:ind w:left="340" w:hanging="332"/>
        <w:spacing w:after="0" w:line="238" w:lineRule="auto"/>
        <w:tabs>
          <w:tab w:leader="none" w:pos="340" w:val="left"/>
        </w:tabs>
        <w:numPr>
          <w:ilvl w:val="0"/>
          <w:numId w:val="14"/>
        </w:numPr>
        <w:rPr>
          <w:rFonts w:ascii="Arial" w:cs="Arial" w:eastAsia="Arial" w:hAnsi="Arial"/>
          <w:sz w:val="18"/>
          <w:szCs w:val="18"/>
          <w:b w:val="1"/>
          <w:bCs w:val="1"/>
          <w:color w:val="4D4D4F"/>
        </w:rPr>
      </w:pPr>
      <w:r>
        <w:rPr>
          <w:rFonts w:ascii="Arial" w:cs="Arial" w:eastAsia="Arial" w:hAnsi="Arial"/>
          <w:sz w:val="18"/>
          <w:szCs w:val="18"/>
          <w:color w:val="4D4D4F"/>
        </w:rPr>
        <w:t>Stockholders of record of Class A and Class B common stock at 5 p.m., Eastern time, on April 8, 2021 the record date, will be entitled to vote at the Annual Meeting. As of the record date, there were outstanding a total of 17,263,562 shares of Class A common stock, each of which will be entitled to one vote on each proposal, and 1,769,272 shares of Class B common stock, each of which will be entitled to twenty votes on each proposal. As a result, up to a total of 52,649,002 votes can be cast on each proposal.</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is a stockholder of record?</w:t>
      </w:r>
    </w:p>
    <w:p>
      <w:pPr>
        <w:spacing w:after="0" w:line="202" w:lineRule="exact"/>
        <w:rPr>
          <w:sz w:val="20"/>
          <w:szCs w:val="20"/>
          <w:color w:val="auto"/>
        </w:rPr>
      </w:pPr>
    </w:p>
    <w:p>
      <w:pPr>
        <w:ind w:left="340" w:right="460" w:hanging="332"/>
        <w:spacing w:after="0" w:line="246" w:lineRule="auto"/>
        <w:tabs>
          <w:tab w:leader="none" w:pos="340" w:val="left"/>
        </w:tabs>
        <w:numPr>
          <w:ilvl w:val="0"/>
          <w:numId w:val="15"/>
        </w:numPr>
        <w:rPr>
          <w:rFonts w:ascii="Arial" w:cs="Arial" w:eastAsia="Arial" w:hAnsi="Arial"/>
          <w:sz w:val="18"/>
          <w:szCs w:val="18"/>
          <w:b w:val="1"/>
          <w:bCs w:val="1"/>
          <w:color w:val="4D4D4F"/>
        </w:rPr>
      </w:pPr>
      <w:r>
        <w:rPr>
          <w:rFonts w:ascii="Arial" w:cs="Arial" w:eastAsia="Arial" w:hAnsi="Arial"/>
          <w:sz w:val="18"/>
          <w:szCs w:val="18"/>
          <w:color w:val="4D4D4F"/>
        </w:rPr>
        <w:t>A stockholder of record is a stockholder whose ownership of our common stock is reflected directly on the books and records of our transfer agent, Computershare Trust Company, N.A.</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does it mean for a broker or other nominee to hold shares in “street name”?</w:t>
      </w:r>
    </w:p>
    <w:p>
      <w:pPr>
        <w:spacing w:after="0" w:line="188" w:lineRule="exact"/>
        <w:rPr>
          <w:sz w:val="20"/>
          <w:szCs w:val="20"/>
          <w:color w:val="auto"/>
        </w:rPr>
      </w:pPr>
    </w:p>
    <w:p>
      <w:pPr>
        <w:jc w:val="both"/>
        <w:ind w:left="340" w:hanging="332"/>
        <w:spacing w:after="0" w:line="238" w:lineRule="auto"/>
        <w:tabs>
          <w:tab w:leader="none" w:pos="340" w:val="left"/>
        </w:tabs>
        <w:numPr>
          <w:ilvl w:val="0"/>
          <w:numId w:val="16"/>
        </w:numPr>
        <w:rPr>
          <w:rFonts w:ascii="Arial" w:cs="Arial" w:eastAsia="Arial" w:hAnsi="Arial"/>
          <w:sz w:val="18"/>
          <w:szCs w:val="18"/>
          <w:b w:val="1"/>
          <w:bCs w:val="1"/>
          <w:color w:val="4D4D4F"/>
        </w:rPr>
      </w:pPr>
      <w:r>
        <w:rPr>
          <w:rFonts w:ascii="Arial" w:cs="Arial" w:eastAsia="Arial" w:hAnsi="Arial"/>
          <w:sz w:val="18"/>
          <w:szCs w:val="18"/>
          <w:color w:val="4D4D4F"/>
        </w:rPr>
        <w:t>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under the rules of the Nasdaq Global Market or NASDAQ, depend upon whether the proposal is considered a “routine” or a non-routine matter.</w:t>
      </w:r>
    </w:p>
    <w:p>
      <w:pPr>
        <w:spacing w:after="0" w:line="80" w:lineRule="exact"/>
        <w:rPr>
          <w:rFonts w:ascii="Arial" w:cs="Arial" w:eastAsia="Arial" w:hAnsi="Arial"/>
          <w:sz w:val="18"/>
          <w:szCs w:val="18"/>
          <w:b w:val="1"/>
          <w:bCs w:val="1"/>
          <w:color w:val="4D4D4F"/>
        </w:rPr>
      </w:pPr>
    </w:p>
    <w:p>
      <w:pPr>
        <w:jc w:val="both"/>
        <w:ind w:left="660" w:hanging="328"/>
        <w:spacing w:after="0"/>
        <w:tabs>
          <w:tab w:leader="none" w:pos="660" w:val="left"/>
        </w:tabs>
        <w:numPr>
          <w:ilvl w:val="1"/>
          <w:numId w:val="16"/>
        </w:numPr>
        <w:rPr>
          <w:rFonts w:ascii="Arial" w:cs="Arial" w:eastAsia="Arial" w:hAnsi="Arial"/>
          <w:sz w:val="18"/>
          <w:szCs w:val="18"/>
          <w:color w:val="4D4D4F"/>
        </w:rPr>
      </w:pPr>
      <w:r>
        <w:rPr>
          <w:rFonts w:ascii="Arial" w:cs="Arial" w:eastAsia="Arial" w:hAnsi="Arial"/>
          <w:sz w:val="18"/>
          <w:szCs w:val="18"/>
          <w:color w:val="4D4D4F"/>
        </w:rPr>
        <w:t>The organization generally may vote your beneficially owned shares on routine items for which you have not provided voting instructions to the organization. The only routine matter expected to be voted on at the Annual Meeting is the ratification of the appointment of our independent auditor for 2021 (Proposal 3 ).</w:t>
      </w:r>
    </w:p>
    <w:p>
      <w:pPr>
        <w:spacing w:after="0" w:line="81" w:lineRule="exact"/>
        <w:rPr>
          <w:rFonts w:ascii="Arial" w:cs="Arial" w:eastAsia="Arial" w:hAnsi="Arial"/>
          <w:sz w:val="18"/>
          <w:szCs w:val="18"/>
          <w:color w:val="4D4D4F"/>
        </w:rPr>
      </w:pPr>
    </w:p>
    <w:p>
      <w:pPr>
        <w:ind w:left="660" w:hanging="328"/>
        <w:spacing w:after="0" w:line="246" w:lineRule="auto"/>
        <w:tabs>
          <w:tab w:leader="none" w:pos="660" w:val="left"/>
        </w:tabs>
        <w:numPr>
          <w:ilvl w:val="1"/>
          <w:numId w:val="16"/>
        </w:numPr>
        <w:rPr>
          <w:rFonts w:ascii="Arial" w:cs="Arial" w:eastAsia="Arial" w:hAnsi="Arial"/>
          <w:sz w:val="18"/>
          <w:szCs w:val="18"/>
          <w:color w:val="4D4D4F"/>
        </w:rPr>
      </w:pPr>
      <w:r>
        <w:rPr>
          <w:rFonts w:ascii="Arial" w:cs="Arial" w:eastAsia="Arial" w:hAnsi="Arial"/>
          <w:sz w:val="18"/>
          <w:szCs w:val="18"/>
          <w:color w:val="4D4D4F"/>
        </w:rPr>
        <w:t>The organization generally may not vote on non-routine matters, including Proposals 1, 2 and 4. Instead, it will inform the inspector of election that it does not have the authority to vote on those matters. This is referred to as a “broker non-vote.”</w:t>
      </w:r>
    </w:p>
    <w:p>
      <w:pPr>
        <w:spacing w:after="0" w:line="62" w:lineRule="exact"/>
        <w:rPr>
          <w:sz w:val="20"/>
          <w:szCs w:val="20"/>
          <w:color w:val="auto"/>
        </w:rPr>
      </w:pPr>
    </w:p>
    <w:p>
      <w:pPr>
        <w:ind w:left="340" w:right="20"/>
        <w:spacing w:after="0" w:line="246" w:lineRule="auto"/>
        <w:rPr>
          <w:sz w:val="20"/>
          <w:szCs w:val="20"/>
          <w:color w:val="auto"/>
        </w:rPr>
      </w:pPr>
      <w:r>
        <w:rPr>
          <w:rFonts w:ascii="Arial" w:cs="Arial" w:eastAsia="Arial" w:hAnsi="Arial"/>
          <w:sz w:val="18"/>
          <w:szCs w:val="18"/>
          <w:color w:val="4D4D4F"/>
        </w:rPr>
        <w:t>For the purpose of determining a quorum, we will treat as present at the Annual Meeting any proxies that are voted on any of the four proposals to be acted upon by the stockholders, including abstentions or proxies containing broker non-votes.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How do I vote my shares if I do not attend the Annual Meeting?</w:t>
      </w:r>
    </w:p>
    <w:p>
      <w:pPr>
        <w:spacing w:after="0" w:line="18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4D4D4F"/>
        </w:rPr>
      </w:pPr>
      <w:r>
        <w:rPr>
          <w:rFonts w:ascii="Arial" w:cs="Arial" w:eastAsia="Arial" w:hAnsi="Arial"/>
          <w:sz w:val="18"/>
          <w:szCs w:val="18"/>
          <w:b w:val="1"/>
          <w:bCs w:val="1"/>
          <w:color w:val="4D4D4F"/>
        </w:rPr>
        <w:t xml:space="preserve">If you are a stockholder of record, </w:t>
      </w:r>
      <w:r>
        <w:rPr>
          <w:rFonts w:ascii="Arial" w:cs="Arial" w:eastAsia="Arial" w:hAnsi="Arial"/>
          <w:sz w:val="18"/>
          <w:szCs w:val="18"/>
          <w:color w:val="4D4D4F"/>
        </w:rPr>
        <w:t>you may vote prior to the Annual Meeting as follows:</w:t>
      </w:r>
    </w:p>
    <w:p>
      <w:pPr>
        <w:spacing w:after="0" w:line="80" w:lineRule="exact"/>
        <w:rPr>
          <w:rFonts w:ascii="Arial" w:cs="Arial" w:eastAsia="Arial" w:hAnsi="Arial"/>
          <w:sz w:val="18"/>
          <w:szCs w:val="18"/>
          <w:b w:val="1"/>
          <w:bCs w:val="1"/>
          <w:color w:val="4D4D4F"/>
        </w:rPr>
      </w:pPr>
    </w:p>
    <w:p>
      <w:pPr>
        <w:ind w:left="2360" w:hanging="2082"/>
        <w:spacing w:after="0" w:line="245" w:lineRule="auto"/>
        <w:tabs>
          <w:tab w:leader="none" w:pos="686" w:val="left"/>
        </w:tabs>
        <w:numPr>
          <w:ilvl w:val="1"/>
          <w:numId w:val="17"/>
        </w:numPr>
        <w:rPr>
          <w:rFonts w:ascii="Arial" w:cs="Arial" w:eastAsia="Arial" w:hAnsi="Arial"/>
          <w:sz w:val="18"/>
          <w:szCs w:val="18"/>
          <w:color w:val="4D4D4F"/>
        </w:rPr>
      </w:pPr>
      <w:r>
        <w:rPr>
          <w:rFonts w:ascii="Arial" w:cs="Arial" w:eastAsia="Arial" w:hAnsi="Arial"/>
          <w:sz w:val="18"/>
          <w:szCs w:val="18"/>
          <w:i w:val="1"/>
          <w:iCs w:val="1"/>
          <w:color w:val="4D4D4F"/>
        </w:rPr>
        <w:t>Via the Internet:</w:t>
      </w:r>
      <w:r>
        <w:rPr>
          <w:rFonts w:ascii="Arial" w:cs="Arial" w:eastAsia="Arial" w:hAnsi="Arial"/>
          <w:sz w:val="18"/>
          <w:szCs w:val="18"/>
          <w:color w:val="4D4D4F"/>
        </w:rPr>
        <w:t xml:space="preserve">You may vote via the Internet by going to </w:t>
      </w:r>
      <w:r>
        <w:rPr>
          <w:rFonts w:ascii="Arial" w:cs="Arial" w:eastAsia="Arial" w:hAnsi="Arial"/>
          <w:sz w:val="18"/>
          <w:szCs w:val="18"/>
          <w:i w:val="1"/>
          <w:iCs w:val="1"/>
          <w:color w:val="000000"/>
        </w:rPr>
        <w:t>proxyvote.com</w:t>
      </w:r>
      <w:r>
        <w:rPr>
          <w:rFonts w:ascii="Arial" w:cs="Arial" w:eastAsia="Arial" w:hAnsi="Arial"/>
          <w:sz w:val="18"/>
          <w:szCs w:val="18"/>
          <w:color w:val="4D4D4F"/>
        </w:rPr>
        <w:t>, in accordance with the voting instructions on the Notice of Internet Availability or proxy card. Internet voting is available 24 hours a day until 11:59 p.m., Eastern time, on June 1, 2021. You will be given the opportunity to confirm that your instructions have been recorded properly.</w:t>
      </w:r>
    </w:p>
    <w:p>
      <w:pPr>
        <w:spacing w:after="0" w:line="59" w:lineRule="exact"/>
        <w:rPr>
          <w:rFonts w:ascii="Arial" w:cs="Arial" w:eastAsia="Arial" w:hAnsi="Arial"/>
          <w:sz w:val="18"/>
          <w:szCs w:val="18"/>
          <w:color w:val="4D4D4F"/>
        </w:rPr>
      </w:pPr>
    </w:p>
    <w:p>
      <w:pPr>
        <w:ind w:left="2360" w:hanging="2082"/>
        <w:spacing w:after="0" w:line="238" w:lineRule="auto"/>
        <w:tabs>
          <w:tab w:leader="none" w:pos="686" w:val="left"/>
        </w:tabs>
        <w:numPr>
          <w:ilvl w:val="1"/>
          <w:numId w:val="17"/>
        </w:numPr>
        <w:rPr>
          <w:rFonts w:ascii="Arial" w:cs="Arial" w:eastAsia="Arial" w:hAnsi="Arial"/>
          <w:sz w:val="18"/>
          <w:szCs w:val="18"/>
          <w:color w:val="4D4D4F"/>
        </w:rPr>
      </w:pPr>
      <w:r>
        <w:rPr>
          <w:rFonts w:ascii="Arial" w:cs="Arial" w:eastAsia="Arial" w:hAnsi="Arial"/>
          <w:sz w:val="18"/>
          <w:szCs w:val="18"/>
          <w:i w:val="1"/>
          <w:iCs w:val="1"/>
          <w:color w:val="4D4D4F"/>
        </w:rPr>
        <w:t>By Telephone</w:t>
      </w:r>
      <w:r>
        <w:rPr>
          <w:rFonts w:ascii="Arial" w:cs="Arial" w:eastAsia="Arial" w:hAnsi="Arial"/>
          <w:sz w:val="18"/>
          <w:szCs w:val="18"/>
          <w:color w:val="4D4D4F"/>
        </w:rPr>
        <w:t>:You may vote by calling +1.800.690.6903 and following the instructions provided on the telephone line. Telephone voting is available 24 hours a day until 11:59 p.m., Eastern time, on June 1, 2021. Easy-to-follow voice prompts will allow you to vote your shares and confirm that your instructions have been recorded properly.</w:t>
      </w:r>
    </w:p>
    <w:p>
      <w:pPr>
        <w:spacing w:after="0" w:line="83" w:lineRule="exact"/>
        <w:rPr>
          <w:rFonts w:ascii="Arial" w:cs="Arial" w:eastAsia="Arial" w:hAnsi="Arial"/>
          <w:sz w:val="18"/>
          <w:szCs w:val="18"/>
          <w:color w:val="4D4D4F"/>
        </w:rPr>
      </w:pPr>
    </w:p>
    <w:p>
      <w:pPr>
        <w:ind w:left="2360" w:hanging="2082"/>
        <w:spacing w:after="0" w:line="246" w:lineRule="auto"/>
        <w:tabs>
          <w:tab w:leader="none" w:pos="686" w:val="left"/>
        </w:tabs>
        <w:numPr>
          <w:ilvl w:val="1"/>
          <w:numId w:val="17"/>
        </w:numPr>
        <w:rPr>
          <w:rFonts w:ascii="Arial" w:cs="Arial" w:eastAsia="Arial" w:hAnsi="Arial"/>
          <w:sz w:val="18"/>
          <w:szCs w:val="18"/>
          <w:color w:val="4D4D4F"/>
        </w:rPr>
      </w:pPr>
      <w:r>
        <w:rPr>
          <w:rFonts w:ascii="Arial" w:cs="Arial" w:eastAsia="Arial" w:hAnsi="Arial"/>
          <w:sz w:val="18"/>
          <w:szCs w:val="18"/>
          <w:i w:val="1"/>
          <w:iCs w:val="1"/>
          <w:color w:val="4D4D4F"/>
        </w:rPr>
        <w:t>By Mail</w:t>
      </w:r>
      <w:r>
        <w:rPr>
          <w:rFonts w:ascii="Arial" w:cs="Arial" w:eastAsia="Arial" w:hAnsi="Arial"/>
          <w:sz w:val="18"/>
          <w:szCs w:val="18"/>
          <w:color w:val="4D4D4F"/>
        </w:rPr>
        <w:t>:If you obtain a proxy card by mail, you may vote by returning the completed and signed proxy card in a postage-paid return envelope that will be provided with the proxy card.</w:t>
      </w:r>
    </w:p>
    <w:p>
      <w:pPr>
        <w:spacing w:after="0" w:line="71"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b w:val="1"/>
          <w:bCs w:val="1"/>
          <w:color w:val="4D4D4F"/>
        </w:rPr>
        <w:t xml:space="preserve">If you hold shares in street name, </w:t>
      </w:r>
      <w:r>
        <w:rPr>
          <w:rFonts w:ascii="Arial" w:cs="Arial" w:eastAsia="Arial" w:hAnsi="Arial"/>
          <w:sz w:val="18"/>
          <w:szCs w:val="18"/>
          <w:color w:val="4D4D4F"/>
        </w:rPr>
        <w:t>you may vote by following the voting instructions provided by your bank, broker or other nominee. In</w:t>
      </w:r>
      <w:r>
        <w:rPr>
          <w:rFonts w:ascii="Arial" w:cs="Arial" w:eastAsia="Arial" w:hAnsi="Arial"/>
          <w:sz w:val="18"/>
          <w:szCs w:val="18"/>
          <w:b w:val="1"/>
          <w:bCs w:val="1"/>
          <w:color w:val="4D4D4F"/>
        </w:rPr>
        <w:t xml:space="preserve"> </w:t>
      </w:r>
      <w:r>
        <w:rPr>
          <w:rFonts w:ascii="Arial" w:cs="Arial" w:eastAsia="Arial" w:hAnsi="Arial"/>
          <w:sz w:val="18"/>
          <w:szCs w:val="18"/>
          <w:color w:val="4D4D4F"/>
        </w:rPr>
        <w:t>general, you may vote prior to the Annual Meeting as follows:</w:t>
      </w:r>
    </w:p>
    <w:p>
      <w:pPr>
        <w:spacing w:after="0" w:line="36" w:lineRule="exact"/>
        <w:rPr>
          <w:sz w:val="20"/>
          <w:szCs w:val="20"/>
          <w:color w:val="auto"/>
        </w:rPr>
      </w:pPr>
    </w:p>
    <w:p>
      <w:pPr>
        <w:ind w:left="2360" w:hanging="2082"/>
        <w:spacing w:after="0" w:line="245" w:lineRule="auto"/>
        <w:tabs>
          <w:tab w:leader="none" w:pos="686" w:val="left"/>
        </w:tabs>
        <w:numPr>
          <w:ilvl w:val="0"/>
          <w:numId w:val="18"/>
        </w:numPr>
        <w:rPr>
          <w:rFonts w:ascii="Arial" w:cs="Arial" w:eastAsia="Arial" w:hAnsi="Arial"/>
          <w:sz w:val="18"/>
          <w:szCs w:val="18"/>
          <w:color w:val="4D4D4F"/>
        </w:rPr>
      </w:pPr>
      <w:r>
        <w:rPr>
          <w:rFonts w:ascii="Arial" w:cs="Arial" w:eastAsia="Arial" w:hAnsi="Arial"/>
          <w:sz w:val="18"/>
          <w:szCs w:val="18"/>
          <w:i w:val="1"/>
          <w:iCs w:val="1"/>
          <w:color w:val="4D4D4F"/>
        </w:rPr>
        <w:t>Via the Internet:</w:t>
      </w:r>
      <w:r>
        <w:rPr>
          <w:rFonts w:ascii="Arial" w:cs="Arial" w:eastAsia="Arial" w:hAnsi="Arial"/>
          <w:sz w:val="18"/>
          <w:szCs w:val="18"/>
          <w:color w:val="4D4D4F"/>
        </w:rPr>
        <w:t xml:space="preserve">You may vote via the Internet by going to </w:t>
      </w:r>
      <w:r>
        <w:rPr>
          <w:rFonts w:ascii="Arial" w:cs="Arial" w:eastAsia="Arial" w:hAnsi="Arial"/>
          <w:sz w:val="18"/>
          <w:szCs w:val="18"/>
          <w:i w:val="1"/>
          <w:iCs w:val="1"/>
          <w:color w:val="000000"/>
        </w:rPr>
        <w:t>proxyvote.com</w:t>
      </w:r>
      <w:r>
        <w:rPr>
          <w:rFonts w:ascii="Arial" w:cs="Arial" w:eastAsia="Arial" w:hAnsi="Arial"/>
          <w:sz w:val="18"/>
          <w:szCs w:val="18"/>
          <w:color w:val="4D4D4F"/>
        </w:rPr>
        <w:t>, in accordance with the voting instructions on the Notice of Internet Availability or proxy card. Internet voting is available 24 hours a day until 11:59 p.m., Eastern time, on June 1, 2021. You will be given the opportunity to confirm that your instructions have been recorded properly.</w:t>
      </w:r>
    </w:p>
    <w:p>
      <w:pPr>
        <w:spacing w:after="0" w:line="59" w:lineRule="exact"/>
        <w:rPr>
          <w:rFonts w:ascii="Arial" w:cs="Arial" w:eastAsia="Arial" w:hAnsi="Arial"/>
          <w:sz w:val="18"/>
          <w:szCs w:val="18"/>
          <w:color w:val="4D4D4F"/>
        </w:rPr>
      </w:pPr>
    </w:p>
    <w:p>
      <w:pPr>
        <w:ind w:left="2360" w:hanging="2082"/>
        <w:spacing w:after="0"/>
        <w:tabs>
          <w:tab w:leader="none" w:pos="686" w:val="left"/>
        </w:tabs>
        <w:numPr>
          <w:ilvl w:val="0"/>
          <w:numId w:val="18"/>
        </w:numPr>
        <w:rPr>
          <w:rFonts w:ascii="Arial" w:cs="Arial" w:eastAsia="Arial" w:hAnsi="Arial"/>
          <w:sz w:val="18"/>
          <w:szCs w:val="18"/>
          <w:color w:val="4D4D4F"/>
        </w:rPr>
      </w:pPr>
      <w:r>
        <w:rPr>
          <w:rFonts w:ascii="Arial" w:cs="Arial" w:eastAsia="Arial" w:hAnsi="Arial"/>
          <w:sz w:val="18"/>
          <w:szCs w:val="18"/>
          <w:i w:val="1"/>
          <w:iCs w:val="1"/>
          <w:color w:val="4D4D4F"/>
        </w:rPr>
        <w:t>By Telephone:</w:t>
      </w:r>
      <w:r>
        <w:rPr>
          <w:rFonts w:ascii="Arial" w:cs="Arial" w:eastAsia="Arial" w:hAnsi="Arial"/>
          <w:sz w:val="18"/>
          <w:szCs w:val="18"/>
          <w:color w:val="4D4D4F"/>
        </w:rPr>
        <w:t>You may vote by calling +1.800.690.6903 and following the instructions provided on the telephone line. Telephone voting is available 24 hours a day until 11:59 p.m., Eastern time, on June 1, 2021. Easy-to-follow voice prompts allow you to vote your shares and confirm that your instructions have been recorded properly.</w:t>
      </w:r>
    </w:p>
    <w:p>
      <w:pPr>
        <w:spacing w:after="0" w:line="194"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4D4D4F"/>
        </w:rPr>
        <w:t>For your information, voting via the Internet is the least expensive to ACM, followed by telephone voting, with voting by mail being the most expensive.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Can I vote at the Annual Meeting?</w:t>
      </w:r>
    </w:p>
    <w:p>
      <w:pPr>
        <w:spacing w:after="0" w:line="188" w:lineRule="exact"/>
        <w:rPr>
          <w:sz w:val="20"/>
          <w:szCs w:val="20"/>
          <w:color w:val="auto"/>
        </w:rPr>
      </w:pPr>
    </w:p>
    <w:p>
      <w:pPr>
        <w:jc w:val="both"/>
        <w:ind w:left="340" w:hanging="332"/>
        <w:spacing w:after="0"/>
        <w:tabs>
          <w:tab w:leader="none" w:pos="340" w:val="left"/>
        </w:tabs>
        <w:numPr>
          <w:ilvl w:val="0"/>
          <w:numId w:val="19"/>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you may vote virtually at the Annual Meeting, whether or not you previously voted. If your shares are held in street name, you must obtain a written proxy, executed in your favor, from the stockholder of record to be able to vote at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Can I ask questions at the Annual Meeting?</w:t>
      </w:r>
    </w:p>
    <w:p>
      <w:pPr>
        <w:spacing w:after="0" w:line="202" w:lineRule="exact"/>
        <w:rPr>
          <w:sz w:val="20"/>
          <w:szCs w:val="20"/>
          <w:color w:val="auto"/>
        </w:rPr>
      </w:pPr>
    </w:p>
    <w:p>
      <w:pPr>
        <w:jc w:val="both"/>
        <w:ind w:left="340" w:hanging="332"/>
        <w:spacing w:after="0" w:line="236" w:lineRule="auto"/>
        <w:tabs>
          <w:tab w:leader="none" w:pos="340" w:val="left"/>
        </w:tabs>
        <w:numPr>
          <w:ilvl w:val="0"/>
          <w:numId w:val="20"/>
        </w:numPr>
        <w:rPr>
          <w:rFonts w:ascii="Arial" w:cs="Arial" w:eastAsia="Arial" w:hAnsi="Arial"/>
          <w:sz w:val="18"/>
          <w:szCs w:val="18"/>
          <w:b w:val="1"/>
          <w:bCs w:val="1"/>
          <w:color w:val="4D4D4F"/>
        </w:rPr>
      </w:pPr>
      <w:r>
        <w:rPr>
          <w:rFonts w:ascii="Arial" w:cs="Arial" w:eastAsia="Arial" w:hAnsi="Arial"/>
          <w:sz w:val="18"/>
          <w:szCs w:val="18"/>
          <w:color w:val="4D4D4F"/>
        </w:rPr>
        <w:t xml:space="preserve">You may submit questions via the Internet during the Annual Meeting by participating in the webcast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 We will answer any timely submitted questions on a matter to be voted on at the Annual</w:t>
      </w:r>
      <w:r>
        <w:rPr>
          <w:rFonts w:ascii="Arial" w:cs="Arial" w:eastAsia="Arial" w:hAnsi="Arial"/>
          <w:sz w:val="18"/>
          <w:szCs w:val="18"/>
          <w:i w:val="1"/>
          <w:iCs w:val="1"/>
          <w:color w:val="4D4D4F"/>
        </w:rPr>
        <w:t xml:space="preserve"> </w:t>
      </w:r>
      <w:r>
        <w:rPr>
          <w:rFonts w:ascii="Arial" w:cs="Arial" w:eastAsia="Arial" w:hAnsi="Arial"/>
          <w:sz w:val="18"/>
          <w:szCs w:val="18"/>
          <w:color w:val="4D4D4F"/>
        </w:rPr>
        <w:t xml:space="preserve">Meeting before voting is closed on the matter. Following adjournment of the formal business of the Annual Meeting, we will address appropriate general questions from stockholders regarding ACM in the order in which the questions are received. Questions relating to the stockholder proposals or ACM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2021 Rules of Conduct and Procedure, a copy of which is attached as </w:t>
      </w:r>
      <w:r>
        <w:rPr>
          <w:rFonts w:ascii="Arial" w:cs="Arial" w:eastAsia="Arial" w:hAnsi="Arial"/>
          <w:sz w:val="18"/>
          <w:szCs w:val="18"/>
          <w:i w:val="1"/>
          <w:iCs w:val="1"/>
          <w:color w:val="4D4D4F"/>
        </w:rPr>
        <w:t>Appendix B</w:t>
      </w:r>
      <w:r>
        <w:rPr>
          <w:rFonts w:ascii="Arial" w:cs="Arial" w:eastAsia="Arial" w:hAnsi="Arial"/>
          <w:sz w:val="18"/>
          <w:szCs w:val="18"/>
          <w:color w:val="4D4D4F"/>
        </w:rPr>
        <w:t xml:space="preserve"> to this Proxy Statement</w:t>
      </w:r>
      <w:r>
        <w:rPr>
          <w:rFonts w:ascii="Arial" w:cs="Arial" w:eastAsia="Arial" w:hAnsi="Arial"/>
          <w:sz w:val="18"/>
          <w:szCs w:val="18"/>
          <w:i w:val="1"/>
          <w:iCs w:val="1"/>
          <w:color w:val="4D4D4F"/>
        </w:rPr>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Why is the Annual Meeting being conducted as a virtual meeting?</w:t>
      </w:r>
    </w:p>
    <w:p>
      <w:pPr>
        <w:spacing w:after="0" w:line="188" w:lineRule="exact"/>
        <w:rPr>
          <w:sz w:val="20"/>
          <w:szCs w:val="20"/>
          <w:color w:val="auto"/>
        </w:rPr>
      </w:pPr>
    </w:p>
    <w:p>
      <w:pPr>
        <w:jc w:val="both"/>
        <w:ind w:left="340" w:hanging="332"/>
        <w:spacing w:after="0" w:line="237" w:lineRule="auto"/>
        <w:tabs>
          <w:tab w:leader="none" w:pos="340" w:val="left"/>
        </w:tabs>
        <w:numPr>
          <w:ilvl w:val="0"/>
          <w:numId w:val="21"/>
        </w:numPr>
        <w:rPr>
          <w:rFonts w:ascii="Arial" w:cs="Arial" w:eastAsia="Arial" w:hAnsi="Arial"/>
          <w:sz w:val="18"/>
          <w:szCs w:val="18"/>
          <w:b w:val="1"/>
          <w:bCs w:val="1"/>
          <w:color w:val="4D4D4F"/>
        </w:rPr>
      </w:pPr>
      <w:r>
        <w:rPr>
          <w:rFonts w:ascii="Arial" w:cs="Arial" w:eastAsia="Arial" w:hAnsi="Arial"/>
          <w:sz w:val="18"/>
          <w:szCs w:val="18"/>
          <w:color w:val="4D4D4F"/>
        </w:rPr>
        <w:t>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internet-connected devices, including smart phones and tablet, laptop or desktop computers. The virtual meeting format also will allow stockholders to maintain their own personal safety in light of the ongoing public health risks attributable to the COVID-19 (Coronavirus) pandemic.</w:t>
      </w:r>
    </w:p>
    <w:p>
      <w:pPr>
        <w:spacing w:after="0" w:line="83" w:lineRule="exact"/>
        <w:rPr>
          <w:rFonts w:ascii="Arial" w:cs="Arial" w:eastAsia="Arial" w:hAnsi="Arial"/>
          <w:sz w:val="18"/>
          <w:szCs w:val="18"/>
          <w:b w:val="1"/>
          <w:bCs w:val="1"/>
          <w:color w:val="4D4D4F"/>
        </w:rPr>
      </w:pPr>
    </w:p>
    <w:p>
      <w:pPr>
        <w:jc w:val="both"/>
        <w:ind w:left="340"/>
        <w:spacing w:after="0" w:line="238" w:lineRule="auto"/>
        <w:rPr>
          <w:rFonts w:ascii="Arial" w:cs="Arial" w:eastAsia="Arial" w:hAnsi="Arial"/>
          <w:sz w:val="18"/>
          <w:szCs w:val="18"/>
          <w:b w:val="1"/>
          <w:bCs w:val="1"/>
          <w:color w:val="4D4D4F"/>
        </w:rPr>
      </w:pPr>
      <w:r>
        <w:rPr>
          <w:rFonts w:ascii="Arial" w:cs="Arial" w:eastAsia="Arial" w:hAnsi="Arial"/>
          <w:sz w:val="18"/>
          <w:szCs w:val="18"/>
          <w:color w:val="4D4D4F"/>
        </w:rPr>
        <w:t>We will be able to engage with all stockholders as opposed to just those who can afford to travel to an in-person meeting. The virtual format allows stockholders to submit questions and comments during the meeting. We are utilizing technology from Broadridge, a leading virtual meeting solution. The Broadridge platform is expected to accommodate most, if not all, stockholders. Both we and Broadridge will test the platform technology before going “live” for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If I am unable to participate in the live audio webcast of the Annual Meeting, may I listen at a later date?</w:t>
      </w:r>
    </w:p>
    <w:p>
      <w:pPr>
        <w:spacing w:after="0" w:line="170" w:lineRule="exact"/>
        <w:rPr>
          <w:sz w:val="20"/>
          <w:szCs w:val="20"/>
          <w:color w:val="auto"/>
        </w:rPr>
      </w:pPr>
    </w:p>
    <w:p>
      <w:pPr>
        <w:ind w:left="340" w:right="20" w:hanging="332"/>
        <w:spacing w:after="0" w:line="250" w:lineRule="auto"/>
        <w:tabs>
          <w:tab w:leader="none" w:pos="340" w:val="left"/>
        </w:tabs>
        <w:numPr>
          <w:ilvl w:val="0"/>
          <w:numId w:val="22"/>
        </w:numPr>
        <w:rPr>
          <w:rFonts w:ascii="Arial" w:cs="Arial" w:eastAsia="Arial" w:hAnsi="Arial"/>
          <w:sz w:val="18"/>
          <w:szCs w:val="18"/>
          <w:b w:val="1"/>
          <w:bCs w:val="1"/>
          <w:color w:val="4D4D4F"/>
        </w:rPr>
      </w:pPr>
      <w:r>
        <w:rPr>
          <w:rFonts w:ascii="Arial" w:cs="Arial" w:eastAsia="Arial" w:hAnsi="Arial"/>
          <w:sz w:val="18"/>
          <w:szCs w:val="18"/>
          <w:color w:val="4D4D4F"/>
        </w:rPr>
        <w:t xml:space="preserve">An audio replay of the Annual Meeting will be posted and publicly available at </w:t>
      </w:r>
      <w:r>
        <w:rPr>
          <w:rFonts w:ascii="Arial" w:cs="Arial" w:eastAsia="Arial" w:hAnsi="Arial"/>
          <w:sz w:val="18"/>
          <w:szCs w:val="18"/>
          <w:i w:val="1"/>
          <w:iCs w:val="1"/>
          <w:color w:val="4D4D4F"/>
        </w:rPr>
        <w:t>ir.acmrcsh.com/presentations</w:t>
      </w:r>
      <w:r>
        <w:rPr>
          <w:rFonts w:ascii="Arial" w:cs="Arial" w:eastAsia="Arial" w:hAnsi="Arial"/>
          <w:sz w:val="18"/>
          <w:szCs w:val="18"/>
          <w:color w:val="4D4D4F"/>
        </w:rPr>
        <w:t xml:space="preserve"> following the Annual Meeting and will remain publicly available until our next annual meeting of stockholders in 2022. This audio replay will cover the entire Annual Meeting, including each stockholder question addressed during the Annual Meeting.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May I change my vote or revoke my proxy?</w:t>
      </w:r>
    </w:p>
    <w:p>
      <w:pPr>
        <w:spacing w:after="0" w:line="188" w:lineRule="exact"/>
        <w:rPr>
          <w:sz w:val="20"/>
          <w:szCs w:val="20"/>
          <w:color w:val="auto"/>
        </w:rPr>
      </w:pPr>
    </w:p>
    <w:p>
      <w:pPr>
        <w:ind w:left="340" w:right="20" w:hanging="332"/>
        <w:spacing w:after="0" w:line="246" w:lineRule="auto"/>
        <w:tabs>
          <w:tab w:leader="none" w:pos="340" w:val="left"/>
        </w:tabs>
        <w:numPr>
          <w:ilvl w:val="0"/>
          <w:numId w:val="23"/>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and previously delivered a proxy, you may subsequently change or revoke your proxy at any time before it is exercised by:</w:t>
      </w:r>
    </w:p>
    <w:p>
      <w:pPr>
        <w:spacing w:after="0" w:line="34" w:lineRule="exact"/>
        <w:rPr>
          <w:rFonts w:ascii="Arial" w:cs="Arial" w:eastAsia="Arial" w:hAnsi="Arial"/>
          <w:sz w:val="18"/>
          <w:szCs w:val="18"/>
          <w:b w:val="1"/>
          <w:bCs w:val="1"/>
          <w:color w:val="4D4D4F"/>
        </w:rPr>
      </w:pPr>
    </w:p>
    <w:p>
      <w:pPr>
        <w:ind w:left="660" w:hanging="328"/>
        <w:spacing w:after="0"/>
        <w:tabs>
          <w:tab w:leader="none" w:pos="660" w:val="left"/>
        </w:tabs>
        <w:numPr>
          <w:ilvl w:val="1"/>
          <w:numId w:val="23"/>
        </w:numPr>
        <w:rPr>
          <w:rFonts w:ascii="Arial" w:cs="Arial" w:eastAsia="Arial" w:hAnsi="Arial"/>
          <w:sz w:val="18"/>
          <w:szCs w:val="18"/>
          <w:color w:val="4D4D4F"/>
        </w:rPr>
      </w:pPr>
      <w:r>
        <w:rPr>
          <w:rFonts w:ascii="Arial" w:cs="Arial" w:eastAsia="Arial" w:hAnsi="Arial"/>
          <w:sz w:val="18"/>
          <w:szCs w:val="18"/>
          <w:color w:val="4D4D4F"/>
        </w:rPr>
        <w:t>voting via the Internet or telephone at a later time;</w:t>
      </w:r>
    </w:p>
    <w:p>
      <w:pPr>
        <w:spacing w:after="0" w:line="49" w:lineRule="exact"/>
        <w:rPr>
          <w:rFonts w:ascii="Arial" w:cs="Arial" w:eastAsia="Arial" w:hAnsi="Arial"/>
          <w:sz w:val="18"/>
          <w:szCs w:val="18"/>
          <w:color w:val="4D4D4F"/>
        </w:rPr>
      </w:pPr>
    </w:p>
    <w:p>
      <w:pPr>
        <w:ind w:left="660" w:hanging="328"/>
        <w:spacing w:after="0"/>
        <w:tabs>
          <w:tab w:leader="none" w:pos="660" w:val="left"/>
        </w:tabs>
        <w:numPr>
          <w:ilvl w:val="1"/>
          <w:numId w:val="23"/>
        </w:numPr>
        <w:rPr>
          <w:rFonts w:ascii="Arial" w:cs="Arial" w:eastAsia="Arial" w:hAnsi="Arial"/>
          <w:sz w:val="18"/>
          <w:szCs w:val="18"/>
          <w:color w:val="4D4D4F"/>
        </w:rPr>
      </w:pPr>
      <w:r>
        <w:rPr>
          <w:rFonts w:ascii="Arial" w:cs="Arial" w:eastAsia="Arial" w:hAnsi="Arial"/>
          <w:sz w:val="18"/>
          <w:szCs w:val="18"/>
          <w:color w:val="4D4D4F"/>
        </w:rPr>
        <w:t>submitting a completed and signed proxy card with a later date; or</w:t>
      </w:r>
    </w:p>
    <w:p>
      <w:pPr>
        <w:spacing w:after="0" w:line="49" w:lineRule="exact"/>
        <w:rPr>
          <w:rFonts w:ascii="Arial" w:cs="Arial" w:eastAsia="Arial" w:hAnsi="Arial"/>
          <w:sz w:val="18"/>
          <w:szCs w:val="18"/>
          <w:color w:val="4D4D4F"/>
        </w:rPr>
      </w:pPr>
    </w:p>
    <w:p>
      <w:pPr>
        <w:ind w:left="660" w:hanging="328"/>
        <w:spacing w:after="0"/>
        <w:tabs>
          <w:tab w:leader="none" w:pos="660" w:val="left"/>
        </w:tabs>
        <w:numPr>
          <w:ilvl w:val="1"/>
          <w:numId w:val="23"/>
        </w:numPr>
        <w:rPr>
          <w:rFonts w:ascii="Arial" w:cs="Arial" w:eastAsia="Arial" w:hAnsi="Arial"/>
          <w:sz w:val="18"/>
          <w:szCs w:val="18"/>
          <w:color w:val="4D4D4F"/>
        </w:rPr>
      </w:pPr>
      <w:r>
        <w:rPr>
          <w:rFonts w:ascii="Arial" w:cs="Arial" w:eastAsia="Arial" w:hAnsi="Arial"/>
          <w:sz w:val="18"/>
          <w:szCs w:val="18"/>
          <w:color w:val="4D4D4F"/>
        </w:rPr>
        <w:t>voting via the Internet at the Annual Meeting.</w:t>
      </w:r>
    </w:p>
    <w:p>
      <w:pPr>
        <w:spacing w:after="0" w:line="50" w:lineRule="exact"/>
        <w:rPr>
          <w:sz w:val="20"/>
          <w:szCs w:val="20"/>
          <w:color w:val="auto"/>
        </w:rPr>
      </w:pPr>
    </w:p>
    <w:p>
      <w:pPr>
        <w:ind w:left="340"/>
        <w:spacing w:after="0" w:line="246" w:lineRule="auto"/>
        <w:rPr>
          <w:sz w:val="20"/>
          <w:szCs w:val="20"/>
          <w:color w:val="auto"/>
        </w:rPr>
      </w:pPr>
      <w:r>
        <w:rPr>
          <w:rFonts w:ascii="Arial" w:cs="Arial" w:eastAsia="Arial" w:hAnsi="Arial"/>
          <w:sz w:val="18"/>
          <w:szCs w:val="18"/>
          <w:color w:val="4D4D4F"/>
        </w:rPr>
        <w:t>If you are a beneficial owner of shares held in street name, you should contact your bank, broker or other nominee for instructions as to whether, and how, you can change or revoke your proxy.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happens if I do not give specific voting instructions?</w:t>
      </w:r>
    </w:p>
    <w:p>
      <w:pPr>
        <w:spacing w:after="0" w:line="202" w:lineRule="exact"/>
        <w:rPr>
          <w:sz w:val="20"/>
          <w:szCs w:val="20"/>
          <w:color w:val="auto"/>
        </w:rPr>
      </w:pPr>
    </w:p>
    <w:p>
      <w:pPr>
        <w:jc w:val="both"/>
        <w:ind w:left="340" w:hanging="332"/>
        <w:spacing w:after="0"/>
        <w:tabs>
          <w:tab w:leader="none" w:pos="340" w:val="left"/>
        </w:tabs>
        <w:numPr>
          <w:ilvl w:val="0"/>
          <w:numId w:val="24"/>
        </w:numPr>
        <w:rPr>
          <w:rFonts w:ascii="Arial" w:cs="Arial" w:eastAsia="Arial" w:hAnsi="Arial"/>
          <w:sz w:val="18"/>
          <w:szCs w:val="18"/>
          <w:b w:val="1"/>
          <w:bCs w:val="1"/>
          <w:color w:val="4D4D4F"/>
        </w:rPr>
      </w:pPr>
      <w:r>
        <w:rPr>
          <w:rFonts w:ascii="Arial" w:cs="Arial" w:eastAsia="Arial" w:hAnsi="Arial"/>
          <w:sz w:val="18"/>
          <w:szCs w:val="18"/>
          <w:color w:val="4D4D4F"/>
        </w:rPr>
        <w:t>If you are a stockholder of record and you return a proxy card without giving specific voting instructions, the proxy holders will vote your shares in the manner recommended by the board on each of the proposals presented in this Proxy Statement and as the proxy holders may determine in their discretion on any other matters properly presented for a vote at the Annual Meeting.</w:t>
      </w:r>
    </w:p>
    <w:p>
      <w:pPr>
        <w:spacing w:after="0" w:line="67" w:lineRule="exact"/>
        <w:rPr>
          <w:rFonts w:ascii="Arial" w:cs="Arial" w:eastAsia="Arial" w:hAnsi="Arial"/>
          <w:sz w:val="18"/>
          <w:szCs w:val="18"/>
          <w:b w:val="1"/>
          <w:bCs w:val="1"/>
          <w:color w:val="4D4D4F"/>
        </w:rPr>
      </w:pPr>
    </w:p>
    <w:p>
      <w:pPr>
        <w:jc w:val="both"/>
        <w:ind w:left="340"/>
        <w:spacing w:after="0" w:line="237" w:lineRule="auto"/>
        <w:rPr>
          <w:rFonts w:ascii="Arial" w:cs="Arial" w:eastAsia="Arial" w:hAnsi="Arial"/>
          <w:sz w:val="18"/>
          <w:szCs w:val="18"/>
          <w:b w:val="1"/>
          <w:bCs w:val="1"/>
          <w:color w:val="4D4D4F"/>
        </w:rPr>
      </w:pPr>
      <w:r>
        <w:rPr>
          <w:rFonts w:ascii="Arial" w:cs="Arial" w:eastAsia="Arial" w:hAnsi="Arial"/>
          <w:sz w:val="18"/>
          <w:szCs w:val="18"/>
          <w:color w:val="4D4D4F"/>
        </w:rPr>
        <w:t>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 expected to be voted on at the Annual Meeting is the ratification of the appointment of our independent auditor for 2021 (Proposal 2). If the organization does not receive instructions from you on how to vote your shares on Proposals 1, 3, or 4, your shares will be subject to a broker non-vote and no vote will be cast on those matters. See “</w:t>
      </w:r>
      <w:r>
        <w:rPr>
          <w:rFonts w:ascii="Arial" w:cs="Arial" w:eastAsia="Arial" w:hAnsi="Arial"/>
          <w:sz w:val="18"/>
          <w:szCs w:val="18"/>
          <w:i w:val="1"/>
          <w:iCs w:val="1"/>
          <w:color w:val="0079C0"/>
        </w:rPr>
        <w:t>Q. What does it mean for a broker or other</w:t>
      </w:r>
      <w:r>
        <w:rPr>
          <w:rFonts w:ascii="Arial" w:cs="Arial" w:eastAsia="Arial" w:hAnsi="Arial"/>
          <w:sz w:val="18"/>
          <w:szCs w:val="18"/>
          <w:color w:val="4D4D4F"/>
        </w:rPr>
        <w:t xml:space="preserve"> </w:t>
      </w:r>
      <w:r>
        <w:rPr>
          <w:rFonts w:ascii="Arial" w:cs="Arial" w:eastAsia="Arial" w:hAnsi="Arial"/>
          <w:sz w:val="18"/>
          <w:szCs w:val="18"/>
          <w:i w:val="1"/>
          <w:iCs w:val="1"/>
          <w:color w:val="0079C0"/>
        </w:rPr>
        <w:t>nominee to hold shares in ‘street name’?</w:t>
      </w:r>
      <w:r>
        <w:rPr>
          <w:rFonts w:ascii="Arial" w:cs="Arial" w:eastAsia="Arial" w:hAnsi="Arial"/>
          <w:sz w:val="18"/>
          <w:szCs w:val="18"/>
          <w:color w:val="4D4D4F"/>
        </w:rPr>
        <w:t>” above.”</w:t>
      </w:r>
    </w:p>
    <w:p>
      <w:pPr>
        <w:spacing w:after="0" w:line="178" w:lineRule="exact"/>
        <w:rPr>
          <w:sz w:val="20"/>
          <w:szCs w:val="20"/>
          <w:color w:val="auto"/>
        </w:rPr>
      </w:pPr>
    </w:p>
    <w:p>
      <w:pPr>
        <w:ind w:left="340" w:hanging="332"/>
        <w:spacing w:after="0" w:line="257" w:lineRule="auto"/>
        <w:tabs>
          <w:tab w:leader="none" w:pos="340" w:val="left"/>
        </w:tabs>
        <w:numPr>
          <w:ilvl w:val="0"/>
          <w:numId w:val="25"/>
        </w:numPr>
        <w:rPr>
          <w:rFonts w:ascii="Arial" w:cs="Arial" w:eastAsia="Arial" w:hAnsi="Arial"/>
          <w:sz w:val="20"/>
          <w:szCs w:val="20"/>
          <w:b w:val="1"/>
          <w:bCs w:val="1"/>
          <w:color w:val="0079C0"/>
        </w:rPr>
      </w:pPr>
      <w:r>
        <w:rPr>
          <w:rFonts w:ascii="Arial" w:cs="Arial" w:eastAsia="Arial" w:hAnsi="Arial"/>
          <w:sz w:val="20"/>
          <w:szCs w:val="20"/>
          <w:b w:val="1"/>
          <w:bCs w:val="1"/>
          <w:color w:val="0079C0"/>
        </w:rPr>
        <w:t>What should I do if, during check-in or the meeting, I have technical difficulties or trouble accessing the virtual meeting website?</w:t>
      </w:r>
    </w:p>
    <w:p>
      <w:pPr>
        <w:spacing w:after="0" w:line="155" w:lineRule="exact"/>
        <w:rPr>
          <w:sz w:val="20"/>
          <w:szCs w:val="20"/>
          <w:color w:val="auto"/>
        </w:rPr>
      </w:pPr>
    </w:p>
    <w:p>
      <w:pPr>
        <w:jc w:val="both"/>
        <w:ind w:left="340" w:hanging="332"/>
        <w:spacing w:after="0" w:line="238" w:lineRule="auto"/>
        <w:tabs>
          <w:tab w:leader="none" w:pos="340" w:val="left"/>
        </w:tabs>
        <w:numPr>
          <w:ilvl w:val="0"/>
          <w:numId w:val="26"/>
        </w:numPr>
        <w:rPr>
          <w:rFonts w:ascii="Arial" w:cs="Arial" w:eastAsia="Arial" w:hAnsi="Arial"/>
          <w:sz w:val="18"/>
          <w:szCs w:val="18"/>
          <w:b w:val="1"/>
          <w:bCs w:val="1"/>
          <w:color w:val="4D4D4F"/>
        </w:rPr>
      </w:pPr>
      <w:r>
        <w:rPr>
          <w:rFonts w:ascii="Arial" w:cs="Arial" w:eastAsia="Arial" w:hAnsi="Arial"/>
          <w:sz w:val="18"/>
          <w:szCs w:val="18"/>
          <w:color w:val="4D4D4F"/>
        </w:rPr>
        <w:t xml:space="preserve">Online check-in to the Annual Meeting webcast will begin at 6:45 a.m., Pacific time.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Annual Meeting. If you encounter any difficulties accessing the Annual Meeting during the check-in or at meeting time, you should call the technical support number available at </w:t>
      </w:r>
      <w:r>
        <w:rPr>
          <w:rFonts w:ascii="Arial" w:cs="Arial" w:eastAsia="Arial" w:hAnsi="Arial"/>
          <w:sz w:val="18"/>
          <w:szCs w:val="18"/>
          <w:i w:val="1"/>
          <w:iCs w:val="1"/>
          <w:color w:val="4D4D4F"/>
        </w:rPr>
        <w:t>proxyvote.com</w:t>
      </w:r>
      <w:r>
        <w:rPr>
          <w:rFonts w:ascii="Arial" w:cs="Arial" w:eastAsia="Arial" w:hAnsi="Arial"/>
          <w:sz w:val="18"/>
          <w:szCs w:val="18"/>
          <w:color w:val="4D4D4F"/>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79C0"/>
        </w:rPr>
        <w:t>Q: What if other matters are presented at the Annual Meeting?</w:t>
      </w:r>
    </w:p>
    <w:p>
      <w:pPr>
        <w:spacing w:after="0" w:line="188" w:lineRule="exact"/>
        <w:rPr>
          <w:sz w:val="20"/>
          <w:szCs w:val="20"/>
          <w:color w:val="auto"/>
        </w:rPr>
      </w:pPr>
    </w:p>
    <w:p>
      <w:pPr>
        <w:jc w:val="both"/>
        <w:ind w:left="340" w:hanging="332"/>
        <w:spacing w:after="0" w:line="238" w:lineRule="auto"/>
        <w:tabs>
          <w:tab w:leader="none" w:pos="340" w:val="left"/>
        </w:tabs>
        <w:numPr>
          <w:ilvl w:val="0"/>
          <w:numId w:val="27"/>
        </w:numPr>
        <w:rPr>
          <w:rFonts w:ascii="Arial" w:cs="Arial" w:eastAsia="Arial" w:hAnsi="Arial"/>
          <w:sz w:val="18"/>
          <w:szCs w:val="18"/>
          <w:b w:val="1"/>
          <w:bCs w:val="1"/>
          <w:color w:val="4D4D4F"/>
        </w:rPr>
      </w:pPr>
      <w:r>
        <w:rPr>
          <w:rFonts w:ascii="Arial" w:cs="Arial" w:eastAsia="Arial" w:hAnsi="Arial"/>
          <w:sz w:val="18"/>
          <w:szCs w:val="18"/>
          <w:color w:val="4D4D4F"/>
        </w:rPr>
        <w:t>If a stockholder of record provides a proxy by voting in any manner described in this Proxy Statement, the proxy holders will have the discretion to vote on any matters, other than the four proposals presented in this Proxy Statement, that are properly presented for consideration at the Annual Meeting. We are not currently aware of any other matters to be presented for consideration at the Annual Meeting.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Vote Required for Election or Approval</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Introduction</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Our only voting securities are the outstanding shares of Class A and Class B common stock, which we refer to collectively as common stock. As of the record date, which is 5 p.m., Eastern time, on April 8, 2021, there were outstanding 17,263,562 shares of Class A common stock, each of which will be entitled to one vote on each proposal, and 1,769,272 shares of Class B common stock, each of which will be entitled to twenty votes on each proposal. Based on the number of votes for each share of Class A and Class B common stock, up to a total of 52,649,002 votes can be cast on each proposal.</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Only stockholders of record as of the record date will be entitled to notice of, and to vote at, the Annual Meeting. A majority of the votes attributable to outstanding shares of common stock present virtually or represented by proxy and entitled to vote on any matters to be considered at the Annual Meeting will constitute a quorum for the transaction of business at the Annual Meeting. For the purpose of determining a quorum, we will treat as present at the Annual Meeting any proxies that are voted on any matter to be acted upon by the stockholders, as well as abstentions or any proxies containing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308610" cy="316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8610" cy="31686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0079C0"/>
        </w:rPr>
        <w:t>Election of Directors</w:t>
      </w:r>
    </w:p>
    <w:p>
      <w:pPr>
        <w:spacing w:after="0" w:line="200" w:lineRule="exact"/>
        <w:rPr>
          <w:sz w:val="20"/>
          <w:szCs w:val="20"/>
          <w:color w:val="auto"/>
        </w:rPr>
      </w:pPr>
    </w:p>
    <w:p>
      <w:pPr>
        <w:spacing w:after="0" w:line="24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Each director will be elected by plurality of the votes present in person or represented by proxy at the Annual Meeting and entitled to vote in the election of directors. Broker non-votes will not have any effect on the outcome of the election of directors, since broker non-votes are not counted as “votes cast.” Votes to “withhold” will have an effect on the outcome of the proposal only in that under our Director Resignation Policy, approved by the board of directors in October 2017, if a director receives more votes to “withhold” than “for,” such director shall promptly offer his resignation for consideration to the nominating and governance committee, which will make a recommendation to the board whether to accept or reject the resignation, or whether other action should be taken. The board will consider and act on the recommendation of the nominating and governance committee and will promptly, if required, publicly disclose its decision and the rationale behind it. The director who offers his or her resignation will not participate in the decision of the nominating and governance committee or the board. If the board accepts such resignation, then the board may fill the vacancy resulting from that resignation or may reduce the number of directors that constitutes the entire board so that no vacancy exists.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Under our certificate of incorporation, our bylaws and the Delaware General Corporation Law, a director holds office until a successor is elected and qualified or until his or her earlier resignation or removal. Each of the nominees currently serves as one of our directors. If any of the nominees is not elected at the Annual Meeting, then the Bylaws provide that the director shall offer to resign from the board of directors.</w:t>
      </w:r>
    </w:p>
    <w:p>
      <w:pPr>
        <w:spacing w:after="0" w:line="36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0079C0"/>
        </w:rPr>
        <w:t>Am</w:t>
      </w:r>
      <w:r>
        <w:rPr>
          <w:rFonts w:ascii="Arial" w:cs="Arial" w:eastAsia="Arial" w:hAnsi="Arial"/>
          <w:sz w:val="22"/>
          <w:szCs w:val="22"/>
          <w:b w:val="1"/>
          <w:bCs w:val="1"/>
          <w:color w:val="0070C0"/>
        </w:rPr>
        <w:t>endment to Cert</w:t>
      </w:r>
      <w:r>
        <w:rPr>
          <w:rFonts w:ascii="Arial" w:cs="Arial" w:eastAsia="Arial" w:hAnsi="Arial"/>
          <w:sz w:val="22"/>
          <w:szCs w:val="22"/>
          <w:b w:val="1"/>
          <w:bCs w:val="1"/>
          <w:color w:val="0079C0"/>
        </w:rPr>
        <w:t>ificate of Incorporation</w:t>
      </w:r>
    </w:p>
    <w:p>
      <w:pPr>
        <w:spacing w:after="0" w:line="200" w:lineRule="exact"/>
        <w:rPr>
          <w:sz w:val="20"/>
          <w:szCs w:val="20"/>
          <w:color w:val="auto"/>
        </w:rPr>
      </w:pP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amendment to our certificate of incorporation to effect an increase in the authorized number of shares of common stock must be approved by the affirmative vote of the stockholders representing a majority of the voting power of the outstanding capital stock, voting together as a single class on an as-converted basis. Abstentions will count as votes against this proposal, since an absolute percentage of affirmative votes is required for approval, and an abstention is not an affirmative vote. Similarly, broker non-votes will have the same effect as a vote “against” the proposal because approval requires an absolute parentage of affirmative votes.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91465"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1465" cy="325755"/>
                    </a:xfrm>
                    <a:prstGeom prst="rect">
                      <a:avLst/>
                    </a:prstGeom>
                    <a:noFill/>
                  </pic:spPr>
                </pic:pic>
              </a:graphicData>
            </a:graphic>
          </wp:anchor>
        </w:drawing>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0070C0"/>
        </w:rPr>
        <w:t>Ratification of Appointment of Independent Auditor for 2021</w:t>
      </w:r>
    </w:p>
    <w:p>
      <w:pPr>
        <w:spacing w:after="0" w:line="200" w:lineRule="exact"/>
        <w:rPr>
          <w:sz w:val="20"/>
          <w:szCs w:val="20"/>
          <w:color w:val="auto"/>
        </w:rPr>
      </w:pPr>
    </w:p>
    <w:p>
      <w:pPr>
        <w:spacing w:after="0" w:line="2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ratification of BDO China Shu Lun Pan Certified Public Accountants LLP as our independent auditor for the year ending December 31, 2021 must be approved by affirmative votes constituting a majority of the votes entitled to be voted and present virtually or represented by proxy at the Annual Meeting. Abstentions will count as votes against this proposal, since shares with respect to which the stockholder abstains will be deemed present and entitled to vote. Because this proposal is considered a routine matter, discretionary votes by brokers will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30861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0079C0"/>
        </w:rPr>
        <w:t>Advisory Vote on 2020 Executive Compensation</w:t>
      </w:r>
    </w:p>
    <w:p>
      <w:pPr>
        <w:spacing w:after="0" w:line="3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advisory vote to approve our 2020 executive compensation must be approved by affirmative votes constituting a majority of the votes entitled to be voted and present virtually or represented by proxy at the Annual Meeting. Abstentions will count as votes against this proposal, since shares with respect to which the stockholder abstains will be deemed present and entitled to vote. Broker non-votes will have no effect on the outcome of this proposal, since broker non-votes are not considered “entitled to vote” on the matter.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Corporate Governance</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of Directors Overview</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Under our bylaws and the Delaware General Corporation Law, our business and affairs are managed by or under the direction of the board of directors, which selectively delegates responsibilities to its standing committees.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The board has adopted and operates under Governance Guidelines that reflect our current governance practices in accordance with applicable statutory and regulatory requirements, including those of the SEC and Nasdaq. The Governance Guidelines are available on our website at </w:t>
      </w:r>
      <w:r>
        <w:rPr>
          <w:rFonts w:ascii="Arial" w:cs="Arial" w:eastAsia="Arial" w:hAnsi="Arial"/>
          <w:sz w:val="18"/>
          <w:szCs w:val="18"/>
          <w:i w:val="1"/>
          <w:iCs w:val="1"/>
          <w:color w:val="4D4D4F"/>
        </w:rPr>
        <w:t>ir.acmrcsh.com/static-files/3446be5b-f608-4932-86c9-d9eff14ca2ac</w:t>
      </w:r>
      <w:r>
        <w:rPr>
          <w:rFonts w:ascii="Arial" w:cs="Arial" w:eastAsia="Arial" w:hAnsi="Arial"/>
          <w:sz w:val="18"/>
          <w:szCs w:val="18"/>
          <w:color w:val="4D4D4F"/>
        </w:rPr>
        <w:t>. Under the Governance Guidelines, we expect directors to regularly attend meetings of the board and of all committees on which they serve and to review the materials sent to them in advance of those meetings. We expect nominees for election at each annual meeting of stockholders to participate in the Annual Meeting.</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held six meetings in 2020. Two directors, Zhengfan Yang and Yinan Xiang, attended 67% of the board meetings during in 2020, and our other four directors attended all of the board meetings. Mr. Yang has determined not to stand for re-election at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4D4D4F"/>
        </w:rPr>
        <w:t>The Governance Guidelines provide that the board will meet in executive session at least twice a year without management in attendance.</w:t>
      </w:r>
    </w:p>
    <w:p>
      <w:pPr>
        <w:spacing w:after="0"/>
        <w:rPr>
          <w:sz w:val="20"/>
          <w:szCs w:val="20"/>
          <w:color w:val="auto"/>
        </w:rPr>
      </w:pPr>
      <w:r>
        <w:rPr>
          <w:rFonts w:ascii="Arial" w:cs="Arial" w:eastAsia="Arial" w:hAnsi="Arial"/>
          <w:sz w:val="18"/>
          <w:szCs w:val="18"/>
          <w:color w:val="4D4D4F"/>
        </w:rPr>
        <w:t>The Lead Director presides at each executive session.</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The board maintains an audit committee, a compensation committee and a nominating and governance committee. The board has adopted charters for each of the committees, and those charters are to be reviewed annually by the committees and the board. Our website provides access to:</w:t>
      </w:r>
    </w:p>
    <w:p>
      <w:pPr>
        <w:spacing w:after="0" w:line="81" w:lineRule="exact"/>
        <w:rPr>
          <w:sz w:val="20"/>
          <w:szCs w:val="20"/>
          <w:color w:val="auto"/>
        </w:rPr>
      </w:pPr>
    </w:p>
    <w:p>
      <w:pPr>
        <w:ind w:left="340" w:right="4000" w:hanging="332"/>
        <w:spacing w:after="0" w:line="469" w:lineRule="auto"/>
        <w:tabs>
          <w:tab w:leader="none" w:pos="340" w:val="left"/>
        </w:tabs>
        <w:numPr>
          <w:ilvl w:val="0"/>
          <w:numId w:val="28"/>
        </w:numPr>
        <w:rPr>
          <w:rFonts w:ascii="Arial" w:cs="Arial" w:eastAsia="Arial" w:hAnsi="Arial"/>
          <w:sz w:val="18"/>
          <w:szCs w:val="18"/>
          <w:color w:val="4D4D4F"/>
        </w:rPr>
      </w:pPr>
      <w:r>
        <w:rPr>
          <w:rFonts w:ascii="Arial" w:cs="Arial" w:eastAsia="Arial" w:hAnsi="Arial"/>
          <w:sz w:val="18"/>
          <w:szCs w:val="18"/>
          <w:color w:val="4D4D4F"/>
        </w:rPr>
        <w:t xml:space="preserve">the audit committee charter at: </w:t>
      </w:r>
      <w:r>
        <w:rPr>
          <w:rFonts w:ascii="Arial" w:cs="Arial" w:eastAsia="Arial" w:hAnsi="Arial"/>
          <w:sz w:val="18"/>
          <w:szCs w:val="18"/>
          <w:i w:val="1"/>
          <w:iCs w:val="1"/>
          <w:color w:val="4D4D4F"/>
        </w:rPr>
        <w:t>media.corporate-ir.net/media_files/IROL/25/254659/acm-ac-charter-final.pdf;</w:t>
      </w:r>
    </w:p>
    <w:p>
      <w:pPr>
        <w:spacing w:after="0" w:line="1" w:lineRule="exact"/>
        <w:rPr>
          <w:rFonts w:ascii="Arial" w:cs="Arial" w:eastAsia="Arial" w:hAnsi="Arial"/>
          <w:sz w:val="18"/>
          <w:szCs w:val="18"/>
          <w:color w:val="4D4D4F"/>
        </w:rPr>
      </w:pPr>
    </w:p>
    <w:p>
      <w:pPr>
        <w:ind w:left="340" w:right="3620" w:hanging="332"/>
        <w:spacing w:after="0" w:line="477" w:lineRule="auto"/>
        <w:tabs>
          <w:tab w:leader="none" w:pos="340" w:val="left"/>
        </w:tabs>
        <w:numPr>
          <w:ilvl w:val="0"/>
          <w:numId w:val="28"/>
        </w:numPr>
        <w:rPr>
          <w:rFonts w:ascii="Arial" w:cs="Arial" w:eastAsia="Arial" w:hAnsi="Arial"/>
          <w:sz w:val="18"/>
          <w:szCs w:val="18"/>
          <w:color w:val="4D4D4F"/>
        </w:rPr>
      </w:pPr>
      <w:r>
        <w:rPr>
          <w:rFonts w:ascii="Arial" w:cs="Arial" w:eastAsia="Arial" w:hAnsi="Arial"/>
          <w:sz w:val="18"/>
          <w:szCs w:val="18"/>
          <w:color w:val="4D4D4F"/>
        </w:rPr>
        <w:t xml:space="preserve">the compensation committee charter at: </w:t>
      </w:r>
      <w:r>
        <w:rPr>
          <w:rFonts w:ascii="Arial" w:cs="Arial" w:eastAsia="Arial" w:hAnsi="Arial"/>
          <w:sz w:val="18"/>
          <w:szCs w:val="18"/>
          <w:i w:val="1"/>
          <w:iCs w:val="1"/>
          <w:color w:val="4D4D4F"/>
        </w:rPr>
        <w:t>media.corporate-ir.net/media_files/IROL/25/254659/acm-cc-charter-final.pdf; and</w:t>
      </w:r>
    </w:p>
    <w:p>
      <w:pPr>
        <w:ind w:left="340" w:right="4600" w:hanging="332"/>
        <w:spacing w:after="0" w:line="490" w:lineRule="auto"/>
        <w:tabs>
          <w:tab w:leader="none" w:pos="340" w:val="left"/>
        </w:tabs>
        <w:numPr>
          <w:ilvl w:val="0"/>
          <w:numId w:val="28"/>
        </w:numPr>
        <w:rPr>
          <w:rFonts w:ascii="Arial" w:cs="Arial" w:eastAsia="Arial" w:hAnsi="Arial"/>
          <w:sz w:val="18"/>
          <w:szCs w:val="18"/>
          <w:color w:val="4D4D4F"/>
        </w:rPr>
      </w:pPr>
      <w:r>
        <w:rPr>
          <w:rFonts w:ascii="Arial" w:cs="Arial" w:eastAsia="Arial" w:hAnsi="Arial"/>
          <w:sz w:val="18"/>
          <w:szCs w:val="18"/>
          <w:color w:val="4D4D4F"/>
        </w:rPr>
        <w:t xml:space="preserve">the nominating and governance committee charter at : </w:t>
      </w:r>
      <w:r>
        <w:rPr>
          <w:rFonts w:ascii="Arial" w:cs="Arial" w:eastAsia="Arial" w:hAnsi="Arial"/>
          <w:sz w:val="18"/>
          <w:szCs w:val="18"/>
          <w:i w:val="1"/>
          <w:iCs w:val="1"/>
          <w:color w:val="4D4D4F"/>
        </w:rPr>
        <w:t>ir.acmrcsh.com/static-files/03f9c6d2-908e-4c59-b7da-8e227707e5a7.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4D4D4F"/>
        </w:rPr>
        <w:t>The committees have the functions and responsibilities described in the sections below.</w:t>
      </w:r>
    </w:p>
    <w:p>
      <w:pPr>
        <w:spacing w:after="0" w:line="185"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4D4D4F"/>
        </w:rPr>
        <w:t>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w:t>
      </w:r>
      <w:r>
        <w:rPr>
          <w:rFonts w:ascii="MS PGothic" w:cs="MS PGothic" w:eastAsia="MS PGothic" w:hAnsi="MS PGothic"/>
          <w:sz w:val="18"/>
          <w:szCs w:val="18"/>
          <w:color w:val="4D4D4F"/>
        </w:rPr>
        <w:t>‑</w:t>
      </w:r>
      <w:r>
        <w:rPr>
          <w:rFonts w:ascii="Arial" w:cs="Arial" w:eastAsia="Arial" w:hAnsi="Arial"/>
          <w:sz w:val="18"/>
          <w:szCs w:val="18"/>
          <w:color w:val="4D4D4F"/>
        </w:rPr>
        <w:t>current board among the three classes.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board has adopted Communications Policies pursuant to which our Chief Executive Officer, our Chief Financial Officer and their designees are the only individuals authorized to communicate on our behalf with the media, industry and trade organizations, market professionals and stockholders. The Communications Policies were designed to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Independence of Directors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board of directors must consist of a majority of independent directors not only under the requirements of Nasdaq but also under the Governance Guidelines.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board annually reviews the independence of all non-employee directors. In April 2018 the board established categorical standards consistent with the corporate governance standards of Nasdaq to assist the board in making determinations of the independence of board members. A copy of our Standards for Director Independence is posted on our website at </w:t>
      </w:r>
      <w:r>
        <w:rPr>
          <w:rFonts w:ascii="Arial" w:cs="Arial" w:eastAsia="Arial" w:hAnsi="Arial"/>
          <w:sz w:val="18"/>
          <w:szCs w:val="18"/>
          <w:i w:val="1"/>
          <w:iCs w:val="1"/>
          <w:color w:val="4D4D4F"/>
        </w:rPr>
        <w:t>ir.acmrcsh.com/static-files/4211086b-a968-414e-888d-007c1906489d</w:t>
      </w:r>
      <w:r>
        <w:rPr>
          <w:rFonts w:ascii="Arial" w:cs="Arial" w:eastAsia="Arial" w:hAnsi="Arial"/>
          <w:sz w:val="18"/>
          <w:szCs w:val="18"/>
          <w:color w:val="4D4D4F"/>
        </w:rPr>
        <w:t>. These categorical standards require that, to be independent, a director may not have a material relationship with ACM.</w:t>
      </w:r>
      <w:r>
        <w:rPr>
          <w:rFonts w:ascii="Arial" w:cs="Arial" w:eastAsia="Arial" w:hAnsi="Arial"/>
          <w:sz w:val="18"/>
          <w:szCs w:val="18"/>
          <w:i w:val="1"/>
          <w:iCs w:val="1"/>
          <w:color w:val="4D4D4F"/>
        </w:rPr>
        <w:t xml:space="preserve"> </w:t>
      </w:r>
      <w:r>
        <w:rPr>
          <w:rFonts w:ascii="Arial" w:cs="Arial" w:eastAsia="Arial" w:hAnsi="Arial"/>
          <w:sz w:val="18"/>
          <w:szCs w:val="18"/>
          <w:color w:val="4D4D4F"/>
        </w:rPr>
        <w:t>Even if a director meets all categorical standards for independence, the board reviews other relationships with ACM in order to conclude that each independent director has no material relationship with ACM either directly or indirectly.</w:t>
      </w:r>
    </w:p>
    <w:p>
      <w:pPr>
        <w:spacing w:after="0" w:line="164"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4D4D4F"/>
        </w:rPr>
        <w:t>Based upon information requested from and provided by each director nominee concerning the director nominee’s background, employment and affiliations, including family relationships, the board has determined that Haiping Dun, Chenming Hu, Tracy Liu and Yinan Xiang qualify as independent directors in accordance with the rules of Nasdaq and Rules 10C-1 and 10A-3 under the Securities Exchange Act. Zhengfan Yang, who is not standing for re</w:t>
      </w:r>
      <w:r>
        <w:rPr>
          <w:rFonts w:ascii="MS PGothic" w:cs="MS PGothic" w:eastAsia="MS PGothic" w:hAnsi="MS PGothic"/>
          <w:sz w:val="18"/>
          <w:szCs w:val="18"/>
          <w:color w:val="4D4D4F"/>
        </w:rPr>
        <w:t>‑</w:t>
      </w:r>
      <w:r>
        <w:rPr>
          <w:rFonts w:ascii="Arial" w:cs="Arial" w:eastAsia="Arial" w:hAnsi="Arial"/>
          <w:sz w:val="18"/>
          <w:szCs w:val="18"/>
          <w:color w:val="4D4D4F"/>
        </w:rPr>
        <w:t>election at the Annual Meeting, also qualified as an independent director in accordance with the rules of Nasdaq and Rules 10C-1 and 10A-3 under the Securities Exchange Act, during his board service. The independent members of the board hold separate regularly scheduled executive session meetings at which only independent directors are present.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Nomination Rights</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In connection with our sale and issuance of capital stock in 2017, we, and certain other stockholders, entered into a voting agreement with Shanghai S&amp;T Venture Capital (Group) Co. Ltd., or SSTVC, and a nomination and voting agreement with Xinxin (Hongkong) Capital Co., Limited, or Xinxin.</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Pursuant to our voting agreement with SSTVC, SSTVC had the right to designate one individual for nomination to the board of directors. The rights and obligations of the parties under the voting agreement were in effect as long as SSTVC continued to beneficially own all of the 1,666,170 shares of Class A common stock that were initially sold to SSTVC. Yinan Xiang was initially designated by SSTVC and was appointed as a member of the board effective upon the completion of our initial public offering in November 2017. In December 2020, SSTVC sold 160,000 shares, as a result of which SSTVC no longer has the right to designate an individual for nomination to the board. Ms. Xiang has been nominated by the board for re-election at the Annual Meeting.</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Pursuant to our nomination and voting agreement with Xinxin, Xinxin has the right to designate one individual for nomination to the board. The rights and obligations of the parties under the nomination and voting agreement will be in effect as long as Xinxin continues to beneficially own at least 625,000 of the shares of Class A common stock that were initially sold to Xinxin. In addition, holders who held 60.1% of the voting power of Class A and Class B common stock, voting together, as of the record date of the Annual Meeting, including David Wang, our Chair of the Board, Chief Executive Officer and President, and Haiping Dun, our Lead Director, agreed to vote their shares of common stock for the election of the nominee designated by Xinxin. Zhengfan Yang was initially designated by Xinxin pursuant to the nomination and voting agreement and was appointed as a member of the board in January 2018. Mr. Yang served and will continue to serve as the designee of Xinxin until the Annual Meeting. Neither Mr. Yang nor any other designee of Xinxin will stand for re-election at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Code of Business Conduct</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We have a Code of Business Conduct applicable to all directors, officers and employees of ACM Research and its subsidiaries. We have posted the Code of Business Conduct on our website at </w:t>
      </w:r>
      <w:r>
        <w:rPr>
          <w:rFonts w:ascii="Arial" w:cs="Arial" w:eastAsia="Arial" w:hAnsi="Arial"/>
          <w:sz w:val="18"/>
          <w:szCs w:val="18"/>
          <w:i w:val="1"/>
          <w:iCs w:val="1"/>
          <w:color w:val="4D4D4F"/>
        </w:rPr>
        <w:t>ir.acmrcsh.com/static-files/fdff1cd1-dfea-4a25-a8a6-ae2394fa5d53</w:t>
      </w:r>
      <w:r>
        <w:rPr>
          <w:rFonts w:ascii="Arial" w:cs="Arial" w:eastAsia="Arial" w:hAnsi="Arial"/>
          <w:sz w:val="18"/>
          <w:szCs w:val="18"/>
          <w:color w:val="4D4D4F"/>
        </w:rPr>
        <w:t>. We will post any amendments to the Code of Business Conduct on our website. In accordance with the requirements of the SEC and Nasdaq, we will also post waivers applicable to any of our officers or directors from provisions of the Code of Business Conduct on our website. We have not granted any such waivers to date.</w:t>
      </w:r>
    </w:p>
    <w:p>
      <w:pPr>
        <w:spacing w:after="0" w:line="6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 A copy of the whistleblower policy can be viewed on the investor relations portion of our website at https://ir.acmrcsh.com/static-files/3925389c-ac5f-4c8c-8584-53a41e78e4ce.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Employee, Officer and Director Hedging</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It is our policy that all employees and directors, as well as their family members, must not hedge or pledge our securities they hold directly. An exception to prohibition may be granted where a person wishes to pledge our securities as collateral for a loan, upon approval by our Chief Financial Officer, if certain other conditions are met. The prohibition on hedging is included in our Insider Trading Policy. A copy of our Insider Trading Policy can be viewed on the investor relations portion of our website at </w:t>
      </w:r>
      <w:r>
        <w:rPr>
          <w:rFonts w:ascii="Arial" w:cs="Arial" w:eastAsia="Arial" w:hAnsi="Arial"/>
          <w:sz w:val="18"/>
          <w:szCs w:val="18"/>
          <w:i w:val="1"/>
          <w:iCs w:val="1"/>
          <w:color w:val="4D4D4F"/>
        </w:rPr>
        <w:t>https://ir.acmrcsh.com/static-files/88b7e2ab-7ac4-4f50-8935-1bef66dd52b0</w:t>
      </w:r>
      <w:r>
        <w:rPr>
          <w:rFonts w:ascii="Arial" w:cs="Arial" w:eastAsia="Arial" w:hAnsi="Arial"/>
          <w:sz w:val="18"/>
          <w:szCs w:val="18"/>
          <w:color w:val="4D4D4F"/>
        </w:rPr>
        <w: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Oversight of Risk</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4D4D4F"/>
        </w:rPr>
        <w:t>Matters of significant strategic risk are considered by the board as a whole.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Board Leadership Structure</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board of directors recognizes that it is important to determine an optimal board leadership structure to ensure the independent oversight of management as the company continues to grow. We do not have a policy on whether the offices of Chair of the Board and Chief Executive Officer should be separate and, if they are to be separate, whether the Chair of the Board should be selected from among the independent directors or should be an employee. The board has determined that it is in our best interests to have both a Chair of the Board and a Lead Director. The board has appointed David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The board believes that this is the appropriate leadership structure for us at this time and will allow the board to fulfill its role with appropriate independence.</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board has concluded that our current leadership structure is appropriate at this time. The board will continue to periodically review our leadership structure, however, and may make such changes in the future as it deems appropriate.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Audit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4D4D4F"/>
        </w:rPr>
        <w:t>The principal responsibilities of the audit committee include:</w:t>
      </w:r>
    </w:p>
    <w:p>
      <w:pPr>
        <w:spacing w:after="0" w:line="9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appointing, approving the compensation of, and assessing the independence of our registered public accounting firm;</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overseeing the work of our registered public accounting firm, including through the receipt and consideration of reports from such firm;</w:t>
      </w:r>
    </w:p>
    <w:p>
      <w:pPr>
        <w:spacing w:after="0" w:line="90"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reviewing and discussing with management and the registered public accounting firm our annual and quarterly financial statements and related disclosures;</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monitoring our internal control over financial reporting and our disclosure controls and procedures;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meeting independently with our registered public accounting firm and management;</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furnishing the audit committee report required by SEC rules;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reviewing and reassessing the adequacy of our conflict of interest policy; and</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29"/>
        </w:numPr>
        <w:rPr>
          <w:rFonts w:ascii="Arial" w:cs="Arial" w:eastAsia="Arial" w:hAnsi="Arial"/>
          <w:sz w:val="18"/>
          <w:szCs w:val="18"/>
          <w:color w:val="4D4D4F"/>
        </w:rPr>
      </w:pPr>
      <w:r>
        <w:rPr>
          <w:rFonts w:ascii="Arial" w:cs="Arial" w:eastAsia="Arial" w:hAnsi="Arial"/>
          <w:sz w:val="18"/>
          <w:szCs w:val="18"/>
          <w:color w:val="4D4D4F"/>
        </w:rPr>
        <w:t>overseeing our risk assessment and risk management policies.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Our independent auditor is ultimately accountable to the audit committee. The audit committee has the ultimate authority and responsibility to select, evaluate, approve terms of retention and compensation of, and, where appropriate, replace the independent auditor.</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current members of the audit committee are Tracy Liu, who serves as chair, Haiping Dun and Yinan Xiang. All three members are standing for re-election at the Annual Meeting. The board has determined that each of the audit committee members is financially literate and is a “non-employee director” as defined in Rule 16b-3 promulgated under the Securities Exchange Act. The board also determined that each of the current members of the audit committee is independent, as defined in the listing standards of Nasdaq, and is an “outside director” as that term is defined in Internal Revenue Code Section 162(m). The board has also determined that Ms. Liu is an audit committee financial expert in accordance with the standards of the SEC.</w:t>
      </w:r>
    </w:p>
    <w:p>
      <w:pPr>
        <w:spacing w:after="0" w:line="17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4D4D4F"/>
        </w:rPr>
        <w:t>The audit committee held six meetings in 2020. All members attended at least 83% of the total number of audit committee meetings held in 2020.</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Nominating and Governance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4D4D4F"/>
        </w:rPr>
        <w:t xml:space="preserve">The principal responsibilities of 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include:</w:t>
      </w:r>
    </w:p>
    <w:p>
      <w:pPr>
        <w:spacing w:after="0" w:line="50" w:lineRule="exact"/>
        <w:rPr>
          <w:sz w:val="20"/>
          <w:szCs w:val="20"/>
          <w:color w:val="auto"/>
        </w:rPr>
      </w:pPr>
    </w:p>
    <w:p>
      <w:pPr>
        <w:ind w:left="340" w:right="20" w:hanging="332"/>
        <w:spacing w:after="0" w:line="246" w:lineRule="auto"/>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identifying, evaluating, and making recommendations to the board of directors and our stockholders concerning nominees for election to the board, to each of the board’s committees and as committee chairs;</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annually reviewing the performance and effectiveness of the board and developing and overseeing a performance evaluation process;</w:t>
      </w:r>
    </w:p>
    <w:p>
      <w:pPr>
        <w:spacing w:after="0" w:line="76" w:lineRule="exact"/>
        <w:rPr>
          <w:rFonts w:ascii="Arial" w:cs="Arial" w:eastAsia="Arial" w:hAnsi="Arial"/>
          <w:sz w:val="18"/>
          <w:szCs w:val="18"/>
          <w:color w:val="4D4D4F"/>
        </w:rPr>
      </w:pPr>
    </w:p>
    <w:p>
      <w:pPr>
        <w:ind w:left="340" w:right="20" w:hanging="332"/>
        <w:spacing w:after="0" w:line="246" w:lineRule="auto"/>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annually evaluating the performance of management, the board and each board committee against their duties and responsibilities relating to corporate governance;</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annually evaluating adequacy of our corporate governance structure, policies and procedures;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0"/>
        </w:numPr>
        <w:rPr>
          <w:rFonts w:ascii="Arial" w:cs="Arial" w:eastAsia="Arial" w:hAnsi="Arial"/>
          <w:sz w:val="18"/>
          <w:szCs w:val="18"/>
          <w:color w:val="4D4D4F"/>
        </w:rPr>
      </w:pPr>
      <w:r>
        <w:rPr>
          <w:rFonts w:ascii="Arial" w:cs="Arial" w:eastAsia="Arial" w:hAnsi="Arial"/>
          <w:sz w:val="18"/>
          <w:szCs w:val="18"/>
          <w:color w:val="4D4D4F"/>
        </w:rPr>
        <w:t>providing reports to the board regarding the committee’s nominations for election to the board and its committees.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 xml:space="preserve">The current members of 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are Chenming Hu, who serves as chair, Tracy Liu, and Zhengfan Yang. Dr. Hu and Ms. Liu are standing for re-election at the Annual Meeting. The board has determined that each of Dr. Hu, Ms. Liu and Mr. Yang is independent, as defined in the listing standards of Nasdaq.</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 xml:space="preserve">The </w:t>
      </w:r>
      <w:r>
        <w:rPr>
          <w:rFonts w:ascii="Arial" w:cs="Arial" w:eastAsia="Arial" w:hAnsi="Arial"/>
          <w:sz w:val="18"/>
          <w:szCs w:val="18"/>
          <w:color w:val="595959"/>
        </w:rPr>
        <w:t>nominating and governance committee</w:t>
      </w:r>
      <w:r>
        <w:rPr>
          <w:rFonts w:ascii="Arial" w:cs="Arial" w:eastAsia="Arial" w:hAnsi="Arial"/>
          <w:sz w:val="18"/>
          <w:szCs w:val="18"/>
          <w:color w:val="4D4D4F"/>
        </w:rPr>
        <w:t xml:space="preserve"> has the sole authority to retain, oversee and terminate any consulting or search firm to be used to identify director candidates or assist in evaluating director compensation and to approve any such firm’s fees and retention terms. The nominating and governance committee held one meeting in 2020, which was attended by all of the members.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nominating and governance committee will consider director nominees recommended by our stockholders in accordance with our Policy and Procedure for Stockholder Nominations to the Board adopted by the nominating and governance committee and approved by the board in April 2018, a copy of which is posted on our website at </w:t>
      </w:r>
      <w:r>
        <w:rPr>
          <w:rFonts w:ascii="Arial" w:cs="Arial" w:eastAsia="Arial" w:hAnsi="Arial"/>
          <w:sz w:val="18"/>
          <w:szCs w:val="18"/>
          <w:i w:val="1"/>
          <w:iCs w:val="1"/>
          <w:color w:val="4D4D4F"/>
        </w:rPr>
        <w:t>ir.acmrcsh.com/static-files/01b22d4f-d523-4d9e-a1ac-56030666adad</w:t>
      </w:r>
      <w:r>
        <w:rPr>
          <w:rFonts w:ascii="Arial" w:cs="Arial" w:eastAsia="Arial" w:hAnsi="Arial"/>
          <w:sz w:val="18"/>
          <w:szCs w:val="18"/>
          <w:color w:val="4D4D4F"/>
        </w:rPr>
        <w:t>. Recommendations should be submitted to our Corporate Secretary in writing at ACM Research, Inc., 42307 Osgood Road, Suite I, Fremont, California 94539, along with additional required information about the nominee and the stockholder making the recommendation. Information on qualifications for nominations to the board and procedures for stockholder nominations to the board is included below under “Proposal 1. Election of Directors—Director Qualifications” and “—Identifying and Evaluating Nominees for Directors.”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Compensation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4D4D4F"/>
        </w:rPr>
        <w:t>The principal responsibilities of the compensation committee include:</w:t>
      </w:r>
    </w:p>
    <w:p>
      <w:pPr>
        <w:spacing w:after="0" w:line="90" w:lineRule="exact"/>
        <w:rPr>
          <w:sz w:val="20"/>
          <w:szCs w:val="20"/>
          <w:color w:val="auto"/>
        </w:rPr>
      </w:pPr>
    </w:p>
    <w:p>
      <w:pPr>
        <w:ind w:left="340" w:right="20" w:hanging="332"/>
        <w:spacing w:after="0" w:line="246" w:lineRule="auto"/>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evaluating the performance of our Chief Executive Officer and determining the Chief Executive Officer’s salary and contingent compensation based on his or her performance and other relevant criteria;</w:t>
      </w:r>
    </w:p>
    <w:p>
      <w:pPr>
        <w:spacing w:after="0" w:line="61"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identifying the corporate and individual objectives governing the Chief Executive Officer’s compensation;</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approving the compensation of our other executive officers;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making recommendations to the board with respect to director compensation;</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reviewing and approving the terms of certain material agreements;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overseeing and administering our equity incentive plans and employee benefit plans;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preparing the annual compensation committee report required by SEC rules; and</w:t>
      </w:r>
    </w:p>
    <w:p>
      <w:pPr>
        <w:spacing w:after="0" w:line="76"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31"/>
        </w:numPr>
        <w:rPr>
          <w:rFonts w:ascii="Arial" w:cs="Arial" w:eastAsia="Arial" w:hAnsi="Arial"/>
          <w:sz w:val="18"/>
          <w:szCs w:val="18"/>
          <w:color w:val="4D4D4F"/>
        </w:rPr>
      </w:pPr>
      <w:r>
        <w:rPr>
          <w:rFonts w:ascii="Arial" w:cs="Arial" w:eastAsia="Arial" w:hAnsi="Arial"/>
          <w:sz w:val="18"/>
          <w:szCs w:val="18"/>
          <w:color w:val="4D4D4F"/>
        </w:rPr>
        <w:t>conducting a review of executive officer succession planning, as necessary, reporting its findings and recommendations to the board, and working with the board in evaluating potential successors to executive officer positions.</w:t>
      </w:r>
    </w:p>
    <w:p>
      <w:pPr>
        <w:spacing w:after="0" w:line="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current members of the compensation committee are Haiping Dun, who serves as chair, and Tracy Liu. Each of the compensation committee members is standing for re-election at the Annual Meeting. The board has determined that each of Dr. Dun and Ms. Liu is independent, as defined in the listing standards of Nasdaq, is a “non-employee director” as defined in Rule 16b-3 promulgated under the Securities Exchange Act and is an “outside director” as that term is defined in Internal Revenue Code Section 162(m).</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The compensation committee held seven meetings in 2020, which were attended by both of the members. The compensation committee has the sole authority to retain, oversee and terminate any compensation consultant to be used to assist in the evaluation of executive compensation and to approve the consultant’s fees and retention terms.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Compensation Committee Interlocks and Insider Participation</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During 2020,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Certain Relationships and Related-Person Transactions</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 xml:space="preserve">In October 2017 the board of directors adopted a Conflict of Interest Policy applicable to all directors, officers and employees of our company and our subsidiaries. We have posted the Conflict of Interest Policy on our website at </w:t>
      </w:r>
      <w:r>
        <w:rPr>
          <w:rFonts w:ascii="Arial" w:cs="Arial" w:eastAsia="Arial" w:hAnsi="Arial"/>
          <w:sz w:val="18"/>
          <w:szCs w:val="18"/>
          <w:i w:val="1"/>
          <w:iCs w:val="1"/>
          <w:color w:val="4D4D4F"/>
        </w:rPr>
        <w:t>ir.acmrcsh.com/static-files/c9bb9bf0-847b-4f79-b747-bf7e5bb06994</w:t>
      </w:r>
      <w:r>
        <w:rPr>
          <w:rFonts w:ascii="Arial" w:cs="Arial" w:eastAsia="Arial" w:hAnsi="Arial"/>
          <w:sz w:val="18"/>
          <w:szCs w:val="18"/>
          <w:color w:val="4D4D4F"/>
        </w:rPr>
        <w:t>. We will post any amendments to the Conflict of Interest Policy on our website.</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Conflict of Interest Policy requires each director and executive officer, including their immediate family members, to provide written notice of any potential related-party transaction, defined by the policy to mirror the definition of Item 404 of Regulation S-K of the SEC (with the exception that the policy includes a monetary threshold of $100,000 as opposed to the threshold of $ 120,000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questionnaire in connection with each of our annual proxy statements, in which they are asked to disclose family relationships and other related-party transactions.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The following is a description of transactions since January 1, 2018 to which we have been a party, in which the amount involved exceeded or will exceed $ 120,000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 The transactions set forth below were approved by a majority of the board,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Issuance and Exercise of Warrant</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December 2016 Shengxin (Shanghai) Management Consulting Limited Partnership, or SMC, paid 20,123,500 RMB (approximately $3.0 million as of the date of funding) to our operating subsidiary ACM Research (Shanghai), Inc., or ACM Shanghai, for potential investment pursuant to terms to be subsequently negotiated. SMC is a People’s Republic of China, or PRC, limited partnership owned by Jian Wang and other employees of our subsidiary ACM Shanghai. Jian Wang, who is a limited partner of SMC, is the Chief Executive Officer and President of ACM Shanghai and the brother of our Chief Executive Officer and President David Wang. Until March 31, 2020, Jian Wang also had been the General Partner of SMC, as a result of which, under the rules of the SEC, he had been deemed to beneficially own all of the shares owned by SMC and, as a result, SMC was deemed to be an affiliate of ours.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In March 2017 we issued to SMC a warrant exercisable to purchase 397,502 shares of Class A common stock at a price of $7.50 per share, for a total exercise price of approximately $3.0 million. The warrant was exercisable for cash or on a cashless basis, at the option of SMC, at any time on or before May 17, 2023 to acquire all, but not less than all, of the shares of Class A common stock subject to the warrant.</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In March 2018 we entered into a warrant exercise agreement with ACM Shanghai and SMC pursuant to which SMC exercised the SMC warrant in full by issuance to us of a senior secured promissory note in the principal amount of approximately $3.0 million. We transferred the SMC note to ACM Shanghai, in exchange for an intercompany promissory note issued by ACM Shanghai to us in the principal amount of approximately $3.0 million, or the Intercompany Note. Each of the two notes bore interest at a rate of 3.01% per annum and matured on August 17, 2023. As security for its performance of its obligations under its note, SMC granted to ACM Shanghai a security interest in the 397,502 shares of Class A common stock issued to SMC upon its exercise of the warrant.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connection with a follow-on public offering of Class A common stock in August 2019, we agreed to purchase a total of 154,821 of the warrant shares from SMC at a per share price of $13.195, of which (a) $1.2 million was applied to reduce SMC’s obligations to ACM Shanghai under the SMC note, and which we then withheld for our own account and applied to reduce ACM Shanghai’s obligations to us under the Intercompany Note and (b) the remaining $0.9 million was paid to SMC.</w:t>
      </w:r>
    </w:p>
    <w:p>
      <w:pPr>
        <w:spacing w:after="0" w:line="16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In June 2019 we announced plans to complete over the following three years a listing of shares of ACM Shanghai on the Shanghai Stock Exchange’s new Sci-Tech innovAtion boaRd, known as the STAR Market, and a concurrent initial public offering, which we refer to as the STAR IPO, of ACM Shanghai shares in the PRC. In preparation for the STAR IPO, ACM Shanghai was required to terminate its financial relationship with SMC. In order to facilitate such termination, on April 30, 2020, we entered into two agreements relating to outstanding obligations among our company, ACM Shanghai and SMC. Pursuant to such agreements: (i) ACM Shanghai assigned to us its rights under the SMC note, including the right to receive payment of approximately $1.8 million payable thereunder; (ii) ACM cancelled the outstanding obligation of approximately $1.8 million of ACM Shanghai under the Intercompany Note; (iii) SMC surrendered its remaining 242,681 warrant shares to us; and (iv) in exchange for such 242,681 warrant shares, we agreed to deliver to SMC certain consideration, which we refer to as the SMC Consideration, that we agreed upon with SMC, subject to obtaining certain PRC regulatory approvals. Under the agreements with SMC, if the required approvals are not obtained by December 31, 2023, we would cancel the SMC note as consideration for the 242,681 warrant shares. In a separate transaction in April 2020, ACM Shanghai repaid the remaining $1.8 million of the December 2016 SMC investment in cash.</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On July 29, 2020, we entered into an amended agreement under which, in settlement of the SMC Consideration, we issued to SMC a warrant to purchase 242,681 shares of Class A common stock at a purchase price of $7.50 per share, and we cancelled the SMC note.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and Executive Compensation and Indemnification Agreements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Please see “Director Compensation,” “Executive Compensation” and “Compensation Discussion and Analysis” for discussion of the compensation of our non-employee directors and our executive officers.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have entered into indemnification agreements with our directors and executive officers. Under these agreements, we agree to indemnify, to the fullest extent permitted by Delaware law (subject to certain limitations), each of director and executive officer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Director Compensation</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Our director compensation program is intended to enhance our ability to attract, retain and motivate non-employee directors of exceptional ability and to promote the common interest of directors and stockholders in enhancing the value of the common stock. The board of directors reviews director compensation periodically based on recommendations by the nominating and governance committee. The nominating and governance committee has the sole authority to engage a consulting firm to evaluate director compensation.</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October 2017 the board adopted a director compensation policy with respect to the compensation payable to our qualified non-employee directors, which became effective upon the completion of our initial public offering on November 7, 2017. Under this policy, each qualifying non-employee director is eligible to receive compensation for board and committee service consisting of annual cash retainers and equity awards covering Class A common stock. Our qualifying non-employee directors receive the following annual cash retainers for their service: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DIRECTOR ANNUAL CASH RETAINERS</w:t>
      </w:r>
    </w:p>
    <w:p>
      <w:pPr>
        <w:spacing w:after="0" w:line="38"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512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Position</w:t>
            </w:r>
          </w:p>
        </w:tc>
        <w:tc>
          <w:tcPr>
            <w:tcW w:w="1620" w:type="dxa"/>
            <w:vAlign w:val="bottom"/>
            <w:shd w:val="clear" w:color="auto" w:fill="003E64"/>
          </w:tcPr>
          <w:p>
            <w:pPr>
              <w:jc w:val="right"/>
              <w:ind w:right="332"/>
              <w:spacing w:after="0"/>
              <w:rPr>
                <w:sz w:val="20"/>
                <w:szCs w:val="20"/>
                <w:color w:val="auto"/>
              </w:rPr>
            </w:pPr>
            <w:r>
              <w:rPr>
                <w:rFonts w:ascii="Arial" w:cs="Arial" w:eastAsia="Arial" w:hAnsi="Arial"/>
                <w:sz w:val="14"/>
                <w:szCs w:val="14"/>
                <w:b w:val="1"/>
                <w:bCs w:val="1"/>
                <w:color w:val="FFFFFF"/>
              </w:rPr>
              <w:t>Retainer</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4D4D4F"/>
              </w:rPr>
              <w:t>Lead Director</w:t>
            </w:r>
          </w:p>
        </w:tc>
        <w:tc>
          <w:tcPr>
            <w:tcW w:w="1620" w:type="dxa"/>
            <w:vAlign w:val="bottom"/>
          </w:tcPr>
          <w:p>
            <w:pPr>
              <w:jc w:val="right"/>
              <w:ind w:right="92"/>
              <w:spacing w:after="0" w:line="202" w:lineRule="exact"/>
              <w:rPr>
                <w:sz w:val="20"/>
                <w:szCs w:val="20"/>
                <w:color w:val="auto"/>
              </w:rPr>
            </w:pPr>
            <w:r>
              <w:rPr>
                <w:rFonts w:ascii="Arial" w:cs="Arial" w:eastAsia="Arial" w:hAnsi="Arial"/>
                <w:sz w:val="18"/>
                <w:szCs w:val="18"/>
                <w:color w:val="4D4D4F"/>
              </w:rPr>
              <w:t>$20,000</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4D4D4F"/>
              </w:rPr>
              <w:t>Other Directors</w:t>
            </w:r>
          </w:p>
        </w:tc>
        <w:tc>
          <w:tcPr>
            <w:tcW w:w="16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4D4D4F"/>
              </w:rPr>
              <w:t>15,000</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4D4D4F"/>
              </w:rPr>
              <w:t>Audit Committee Chair</w:t>
            </w:r>
          </w:p>
        </w:tc>
        <w:tc>
          <w:tcPr>
            <w:tcW w:w="1620" w:type="dxa"/>
            <w:vAlign w:val="bottom"/>
          </w:tcPr>
          <w:p>
            <w:pPr>
              <w:jc w:val="right"/>
              <w:ind w:right="92"/>
              <w:spacing w:after="0" w:line="202" w:lineRule="exact"/>
              <w:rPr>
                <w:sz w:val="20"/>
                <w:szCs w:val="20"/>
                <w:color w:val="auto"/>
              </w:rPr>
            </w:pPr>
            <w:r>
              <w:rPr>
                <w:rFonts w:ascii="Arial" w:cs="Arial" w:eastAsia="Arial" w:hAnsi="Arial"/>
                <w:sz w:val="18"/>
                <w:szCs w:val="18"/>
                <w:color w:val="4D4D4F"/>
              </w:rPr>
              <w:t>4,000</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4D4D4F"/>
              </w:rPr>
              <w:t>Other Audit Committee Members</w:t>
            </w:r>
          </w:p>
        </w:tc>
        <w:tc>
          <w:tcPr>
            <w:tcW w:w="16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4D4D4F"/>
              </w:rPr>
              <w:t>3,000</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4D4D4F"/>
              </w:rPr>
              <w:t>Compensation Committee Chair</w:t>
            </w:r>
          </w:p>
        </w:tc>
        <w:tc>
          <w:tcPr>
            <w:tcW w:w="1620" w:type="dxa"/>
            <w:vAlign w:val="bottom"/>
          </w:tcPr>
          <w:p>
            <w:pPr>
              <w:jc w:val="right"/>
              <w:ind w:right="92"/>
              <w:spacing w:after="0" w:line="202" w:lineRule="exact"/>
              <w:rPr>
                <w:sz w:val="20"/>
                <w:szCs w:val="20"/>
                <w:color w:val="auto"/>
              </w:rPr>
            </w:pPr>
            <w:r>
              <w:rPr>
                <w:rFonts w:ascii="Arial" w:cs="Arial" w:eastAsia="Arial" w:hAnsi="Arial"/>
                <w:sz w:val="18"/>
                <w:szCs w:val="18"/>
                <w:color w:val="4D4D4F"/>
              </w:rPr>
              <w:t>4,000</w:t>
            </w: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4D4D4F"/>
              </w:rPr>
              <w:t>Other Compensation Committee Members</w:t>
            </w:r>
          </w:p>
        </w:tc>
        <w:tc>
          <w:tcPr>
            <w:tcW w:w="16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4D4D4F"/>
              </w:rPr>
              <w:t>3,000</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4D4D4F"/>
              </w:rPr>
              <w:t>Nominating and Governance Committee Chair</w:t>
            </w:r>
          </w:p>
        </w:tc>
        <w:tc>
          <w:tcPr>
            <w:tcW w:w="1620" w:type="dxa"/>
            <w:vAlign w:val="bottom"/>
          </w:tcPr>
          <w:p>
            <w:pPr>
              <w:jc w:val="right"/>
              <w:ind w:right="92"/>
              <w:spacing w:after="0" w:line="202" w:lineRule="exact"/>
              <w:rPr>
                <w:sz w:val="20"/>
                <w:szCs w:val="20"/>
                <w:color w:val="auto"/>
              </w:rPr>
            </w:pPr>
            <w:r>
              <w:rPr>
                <w:rFonts w:ascii="Arial" w:cs="Arial" w:eastAsia="Arial" w:hAnsi="Arial"/>
                <w:sz w:val="18"/>
                <w:szCs w:val="18"/>
                <w:color w:val="4D4D4F"/>
              </w:rPr>
              <w:t>4,000</w:t>
            </w:r>
          </w:p>
        </w:tc>
      </w:tr>
      <w:tr>
        <w:trPr>
          <w:trHeight w:val="202"/>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4D4D4F"/>
              </w:rPr>
              <w:t>Other Nominating and Governance Committee Members</w:t>
            </w:r>
          </w:p>
        </w:tc>
        <w:tc>
          <w:tcPr>
            <w:tcW w:w="16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4D4D4F"/>
              </w:rPr>
              <w:t>3,000</w:t>
            </w:r>
          </w:p>
        </w:tc>
      </w:tr>
    </w:tbl>
    <w:p>
      <w:pPr>
        <w:spacing w:after="0" w:line="175"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4D4D4F"/>
        </w:rPr>
        <w:t>The director compensation policy generally contemplates that each director will receive $75,000 in restricted stock units upon his or her initial election to the board. These restricted stock units are subject to vesting contingent upon continued board service through the following year’s annual meeting of stockholders. Additionally, on the date of each annual meeting of stockholders, each director who (a) is not a designee nominated to the board pursuant to existing agreements to which ACM is a party and (b) is continuing his or her board service following the date of the then</w:t>
      </w:r>
      <w:r>
        <w:rPr>
          <w:rFonts w:ascii="MS PGothic" w:cs="MS PGothic" w:eastAsia="MS PGothic" w:hAnsi="MS PGothic"/>
          <w:sz w:val="18"/>
          <w:szCs w:val="18"/>
          <w:color w:val="4D4D4F"/>
        </w:rPr>
        <w:t>‑</w:t>
      </w:r>
      <w:r>
        <w:rPr>
          <w:rFonts w:ascii="Arial" w:cs="Arial" w:eastAsia="Arial" w:hAnsi="Arial"/>
          <w:sz w:val="18"/>
          <w:szCs w:val="18"/>
          <w:color w:val="4D4D4F"/>
        </w:rPr>
        <w:t>current annual meeting of stockholders, receives $ 35,000 in restricted stock units, subject to vesting contingent upon continued board service through the following year’s annual meeting of stockholders. Directors may be reimbursed for reasonable out-of-pocket expenses incurred in attending board and committee meetings. Pursuant to the terms of the director compensation policy, Dr. Dun was eligible to receive this annual equity compensation in 2019. Ms. Liu was eligible to receive her annual equity compensation in 2020. Dr. Hu will be eligible beginning on the date of the Annual Meeting. With respect to the years ended December 31, 2018, 2019 and 2020, the board did not grant the equity awards contemplated by the director compensation policy.</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To date and continuing until the Annual Meeting, neither Ms. Xiang nor Mr. Yang has been qualified to receive annual cash retainers or annual equity compensation in accordance with the director compensation policy, because each was designated for nomination to the board pursuant to an agreement, as described under “Corporate Governance—Director Nomination Rights.” Ms. Xiang has agreed that if she is re-elected at the Annual Meeting, she will not receive annual cash retainers or annual equity compensation in connection with her board service. Mr. Yang is not standing for re-election at the Annual Meeting.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shows the total compensation for non-employee directors during 2020. David Wang, our sole executive officer who served as a member of the board during 2020, did not receive any additional compensation for such service as a director.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2020 DIRECTOR COMPENSATION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20" w:type="dxa"/>
            <w:vAlign w:val="bottom"/>
            <w:tcBorders>
              <w:top w:val="single" w:sz="8" w:color="auto"/>
            </w:tcBorders>
            <w:shd w:val="clear" w:color="auto" w:fill="003E64"/>
          </w:tcPr>
          <w:p>
            <w:pPr>
              <w:spacing w:after="0"/>
              <w:rPr>
                <w:sz w:val="15"/>
                <w:szCs w:val="15"/>
                <w:color w:val="auto"/>
              </w:rPr>
            </w:pPr>
          </w:p>
        </w:tc>
        <w:tc>
          <w:tcPr>
            <w:tcW w:w="2780" w:type="dxa"/>
            <w:vAlign w:val="bottom"/>
            <w:tcBorders>
              <w:top w:val="single" w:sz="8" w:color="auto"/>
            </w:tcBorders>
            <w:shd w:val="clear" w:color="auto" w:fill="003E64"/>
          </w:tcPr>
          <w:p>
            <w:pPr>
              <w:jc w:val="right"/>
              <w:ind w:right="415"/>
              <w:spacing w:after="0"/>
              <w:rPr>
                <w:sz w:val="20"/>
                <w:szCs w:val="20"/>
                <w:color w:val="auto"/>
              </w:rPr>
            </w:pPr>
            <w:r>
              <w:rPr>
                <w:rFonts w:ascii="Arial" w:cs="Arial" w:eastAsia="Arial" w:hAnsi="Arial"/>
                <w:sz w:val="14"/>
                <w:szCs w:val="14"/>
                <w:b w:val="1"/>
                <w:bCs w:val="1"/>
                <w:color w:val="FFFFFF"/>
              </w:rPr>
              <w:t>Fees Earned or</w:t>
            </w:r>
          </w:p>
        </w:tc>
        <w:tc>
          <w:tcPr>
            <w:tcW w:w="1940" w:type="dxa"/>
            <w:vAlign w:val="bottom"/>
            <w:tcBorders>
              <w:top w:val="single" w:sz="8" w:color="auto"/>
            </w:tcBorders>
            <w:shd w:val="clear" w:color="auto" w:fill="003E64"/>
          </w:tcPr>
          <w:p>
            <w:pPr>
              <w:spacing w:after="0"/>
              <w:rPr>
                <w:sz w:val="15"/>
                <w:szCs w:val="15"/>
                <w:color w:val="auto"/>
              </w:rPr>
            </w:pPr>
          </w:p>
        </w:tc>
        <w:tc>
          <w:tcPr>
            <w:tcW w:w="2060" w:type="dxa"/>
            <w:vAlign w:val="bottom"/>
            <w:tcBorders>
              <w:top w:val="single" w:sz="8" w:color="auto"/>
            </w:tcBorders>
            <w:shd w:val="clear" w:color="auto" w:fill="003E64"/>
          </w:tcPr>
          <w:p>
            <w:pPr>
              <w:jc w:val="right"/>
              <w:ind w:right="835"/>
              <w:spacing w:after="0"/>
              <w:rPr>
                <w:sz w:val="20"/>
                <w:szCs w:val="20"/>
                <w:color w:val="auto"/>
              </w:rPr>
            </w:pPr>
            <w:r>
              <w:rPr>
                <w:rFonts w:ascii="Arial" w:cs="Arial" w:eastAsia="Arial" w:hAnsi="Arial"/>
                <w:sz w:val="14"/>
                <w:szCs w:val="14"/>
                <w:b w:val="1"/>
                <w:bCs w:val="1"/>
                <w:color w:val="FFFFFF"/>
              </w:rPr>
              <w:t>All Other</w:t>
            </w:r>
          </w:p>
        </w:tc>
        <w:tc>
          <w:tcPr>
            <w:tcW w:w="1640" w:type="dxa"/>
            <w:vAlign w:val="bottom"/>
            <w:tcBorders>
              <w:top w:val="single" w:sz="8" w:color="auto"/>
            </w:tcBorders>
            <w:shd w:val="clear" w:color="auto" w:fill="003E64"/>
          </w:tcPr>
          <w:p>
            <w:pPr>
              <w:spacing w:after="0"/>
              <w:rPr>
                <w:sz w:val="15"/>
                <w:szCs w:val="15"/>
                <w:color w:val="auto"/>
              </w:rPr>
            </w:pPr>
          </w:p>
        </w:tc>
      </w:tr>
      <w:tr>
        <w:trPr>
          <w:trHeight w:val="209"/>
        </w:trPr>
        <w:tc>
          <w:tcPr>
            <w:tcW w:w="2820" w:type="dxa"/>
            <w:vAlign w:val="bottom"/>
            <w:tcBorders>
              <w:bottom w:val="single" w:sz="8" w:color="auto"/>
            </w:tcBorders>
            <w:shd w:val="clear" w:color="auto" w:fill="003E64"/>
          </w:tcPr>
          <w:p>
            <w:pPr>
              <w:ind w:left="40"/>
              <w:spacing w:after="0"/>
              <w:rPr>
                <w:sz w:val="20"/>
                <w:szCs w:val="20"/>
                <w:color w:val="auto"/>
              </w:rPr>
            </w:pPr>
            <w:r>
              <w:rPr>
                <w:rFonts w:ascii="Arial" w:cs="Arial" w:eastAsia="Arial" w:hAnsi="Arial"/>
                <w:sz w:val="14"/>
                <w:szCs w:val="14"/>
                <w:b w:val="1"/>
                <w:bCs w:val="1"/>
                <w:color w:val="FFFFFF"/>
              </w:rPr>
              <w:t>Director</w:t>
            </w:r>
          </w:p>
        </w:tc>
        <w:tc>
          <w:tcPr>
            <w:tcW w:w="2780" w:type="dxa"/>
            <w:vAlign w:val="bottom"/>
            <w:tcBorders>
              <w:bottom w:val="single" w:sz="8" w:color="auto"/>
            </w:tcBorders>
            <w:shd w:val="clear" w:color="auto" w:fill="003E64"/>
          </w:tcPr>
          <w:p>
            <w:pPr>
              <w:jc w:val="right"/>
              <w:ind w:right="415"/>
              <w:spacing w:after="0"/>
              <w:rPr>
                <w:sz w:val="20"/>
                <w:szCs w:val="20"/>
                <w:color w:val="auto"/>
              </w:rPr>
            </w:pPr>
            <w:r>
              <w:rPr>
                <w:rFonts w:ascii="Arial" w:cs="Arial" w:eastAsia="Arial" w:hAnsi="Arial"/>
                <w:sz w:val="14"/>
                <w:szCs w:val="14"/>
                <w:b w:val="1"/>
                <w:bCs w:val="1"/>
                <w:color w:val="FFFFFF"/>
              </w:rPr>
              <w:t>Paid in Cash($)</w:t>
            </w:r>
          </w:p>
        </w:tc>
        <w:tc>
          <w:tcPr>
            <w:tcW w:w="1940" w:type="dxa"/>
            <w:vAlign w:val="bottom"/>
            <w:tcBorders>
              <w:bottom w:val="single" w:sz="8" w:color="auto"/>
            </w:tcBorders>
            <w:shd w:val="clear" w:color="auto" w:fill="003E64"/>
          </w:tcPr>
          <w:p>
            <w:pPr>
              <w:jc w:val="right"/>
              <w:ind w:right="313"/>
              <w:spacing w:after="0"/>
              <w:rPr>
                <w:sz w:val="20"/>
                <w:szCs w:val="20"/>
                <w:color w:val="auto"/>
              </w:rPr>
            </w:pPr>
            <w:r>
              <w:rPr>
                <w:rFonts w:ascii="Arial" w:cs="Arial" w:eastAsia="Arial" w:hAnsi="Arial"/>
                <w:sz w:val="14"/>
                <w:szCs w:val="14"/>
                <w:b w:val="1"/>
                <w:bCs w:val="1"/>
                <w:color w:val="FFFFFF"/>
              </w:rPr>
              <w:t>Stock Awards($)(1)</w:t>
            </w:r>
          </w:p>
        </w:tc>
        <w:tc>
          <w:tcPr>
            <w:tcW w:w="2060" w:type="dxa"/>
            <w:vAlign w:val="bottom"/>
            <w:tcBorders>
              <w:bottom w:val="single" w:sz="8" w:color="auto"/>
            </w:tcBorders>
            <w:shd w:val="clear" w:color="auto" w:fill="003E64"/>
          </w:tcPr>
          <w:p>
            <w:pPr>
              <w:jc w:val="right"/>
              <w:ind w:right="535"/>
              <w:spacing w:after="0"/>
              <w:rPr>
                <w:sz w:val="20"/>
                <w:szCs w:val="20"/>
                <w:color w:val="auto"/>
              </w:rPr>
            </w:pPr>
            <w:r>
              <w:rPr>
                <w:rFonts w:ascii="Arial" w:cs="Arial" w:eastAsia="Arial" w:hAnsi="Arial"/>
                <w:sz w:val="14"/>
                <w:szCs w:val="14"/>
                <w:b w:val="1"/>
                <w:bCs w:val="1"/>
                <w:color w:val="FFFFFF"/>
              </w:rPr>
              <w:t>Compensation($)</w:t>
            </w:r>
          </w:p>
        </w:tc>
        <w:tc>
          <w:tcPr>
            <w:tcW w:w="1640" w:type="dxa"/>
            <w:vAlign w:val="bottom"/>
            <w:tcBorders>
              <w:bottom w:val="single" w:sz="8" w:color="auto"/>
            </w:tcBorders>
            <w:shd w:val="clear" w:color="auto" w:fill="003E64"/>
          </w:tcPr>
          <w:p>
            <w:pPr>
              <w:jc w:val="right"/>
              <w:ind w:right="613"/>
              <w:spacing w:after="0"/>
              <w:rPr>
                <w:sz w:val="20"/>
                <w:szCs w:val="20"/>
                <w:color w:val="auto"/>
              </w:rPr>
            </w:pPr>
            <w:r>
              <w:rPr>
                <w:rFonts w:ascii="Arial" w:cs="Arial" w:eastAsia="Arial" w:hAnsi="Arial"/>
                <w:sz w:val="14"/>
                <w:szCs w:val="14"/>
                <w:b w:val="1"/>
                <w:bCs w:val="1"/>
                <w:color w:val="FFFFFF"/>
              </w:rPr>
              <w:t>Total($)</w:t>
            </w:r>
          </w:p>
        </w:tc>
      </w:tr>
      <w:tr>
        <w:trPr>
          <w:trHeight w:val="256"/>
        </w:trPr>
        <w:tc>
          <w:tcPr>
            <w:tcW w:w="2820" w:type="dxa"/>
            <w:vAlign w:val="bottom"/>
          </w:tcPr>
          <w:p>
            <w:pPr>
              <w:ind w:left="40"/>
              <w:spacing w:after="0"/>
              <w:rPr>
                <w:sz w:val="20"/>
                <w:szCs w:val="20"/>
                <w:color w:val="auto"/>
              </w:rPr>
            </w:pPr>
            <w:r>
              <w:rPr>
                <w:rFonts w:ascii="Arial" w:cs="Arial" w:eastAsia="Arial" w:hAnsi="Arial"/>
                <w:sz w:val="18"/>
                <w:szCs w:val="18"/>
                <w:color w:val="4D4D4F"/>
              </w:rPr>
              <w:t>Haiping Dun(2)</w:t>
            </w:r>
          </w:p>
        </w:tc>
        <w:tc>
          <w:tcPr>
            <w:tcW w:w="2780" w:type="dxa"/>
            <w:vAlign w:val="bottom"/>
          </w:tcPr>
          <w:p>
            <w:pPr>
              <w:jc w:val="right"/>
              <w:ind w:right="155"/>
              <w:spacing w:after="0"/>
              <w:rPr>
                <w:sz w:val="20"/>
                <w:szCs w:val="20"/>
                <w:color w:val="auto"/>
              </w:rPr>
            </w:pPr>
            <w:r>
              <w:rPr>
                <w:rFonts w:ascii="Arial" w:cs="Arial" w:eastAsia="Arial" w:hAnsi="Arial"/>
                <w:sz w:val="18"/>
                <w:szCs w:val="18"/>
                <w:color w:val="4D4D4F"/>
              </w:rPr>
              <w:t>$27,000</w:t>
            </w:r>
          </w:p>
        </w:tc>
        <w:tc>
          <w:tcPr>
            <w:tcW w:w="1940" w:type="dxa"/>
            <w:vAlign w:val="bottom"/>
          </w:tcPr>
          <w:p>
            <w:pPr>
              <w:jc w:val="right"/>
              <w:ind w:right="173"/>
              <w:spacing w:after="0"/>
              <w:rPr>
                <w:sz w:val="20"/>
                <w:szCs w:val="20"/>
                <w:color w:val="auto"/>
              </w:rPr>
            </w:pPr>
            <w:r>
              <w:rPr>
                <w:rFonts w:ascii="Arial" w:cs="Arial" w:eastAsia="Arial" w:hAnsi="Arial"/>
                <w:sz w:val="18"/>
                <w:szCs w:val="18"/>
                <w:color w:val="4D4D4F"/>
              </w:rPr>
              <w:t>$104,181</w:t>
            </w:r>
          </w:p>
        </w:tc>
        <w:tc>
          <w:tcPr>
            <w:tcW w:w="2060" w:type="dxa"/>
            <w:vAlign w:val="bottom"/>
          </w:tcPr>
          <w:p>
            <w:pPr>
              <w:jc w:val="right"/>
              <w:ind w:right="335"/>
              <w:spacing w:after="0"/>
              <w:rPr>
                <w:sz w:val="20"/>
                <w:szCs w:val="20"/>
                <w:color w:val="auto"/>
              </w:rPr>
            </w:pPr>
            <w:r>
              <w:rPr>
                <w:rFonts w:ascii="Arial" w:cs="Arial" w:eastAsia="Arial" w:hAnsi="Arial"/>
                <w:sz w:val="18"/>
                <w:szCs w:val="18"/>
                <w:color w:val="4D4D4F"/>
              </w:rPr>
              <w:t>—</w:t>
            </w:r>
          </w:p>
        </w:tc>
        <w:tc>
          <w:tcPr>
            <w:tcW w:w="1640" w:type="dxa"/>
            <w:vAlign w:val="bottom"/>
          </w:tcPr>
          <w:p>
            <w:pPr>
              <w:jc w:val="right"/>
              <w:ind w:right="73"/>
              <w:spacing w:after="0"/>
              <w:rPr>
                <w:sz w:val="20"/>
                <w:szCs w:val="20"/>
                <w:color w:val="auto"/>
              </w:rPr>
            </w:pPr>
            <w:r>
              <w:rPr>
                <w:rFonts w:ascii="Arial" w:cs="Arial" w:eastAsia="Arial" w:hAnsi="Arial"/>
                <w:sz w:val="18"/>
                <w:szCs w:val="18"/>
                <w:color w:val="4D4D4F"/>
              </w:rPr>
              <w:t>$131,181</w:t>
            </w:r>
          </w:p>
        </w:tc>
      </w:tr>
      <w:tr>
        <w:trPr>
          <w:trHeight w:val="257"/>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4D4D4F"/>
              </w:rPr>
              <w:t>Chenming C. Hu(2)</w:t>
            </w:r>
          </w:p>
        </w:tc>
        <w:tc>
          <w:tcPr>
            <w:tcW w:w="2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4D4D4F"/>
              </w:rPr>
              <w:t>19,000</w:t>
            </w:r>
          </w:p>
        </w:tc>
        <w:tc>
          <w:tcPr>
            <w:tcW w:w="1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4D4D4F"/>
              </w:rPr>
              <w:t>—</w:t>
            </w:r>
          </w:p>
        </w:tc>
        <w:tc>
          <w:tcPr>
            <w:tcW w:w="20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4D4D4F"/>
              </w:rPr>
              <w:t>$25,000(3)</w:t>
            </w:r>
          </w:p>
        </w:tc>
        <w:tc>
          <w:tcPr>
            <w:tcW w:w="1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4D4D4F"/>
              </w:rPr>
              <w:t>44,000</w:t>
            </w:r>
          </w:p>
        </w:tc>
      </w:tr>
      <w:tr>
        <w:trPr>
          <w:trHeight w:val="257"/>
        </w:trPr>
        <w:tc>
          <w:tcPr>
            <w:tcW w:w="2820" w:type="dxa"/>
            <w:vAlign w:val="bottom"/>
          </w:tcPr>
          <w:p>
            <w:pPr>
              <w:ind w:left="40"/>
              <w:spacing w:after="0"/>
              <w:rPr>
                <w:sz w:val="20"/>
                <w:szCs w:val="20"/>
                <w:color w:val="auto"/>
              </w:rPr>
            </w:pPr>
            <w:r>
              <w:rPr>
                <w:rFonts w:ascii="Arial" w:cs="Arial" w:eastAsia="Arial" w:hAnsi="Arial"/>
                <w:sz w:val="18"/>
                <w:szCs w:val="18"/>
                <w:color w:val="4D4D4F"/>
              </w:rPr>
              <w:t>Tracy Liu(2)</w:t>
            </w:r>
          </w:p>
        </w:tc>
        <w:tc>
          <w:tcPr>
            <w:tcW w:w="2780" w:type="dxa"/>
            <w:vAlign w:val="bottom"/>
          </w:tcPr>
          <w:p>
            <w:pPr>
              <w:jc w:val="right"/>
              <w:ind w:right="155"/>
              <w:spacing w:after="0"/>
              <w:rPr>
                <w:sz w:val="20"/>
                <w:szCs w:val="20"/>
                <w:color w:val="auto"/>
              </w:rPr>
            </w:pPr>
            <w:r>
              <w:rPr>
                <w:rFonts w:ascii="Arial" w:cs="Arial" w:eastAsia="Arial" w:hAnsi="Arial"/>
                <w:sz w:val="18"/>
                <w:szCs w:val="18"/>
                <w:color w:val="4D4D4F"/>
              </w:rPr>
              <w:t>25,000</w:t>
            </w:r>
          </w:p>
        </w:tc>
        <w:tc>
          <w:tcPr>
            <w:tcW w:w="1940" w:type="dxa"/>
            <w:vAlign w:val="bottom"/>
          </w:tcPr>
          <w:p>
            <w:pPr>
              <w:jc w:val="right"/>
              <w:ind w:right="173"/>
              <w:spacing w:after="0"/>
              <w:rPr>
                <w:sz w:val="20"/>
                <w:szCs w:val="20"/>
                <w:color w:val="auto"/>
              </w:rPr>
            </w:pPr>
            <w:r>
              <w:rPr>
                <w:rFonts w:ascii="Arial" w:cs="Arial" w:eastAsia="Arial" w:hAnsi="Arial"/>
                <w:sz w:val="18"/>
                <w:szCs w:val="18"/>
                <w:color w:val="4D4D4F"/>
              </w:rPr>
              <w:t>44,230</w:t>
            </w:r>
          </w:p>
        </w:tc>
        <w:tc>
          <w:tcPr>
            <w:tcW w:w="2060" w:type="dxa"/>
            <w:vAlign w:val="bottom"/>
          </w:tcPr>
          <w:p>
            <w:pPr>
              <w:jc w:val="right"/>
              <w:ind w:right="335"/>
              <w:spacing w:after="0"/>
              <w:rPr>
                <w:sz w:val="20"/>
                <w:szCs w:val="20"/>
                <w:color w:val="auto"/>
              </w:rPr>
            </w:pPr>
            <w:r>
              <w:rPr>
                <w:rFonts w:ascii="Arial" w:cs="Arial" w:eastAsia="Arial" w:hAnsi="Arial"/>
                <w:sz w:val="18"/>
                <w:szCs w:val="18"/>
                <w:color w:val="4D4D4F"/>
              </w:rPr>
              <w:t>—</w:t>
            </w:r>
          </w:p>
        </w:tc>
        <w:tc>
          <w:tcPr>
            <w:tcW w:w="1640" w:type="dxa"/>
            <w:vAlign w:val="bottom"/>
          </w:tcPr>
          <w:p>
            <w:pPr>
              <w:jc w:val="right"/>
              <w:ind w:right="73"/>
              <w:spacing w:after="0"/>
              <w:rPr>
                <w:sz w:val="20"/>
                <w:szCs w:val="20"/>
                <w:color w:val="auto"/>
              </w:rPr>
            </w:pPr>
            <w:r>
              <w:rPr>
                <w:rFonts w:ascii="Arial" w:cs="Arial" w:eastAsia="Arial" w:hAnsi="Arial"/>
                <w:sz w:val="18"/>
                <w:szCs w:val="18"/>
                <w:color w:val="4D4D4F"/>
              </w:rPr>
              <w:t>69,230</w:t>
            </w:r>
          </w:p>
        </w:tc>
      </w:tr>
      <w:tr>
        <w:trPr>
          <w:trHeight w:val="257"/>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4D4D4F"/>
              </w:rPr>
              <w:t>Zhengfan Yang(4)</w:t>
            </w:r>
          </w:p>
        </w:tc>
        <w:tc>
          <w:tcPr>
            <w:tcW w:w="27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4D4D4F"/>
              </w:rPr>
              <w:t>—</w:t>
            </w:r>
          </w:p>
        </w:tc>
        <w:tc>
          <w:tcPr>
            <w:tcW w:w="1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4D4D4F"/>
              </w:rPr>
              <w:t>—</w:t>
            </w:r>
          </w:p>
        </w:tc>
        <w:tc>
          <w:tcPr>
            <w:tcW w:w="20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4D4D4F"/>
              </w:rPr>
              <w:t>—</w:t>
            </w:r>
          </w:p>
        </w:tc>
        <w:tc>
          <w:tcPr>
            <w:tcW w:w="1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4D4D4F"/>
              </w:rPr>
              <w:t>—</w:t>
            </w:r>
          </w:p>
        </w:tc>
      </w:tr>
      <w:tr>
        <w:trPr>
          <w:trHeight w:val="283"/>
        </w:trPr>
        <w:tc>
          <w:tcPr>
            <w:tcW w:w="2820" w:type="dxa"/>
            <w:vAlign w:val="bottom"/>
          </w:tcPr>
          <w:p>
            <w:pPr>
              <w:ind w:left="40"/>
              <w:spacing w:after="0"/>
              <w:rPr>
                <w:sz w:val="20"/>
                <w:szCs w:val="20"/>
                <w:color w:val="auto"/>
              </w:rPr>
            </w:pPr>
            <w:r>
              <w:rPr>
                <w:rFonts w:ascii="Arial" w:cs="Arial" w:eastAsia="Arial" w:hAnsi="Arial"/>
                <w:sz w:val="18"/>
                <w:szCs w:val="18"/>
                <w:color w:val="4D4D4F"/>
              </w:rPr>
              <w:t>Yinan Xiang</w:t>
            </w:r>
          </w:p>
        </w:tc>
        <w:tc>
          <w:tcPr>
            <w:tcW w:w="2780" w:type="dxa"/>
            <w:vAlign w:val="bottom"/>
          </w:tcPr>
          <w:p>
            <w:pPr>
              <w:jc w:val="right"/>
              <w:ind w:right="155"/>
              <w:spacing w:after="0"/>
              <w:rPr>
                <w:sz w:val="20"/>
                <w:szCs w:val="20"/>
                <w:color w:val="auto"/>
              </w:rPr>
            </w:pPr>
            <w:r>
              <w:rPr>
                <w:rFonts w:ascii="Arial" w:cs="Arial" w:eastAsia="Arial" w:hAnsi="Arial"/>
                <w:sz w:val="18"/>
                <w:szCs w:val="18"/>
                <w:color w:val="4D4D4F"/>
              </w:rPr>
              <w:t>—</w:t>
            </w:r>
          </w:p>
        </w:tc>
        <w:tc>
          <w:tcPr>
            <w:tcW w:w="1940" w:type="dxa"/>
            <w:vAlign w:val="bottom"/>
          </w:tcPr>
          <w:p>
            <w:pPr>
              <w:jc w:val="right"/>
              <w:ind w:right="173"/>
              <w:spacing w:after="0"/>
              <w:rPr>
                <w:sz w:val="20"/>
                <w:szCs w:val="20"/>
                <w:color w:val="auto"/>
              </w:rPr>
            </w:pPr>
            <w:r>
              <w:rPr>
                <w:rFonts w:ascii="Arial" w:cs="Arial" w:eastAsia="Arial" w:hAnsi="Arial"/>
                <w:sz w:val="18"/>
                <w:szCs w:val="18"/>
                <w:color w:val="4D4D4F"/>
              </w:rPr>
              <w:t>—</w:t>
            </w:r>
          </w:p>
        </w:tc>
        <w:tc>
          <w:tcPr>
            <w:tcW w:w="2060" w:type="dxa"/>
            <w:vAlign w:val="bottom"/>
          </w:tcPr>
          <w:p>
            <w:pPr>
              <w:jc w:val="right"/>
              <w:ind w:right="335"/>
              <w:spacing w:after="0"/>
              <w:rPr>
                <w:sz w:val="20"/>
                <w:szCs w:val="20"/>
                <w:color w:val="auto"/>
              </w:rPr>
            </w:pPr>
            <w:r>
              <w:rPr>
                <w:rFonts w:ascii="Arial" w:cs="Arial" w:eastAsia="Arial" w:hAnsi="Arial"/>
                <w:sz w:val="18"/>
                <w:szCs w:val="18"/>
                <w:color w:val="4D4D4F"/>
              </w:rPr>
              <w:t>—</w:t>
            </w:r>
          </w:p>
        </w:tc>
        <w:tc>
          <w:tcPr>
            <w:tcW w:w="1640" w:type="dxa"/>
            <w:vAlign w:val="bottom"/>
          </w:tcPr>
          <w:p>
            <w:pPr>
              <w:jc w:val="right"/>
              <w:ind w:right="73"/>
              <w:spacing w:after="0"/>
              <w:rPr>
                <w:sz w:val="20"/>
                <w:szCs w:val="20"/>
                <w:color w:val="auto"/>
              </w:rPr>
            </w:pPr>
            <w:r>
              <w:rPr>
                <w:rFonts w:ascii="Arial" w:cs="Arial" w:eastAsia="Arial" w:hAnsi="Arial"/>
                <w:sz w:val="18"/>
                <w:szCs w:val="18"/>
                <w:color w:val="4D4D4F"/>
              </w:rPr>
              <w:t>—</w:t>
            </w:r>
          </w:p>
        </w:tc>
      </w:tr>
    </w:tbl>
    <w:p>
      <w:pPr>
        <w:spacing w:after="0" w:line="32" w:lineRule="exact"/>
        <w:rPr>
          <w:sz w:val="20"/>
          <w:szCs w:val="20"/>
          <w:color w:val="auto"/>
        </w:rPr>
      </w:pPr>
    </w:p>
    <w:p>
      <w:pPr>
        <w:jc w:val="both"/>
        <w:ind w:left="340" w:hanging="332"/>
        <w:spacing w:after="0" w:line="244" w:lineRule="auto"/>
        <w:tabs>
          <w:tab w:leader="none" w:pos="340" w:val="left"/>
        </w:tabs>
        <w:numPr>
          <w:ilvl w:val="0"/>
          <w:numId w:val="32"/>
        </w:numPr>
        <w:rPr>
          <w:rFonts w:ascii="Arial" w:cs="Arial" w:eastAsia="Arial" w:hAnsi="Arial"/>
          <w:sz w:val="14"/>
          <w:szCs w:val="14"/>
          <w:color w:val="4D4D4F"/>
        </w:rPr>
      </w:pPr>
      <w:r>
        <w:rPr>
          <w:rFonts w:ascii="Arial" w:cs="Arial" w:eastAsia="Arial" w:hAnsi="Arial"/>
          <w:sz w:val="14"/>
          <w:szCs w:val="14"/>
          <w:color w:val="4D4D4F"/>
        </w:rPr>
        <w:t xml:space="preserve">The amounts shown represent the aggregate grant date fair value of stock awards granted on March 20, 2020 in accordance with Financial Accounting Standards Board Accounting Standards Codification Topic 718, </w:t>
      </w:r>
      <w:r>
        <w:rPr>
          <w:rFonts w:ascii="Arial" w:cs="Arial" w:eastAsia="Arial" w:hAnsi="Arial"/>
          <w:sz w:val="14"/>
          <w:szCs w:val="14"/>
          <w:i w:val="1"/>
          <w:iCs w:val="1"/>
          <w:color w:val="4D4D4F"/>
        </w:rPr>
        <w:t>Compensation—Stock Compensation</w:t>
      </w:r>
      <w:r>
        <w:rPr>
          <w:rFonts w:ascii="Arial" w:cs="Arial" w:eastAsia="Arial" w:hAnsi="Arial"/>
          <w:sz w:val="14"/>
          <w:szCs w:val="14"/>
          <w:color w:val="4D4D4F"/>
        </w:rPr>
        <w:t>. The amounts do not necessarily correspond to the actual amounts that will be earned by the directors. For assumptions made in valuing these awards and related information, see Note 2 to our consolidated financial statements included in our Annual Report on Form 10-K for the fiscal year ended December 31, 2020. As of December 31, 2020, (a) Dr. Dun held stock options for 196,667 shares of Class A common stock and 69,230 shares of ACM Shanghai, (b) Dr. Hu held stock options for 66,668 shares of Class A common stock, (c) Ms. Liu held stock options for 49,000 shares of Class A common stock, and (d) neither Mr. Yang or Ms. Xiang held any equity awards.</w:t>
      </w:r>
    </w:p>
    <w:p>
      <w:pPr>
        <w:spacing w:after="0" w:line="43" w:lineRule="exact"/>
        <w:rPr>
          <w:rFonts w:ascii="Arial" w:cs="Arial" w:eastAsia="Arial" w:hAnsi="Arial"/>
          <w:sz w:val="14"/>
          <w:szCs w:val="14"/>
          <w:color w:val="4D4D4F"/>
        </w:rPr>
      </w:pPr>
    </w:p>
    <w:p>
      <w:pPr>
        <w:ind w:left="340" w:hanging="332"/>
        <w:spacing w:after="0"/>
        <w:tabs>
          <w:tab w:leader="none" w:pos="340" w:val="left"/>
        </w:tabs>
        <w:numPr>
          <w:ilvl w:val="0"/>
          <w:numId w:val="32"/>
        </w:numPr>
        <w:rPr>
          <w:rFonts w:ascii="Arial" w:cs="Arial" w:eastAsia="Arial" w:hAnsi="Arial"/>
          <w:sz w:val="14"/>
          <w:szCs w:val="14"/>
          <w:color w:val="4D4D4F"/>
        </w:rPr>
      </w:pPr>
      <w:r>
        <w:rPr>
          <w:rFonts w:ascii="Arial" w:cs="Arial" w:eastAsia="Arial" w:hAnsi="Arial"/>
          <w:sz w:val="14"/>
          <w:szCs w:val="14"/>
          <w:color w:val="4D4D4F"/>
        </w:rPr>
        <w:t>Chair of a board committee during 2020.</w:t>
      </w:r>
    </w:p>
    <w:p>
      <w:pPr>
        <w:spacing w:after="0" w:line="55"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32"/>
        </w:numPr>
        <w:rPr>
          <w:rFonts w:ascii="Arial" w:cs="Arial" w:eastAsia="Arial" w:hAnsi="Arial"/>
          <w:sz w:val="14"/>
          <w:szCs w:val="14"/>
          <w:color w:val="4D4D4F"/>
        </w:rPr>
      </w:pPr>
      <w:r>
        <w:rPr>
          <w:rFonts w:ascii="Arial" w:cs="Arial" w:eastAsia="Arial" w:hAnsi="Arial"/>
          <w:sz w:val="14"/>
          <w:szCs w:val="14"/>
          <w:color w:val="4D4D4F"/>
        </w:rPr>
        <w:t>The amount shown consists of consulting fees paid pursuant to an Advisory Board Agreement entered into with Dr. Hu in May 2016. Under the Advisory Board Agreement, Dr. Hu agreed to serve as a member of our advisory board and to use commercially reasonable efforts to provide us with various advisory services. The term of the Advisory Board Agreement expired on May 1, 2021.</w:t>
      </w:r>
    </w:p>
    <w:p>
      <w:pPr>
        <w:spacing w:after="0" w:line="38" w:lineRule="exact"/>
        <w:rPr>
          <w:rFonts w:ascii="Arial" w:cs="Arial" w:eastAsia="Arial" w:hAnsi="Arial"/>
          <w:sz w:val="14"/>
          <w:szCs w:val="14"/>
          <w:color w:val="4D4D4F"/>
        </w:rPr>
      </w:pPr>
    </w:p>
    <w:p>
      <w:pPr>
        <w:ind w:left="340" w:hanging="332"/>
        <w:spacing w:after="0"/>
        <w:tabs>
          <w:tab w:leader="none" w:pos="340" w:val="left"/>
        </w:tabs>
        <w:numPr>
          <w:ilvl w:val="0"/>
          <w:numId w:val="32"/>
        </w:numPr>
        <w:rPr>
          <w:rFonts w:ascii="Arial" w:cs="Arial" w:eastAsia="Arial" w:hAnsi="Arial"/>
          <w:sz w:val="14"/>
          <w:szCs w:val="14"/>
          <w:color w:val="4D4D4F"/>
        </w:rPr>
      </w:pPr>
      <w:r>
        <w:rPr>
          <w:rFonts w:ascii="Arial" w:cs="Arial" w:eastAsia="Arial" w:hAnsi="Arial"/>
          <w:sz w:val="14"/>
          <w:szCs w:val="14"/>
          <w:color w:val="4D4D4F"/>
        </w:rPr>
        <w:t>Mr. Yang is not standing for re-election at the Annual Meeting.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65430" cy="2654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430" cy="265430"/>
                    </a:xfrm>
                    <a:prstGeom prst="rect">
                      <a:avLst/>
                    </a:prstGeom>
                    <a:noFill/>
                    <a:ln>
                      <a:noFill/>
                    </a:ln>
                  </pic:spPr>
                </pic:pic>
              </a:graphicData>
            </a:graphic>
          </wp:inline>
        </w:drawing>
      </w:r>
      <w:r>
        <w:rPr>
          <w:rFonts w:ascii="Arial" w:cs="Arial" w:eastAsia="Arial" w:hAnsi="Arial"/>
          <w:sz w:val="25"/>
          <w:szCs w:val="25"/>
          <w:b w:val="1"/>
          <w:bCs w:val="1"/>
          <w:color w:val="003E64"/>
        </w:rPr>
        <w:t xml:space="preserve"> — Election of Directors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595959"/>
        </w:rPr>
        <w:t>At the Annual Meeting, stockholders will elect the entire board of directors to serve for the ensuing year and until their successors are elected and qualified. The board has designated as nominees for election the five persons named below, each of whom currently serves as a director.</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595959"/>
        </w:rPr>
        <w:t>Shares of common stock that are voted as recommended by the board will be voted in favor of the election as directors of the nominees named below. If any nominee becomes unavailable for any reason or if a vacancy should occur before the election, which we do not anticipate, the shares represented by a duly completed proxy may be voted in favor of such other person as may be determined by the proxy holders.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Director Qualifications</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95959"/>
        </w:rPr>
        <w:t>The board of directors has determined that, as a whole, it must have the right mix of characteristics, skills and diversity to provide effective oversight of our company. T</w:t>
      </w:r>
      <w:r>
        <w:rPr>
          <w:rFonts w:ascii="Arial" w:cs="Arial" w:eastAsia="Arial" w:hAnsi="Arial"/>
          <w:sz w:val="18"/>
          <w:szCs w:val="18"/>
          <w:color w:val="4D4D4F"/>
        </w:rPr>
        <w:t>he nominating and governance committee has adopted Qualifications for Nomination to the board, a copy of</w:t>
      </w:r>
      <w:r>
        <w:rPr>
          <w:rFonts w:ascii="Arial" w:cs="Arial" w:eastAsia="Arial" w:hAnsi="Arial"/>
          <w:sz w:val="18"/>
          <w:szCs w:val="18"/>
          <w:color w:val="595959"/>
        </w:rPr>
        <w:t xml:space="preserve"> </w:t>
      </w:r>
      <w:r>
        <w:rPr>
          <w:rFonts w:ascii="Arial" w:cs="Arial" w:eastAsia="Arial" w:hAnsi="Arial"/>
          <w:sz w:val="18"/>
          <w:szCs w:val="18"/>
          <w:color w:val="4D4D4F"/>
        </w:rPr>
        <w:t xml:space="preserve">which is posted on our website at </w:t>
      </w:r>
      <w:r>
        <w:rPr>
          <w:rFonts w:ascii="Arial" w:cs="Arial" w:eastAsia="Arial" w:hAnsi="Arial"/>
          <w:sz w:val="18"/>
          <w:szCs w:val="18"/>
          <w:i w:val="1"/>
          <w:iCs w:val="1"/>
          <w:color w:val="4D4D4F"/>
        </w:rPr>
        <w:t>ir.acmrcsh.com/static-files/004a4a5a-21c9-4a24-9dc0-d3d55006cde6.</w:t>
      </w:r>
      <w:r>
        <w:rPr>
          <w:rFonts w:ascii="Arial" w:cs="Arial" w:eastAsia="Arial" w:hAnsi="Arial"/>
          <w:sz w:val="18"/>
          <w:szCs w:val="18"/>
          <w:color w:val="4D4D4F"/>
        </w:rPr>
        <w:t xml:space="preserve"> The Qualifications for Nomination provide that, in selecting directors, the board should seek to achieve a mix of directors that enhances the diversity of background, skills and experience on the board, including with respect to age, gender, international background, ethnicity and specialized experience. Directors should have relevant expertise and experience and be able to offer advice and guidance to our Chief Executive Officer based on that expertise and experience. Also, a majority of directors should be independent under applicable Nasdaq listing standards, board and committee guidelines, and applicable laws and regulations. Each director is also expected to:</w:t>
      </w:r>
    </w:p>
    <w:p>
      <w:pPr>
        <w:spacing w:after="0" w:line="4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4D4D4F"/>
        </w:rPr>
      </w:pPr>
      <w:r>
        <w:rPr>
          <w:rFonts w:ascii="Arial" w:cs="Arial" w:eastAsia="Arial" w:hAnsi="Arial"/>
          <w:sz w:val="18"/>
          <w:szCs w:val="18"/>
          <w:color w:val="4D4D4F"/>
        </w:rPr>
        <w:t>be of the highest ethical character and share our values as reflected in our Code of Conduct;</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3"/>
        </w:numPr>
        <w:rPr>
          <w:rFonts w:ascii="Arial" w:cs="Arial" w:eastAsia="Arial" w:hAnsi="Arial"/>
          <w:sz w:val="18"/>
          <w:szCs w:val="18"/>
          <w:color w:val="4D4D4F"/>
        </w:rPr>
      </w:pPr>
      <w:r>
        <w:rPr>
          <w:rFonts w:ascii="Arial" w:cs="Arial" w:eastAsia="Arial" w:hAnsi="Arial"/>
          <w:sz w:val="18"/>
          <w:szCs w:val="18"/>
          <w:color w:val="4D4D4F"/>
        </w:rPr>
        <w:t>be highly accomplished in his or her field, with superior credentials and recognition;</w:t>
      </w:r>
    </w:p>
    <w:p>
      <w:pPr>
        <w:spacing w:after="0" w:line="76"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33"/>
        </w:numPr>
        <w:rPr>
          <w:rFonts w:ascii="Arial" w:cs="Arial" w:eastAsia="Arial" w:hAnsi="Arial"/>
          <w:sz w:val="18"/>
          <w:szCs w:val="18"/>
          <w:color w:val="4D4D4F"/>
        </w:rPr>
      </w:pPr>
      <w:r>
        <w:rPr>
          <w:rFonts w:ascii="Arial" w:cs="Arial" w:eastAsia="Arial" w:hAnsi="Arial"/>
          <w:sz w:val="18"/>
          <w:szCs w:val="18"/>
          <w:color w:val="4D4D4F"/>
        </w:rPr>
        <w:t>have sound business judgment, be able to work effectively with others, have sufficient time to devote to our affairs, and be free from conflicts of interest; and</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33"/>
        </w:numPr>
        <w:rPr>
          <w:rFonts w:ascii="Arial" w:cs="Arial" w:eastAsia="Arial" w:hAnsi="Arial"/>
          <w:sz w:val="18"/>
          <w:szCs w:val="18"/>
          <w:color w:val="4D4D4F"/>
        </w:rPr>
      </w:pPr>
      <w:r>
        <w:rPr>
          <w:rFonts w:ascii="Arial" w:cs="Arial" w:eastAsia="Arial" w:hAnsi="Arial"/>
          <w:sz w:val="18"/>
          <w:szCs w:val="18"/>
          <w:color w:val="4D4D4F"/>
        </w:rPr>
        <w:t>be independent of any particular constituency and able to represent all of our stockholders.</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595959"/>
        </w:rPr>
        <w:t>The board is to conduct a self-assessment process every year and to periodically review the diversity of skills and characteristics needed in the board’s oversight of our company, as well as the effectiveness of the mix of skills and experience. The board considers the skill areas represented on the board, those skill areas represented by any directors who are expected to retire or leave the board in the near future, and recommendations of directors regarding skills that could improve the ability of the board to carry out its responsibilities. Although we do not have a formal diversity policy, the nominating and governance committee seeks to identify candidates who will enhance the board’s overall diversity.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Identifying and Evaluating Nominees for Directors</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95959"/>
        </w:rPr>
        <w:t>When the board of directors or its nominating and governance committee has identified the need to add a new director with specific qualifications or to fill a vacancy on the board, the chair of the nominating and governance committee will initiate a search, seeking input from other directors and senior management, review any candidates that the nominating and governance committee has previously identified, and, if necessary, hire a search firm. The nominating and governance committee will identify the initial list of candidates who satisfy the specific criteria and otherwise qualify for membership on the board. At least one member of the nominating and governance committee (preferably the chair) and the Chair of the Board and Chief Executive Officer will interview each qualified candidate; other directors will also interview the candidate if practicable. Based on a satisfactory outcome of those interviews, the nominating and governance committee will make its recommendation on the candidate to the board.</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595959"/>
        </w:rPr>
        <w:t>Our bylaws include a procedure that stockholders must follow in order to nominate a person for election as a director at an annual meeting of stockholders. The Bylaws require that timely notice of the nomination in proper written form, including all required information, be provided to the Corporate Secretary.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Information Concerning Nominees for Election as Directors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4D4D4F"/>
        </w:rPr>
        <w:t>The information appearing in the following table sets forth, for each nominee for election as a director, as of April 8, 2021:</w:t>
      </w:r>
    </w:p>
    <w:p>
      <w:pPr>
        <w:spacing w:after="0" w:line="5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4D4D4F"/>
        </w:rPr>
      </w:pPr>
      <w:r>
        <w:rPr>
          <w:rFonts w:ascii="Arial" w:cs="Arial" w:eastAsia="Arial" w:hAnsi="Arial"/>
          <w:sz w:val="18"/>
          <w:szCs w:val="18"/>
          <w:color w:val="4D4D4F"/>
        </w:rPr>
        <w:t>the nominee’s professional experience for at least the past five years;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4"/>
        </w:numPr>
        <w:rPr>
          <w:rFonts w:ascii="Arial" w:cs="Arial" w:eastAsia="Arial" w:hAnsi="Arial"/>
          <w:sz w:val="18"/>
          <w:szCs w:val="18"/>
          <w:color w:val="4D4D4F"/>
        </w:rPr>
      </w:pPr>
      <w:r>
        <w:rPr>
          <w:rFonts w:ascii="Arial" w:cs="Arial" w:eastAsia="Arial" w:hAnsi="Arial"/>
          <w:sz w:val="18"/>
          <w:szCs w:val="18"/>
          <w:color w:val="4D4D4F"/>
        </w:rPr>
        <w:t>the year in which the nominee first became one of our directors;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34"/>
        </w:numPr>
        <w:rPr>
          <w:rFonts w:ascii="Arial" w:cs="Arial" w:eastAsia="Arial" w:hAnsi="Arial"/>
          <w:sz w:val="18"/>
          <w:szCs w:val="18"/>
          <w:color w:val="4D4D4F"/>
        </w:rPr>
      </w:pPr>
      <w:r>
        <w:rPr>
          <w:rFonts w:ascii="Arial" w:cs="Arial" w:eastAsia="Arial" w:hAnsi="Arial"/>
          <w:sz w:val="18"/>
          <w:szCs w:val="18"/>
          <w:color w:val="4D4D4F"/>
        </w:rPr>
        <w:t>each committee of the board of directors on which the nominee currently serves;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4"/>
        </w:numPr>
        <w:rPr>
          <w:rFonts w:ascii="Arial" w:cs="Arial" w:eastAsia="Arial" w:hAnsi="Arial"/>
          <w:sz w:val="18"/>
          <w:szCs w:val="18"/>
          <w:color w:val="4D4D4F"/>
        </w:rPr>
      </w:pPr>
      <w:r>
        <w:rPr>
          <w:rFonts w:ascii="Arial" w:cs="Arial" w:eastAsia="Arial" w:hAnsi="Arial"/>
          <w:sz w:val="18"/>
          <w:szCs w:val="18"/>
          <w:color w:val="4D4D4F"/>
        </w:rPr>
        <w:t>the nominee’s age as of the record date for the Annual Meeting;</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34"/>
        </w:numPr>
        <w:rPr>
          <w:rFonts w:ascii="Arial" w:cs="Arial" w:eastAsia="Arial" w:hAnsi="Arial"/>
          <w:sz w:val="18"/>
          <w:szCs w:val="18"/>
          <w:color w:val="4D4D4F"/>
        </w:rPr>
      </w:pPr>
      <w:r>
        <w:rPr>
          <w:rFonts w:ascii="Arial" w:cs="Arial" w:eastAsia="Arial" w:hAnsi="Arial"/>
          <w:sz w:val="18"/>
          <w:szCs w:val="18"/>
          <w:color w:val="4D4D4F"/>
        </w:rPr>
        <w:t>the relevant skills the nominee possesses that qualify him or her for nomination to the board; and</w:t>
      </w:r>
    </w:p>
    <w:p>
      <w:pPr>
        <w:spacing w:after="0" w:line="76"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34"/>
        </w:numPr>
        <w:rPr>
          <w:rFonts w:ascii="Arial" w:cs="Arial" w:eastAsia="Arial" w:hAnsi="Arial"/>
          <w:sz w:val="18"/>
          <w:szCs w:val="18"/>
          <w:color w:val="4D4D4F"/>
        </w:rPr>
      </w:pPr>
      <w:r>
        <w:rPr>
          <w:rFonts w:ascii="Arial" w:cs="Arial" w:eastAsia="Arial" w:hAnsi="Arial"/>
          <w:sz w:val="18"/>
          <w:szCs w:val="18"/>
          <w:color w:val="4D4D4F"/>
        </w:rPr>
        <w:t>directorships held by each nominee presently and at any time during the past five years at any public company or registered investment company.</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18"/>
          <w:szCs w:val="18"/>
          <w:color w:val="595959"/>
        </w:rPr>
        <w:t>Yinan Xiang has been nominated in accordance with a voting agreement with one of our stockholders. See “Corporate Governance— Director Nomination Rights.”</w:t>
      </w:r>
    </w:p>
    <w:p>
      <w:pPr>
        <w:sectPr>
          <w:pgSz w:w="11900" w:h="16838" w:orient="portrait"/>
          <w:cols w:equalWidth="0" w:num="1">
            <w:col w:w="11240"/>
          </w:cols>
          <w:pgMar w:left="320" w:top="130" w:right="339" w:bottom="1440" w:gutter="0" w:footer="0" w:header="0"/>
        </w:sectPr>
      </w:pPr>
    </w:p>
    <w:p>
      <w:pPr>
        <w:spacing w:after="0" w:line="175"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595959"/>
        </w:rPr>
        <w:t>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925830" cy="1225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25830" cy="1225550"/>
                    </a:xfrm>
                    <a:prstGeom prst="rect">
                      <a:avLst/>
                    </a:prstGeom>
                    <a:noFill/>
                  </pic:spPr>
                </pic:pic>
              </a:graphicData>
            </a:graphic>
          </wp:anchor>
        </w:drawing>
      </w:r>
    </w:p>
    <w:p>
      <w:pPr>
        <w:spacing w:after="0" w:line="92"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Age: 59</w:t>
      </w:r>
    </w:p>
    <w:p>
      <w:pPr>
        <w:spacing w:after="0" w:line="77"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ACM Board Service</w:t>
      </w:r>
    </w:p>
    <w:p>
      <w:pPr>
        <w:spacing w:after="0" w:line="50" w:lineRule="exact"/>
        <w:rPr>
          <w:sz w:val="20"/>
          <w:szCs w:val="20"/>
          <w:color w:val="auto"/>
        </w:rPr>
      </w:pPr>
    </w:p>
    <w:p>
      <w:pPr>
        <w:ind w:left="2200" w:hanging="302"/>
        <w:spacing w:after="0"/>
        <w:tabs>
          <w:tab w:leader="none" w:pos="2200" w:val="left"/>
        </w:tabs>
        <w:numPr>
          <w:ilvl w:val="0"/>
          <w:numId w:val="35"/>
        </w:numPr>
        <w:rPr>
          <w:rFonts w:ascii="Arial" w:cs="Arial" w:eastAsia="Arial" w:hAnsi="Arial"/>
          <w:sz w:val="18"/>
          <w:szCs w:val="18"/>
          <w:color w:val="595959"/>
        </w:rPr>
      </w:pPr>
      <w:r>
        <w:rPr>
          <w:rFonts w:ascii="Arial" w:cs="Arial" w:eastAsia="Arial" w:hAnsi="Arial"/>
          <w:sz w:val="18"/>
          <w:szCs w:val="18"/>
          <w:color w:val="595959"/>
        </w:rPr>
        <w:t>Tenure: 23 years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79" w:lineRule="exact"/>
        <w:rPr>
          <w:sz w:val="20"/>
          <w:szCs w:val="20"/>
          <w:color w:val="auto"/>
        </w:rPr>
      </w:pPr>
    </w:p>
    <w:p>
      <w:pPr>
        <w:ind w:left="340" w:hanging="332"/>
        <w:spacing w:after="0" w:line="289" w:lineRule="auto"/>
        <w:tabs>
          <w:tab w:leader="none" w:pos="340" w:val="left"/>
        </w:tabs>
        <w:numPr>
          <w:ilvl w:val="0"/>
          <w:numId w:val="36"/>
        </w:numPr>
        <w:rPr>
          <w:rFonts w:ascii="Arial" w:cs="Arial" w:eastAsia="Arial" w:hAnsi="Arial"/>
          <w:sz w:val="18"/>
          <w:szCs w:val="18"/>
          <w:color w:val="595959"/>
        </w:rPr>
      </w:pPr>
      <w:r>
        <w:rPr>
          <w:rFonts w:ascii="Arial" w:cs="Arial" w:eastAsia="Arial" w:hAnsi="Arial"/>
          <w:sz w:val="18"/>
          <w:szCs w:val="18"/>
          <w:color w:val="595959"/>
        </w:rPr>
        <w:t>Founder, Chief Executive Oﬃcer, President and one of our directors since 1998.</w:t>
      </w:r>
    </w:p>
    <w:p>
      <w:pPr>
        <w:spacing w:after="0" w:line="1" w:lineRule="exact"/>
        <w:rPr>
          <w:rFonts w:ascii="Arial" w:cs="Arial" w:eastAsia="Arial" w:hAnsi="Arial"/>
          <w:sz w:val="18"/>
          <w:szCs w:val="18"/>
          <w:color w:val="595959"/>
        </w:rPr>
      </w:pPr>
    </w:p>
    <w:p>
      <w:pPr>
        <w:ind w:left="340" w:hanging="332"/>
        <w:spacing w:after="0"/>
        <w:tabs>
          <w:tab w:leader="none" w:pos="340" w:val="left"/>
        </w:tabs>
        <w:numPr>
          <w:ilvl w:val="0"/>
          <w:numId w:val="36"/>
        </w:numPr>
        <w:rPr>
          <w:rFonts w:ascii="Arial" w:cs="Arial" w:eastAsia="Arial" w:hAnsi="Arial"/>
          <w:sz w:val="18"/>
          <w:szCs w:val="18"/>
          <w:color w:val="595959"/>
        </w:rPr>
      </w:pPr>
      <w:r>
        <w:rPr>
          <w:rFonts w:ascii="Arial" w:cs="Arial" w:eastAsia="Arial" w:hAnsi="Arial"/>
          <w:sz w:val="18"/>
          <w:szCs w:val="18"/>
          <w:color w:val="595959"/>
        </w:rPr>
        <w:t>Inventor of stress-free Cu polishing technology.</w:t>
      </w:r>
    </w:p>
    <w:p>
      <w:pPr>
        <w:spacing w:after="0" w:line="136" w:lineRule="exact"/>
        <w:rPr>
          <w:rFonts w:ascii="Arial" w:cs="Arial" w:eastAsia="Arial" w:hAnsi="Arial"/>
          <w:sz w:val="18"/>
          <w:szCs w:val="18"/>
          <w:color w:val="595959"/>
        </w:rPr>
      </w:pPr>
    </w:p>
    <w:p>
      <w:pPr>
        <w:ind w:left="340" w:hanging="332"/>
        <w:spacing w:after="0" w:line="246" w:lineRule="auto"/>
        <w:tabs>
          <w:tab w:leader="none" w:pos="340" w:val="left"/>
        </w:tabs>
        <w:numPr>
          <w:ilvl w:val="0"/>
          <w:numId w:val="36"/>
        </w:numPr>
        <w:rPr>
          <w:rFonts w:ascii="Arial" w:cs="Arial" w:eastAsia="Arial" w:hAnsi="Arial"/>
          <w:sz w:val="18"/>
          <w:szCs w:val="18"/>
          <w:color w:val="595959"/>
        </w:rPr>
      </w:pPr>
      <w:r>
        <w:rPr>
          <w:rFonts w:ascii="Arial" w:cs="Arial" w:eastAsia="Arial" w:hAnsi="Arial"/>
          <w:sz w:val="18"/>
          <w:szCs w:val="18"/>
          <w:color w:val="595959"/>
        </w:rPr>
        <w:t>Holds more than 100 patents in semiconductor equipment and process technology.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Education</w:t>
      </w:r>
    </w:p>
    <w:p>
      <w:pPr>
        <w:spacing w:after="0" w:line="126" w:lineRule="exact"/>
        <w:rPr>
          <w:sz w:val="20"/>
          <w:szCs w:val="20"/>
          <w:color w:val="auto"/>
        </w:rPr>
      </w:pPr>
    </w:p>
    <w:p>
      <w:pPr>
        <w:jc w:val="both"/>
        <w:ind w:left="340" w:hanging="332"/>
        <w:spacing w:after="0"/>
        <w:tabs>
          <w:tab w:leader="none" w:pos="340" w:val="left"/>
        </w:tabs>
        <w:numPr>
          <w:ilvl w:val="0"/>
          <w:numId w:val="37"/>
        </w:numPr>
        <w:rPr>
          <w:rFonts w:ascii="Arial" w:cs="Arial" w:eastAsia="Arial" w:hAnsi="Arial"/>
          <w:sz w:val="18"/>
          <w:szCs w:val="18"/>
          <w:color w:val="4D4D4F"/>
        </w:rPr>
      </w:pPr>
      <w:r>
        <w:rPr>
          <w:rFonts w:ascii="Arial" w:cs="Arial" w:eastAsia="Arial" w:hAnsi="Arial"/>
          <w:sz w:val="18"/>
          <w:szCs w:val="18"/>
          <w:color w:val="595959"/>
        </w:rPr>
        <w:t>Received a Ph.D. and Master of Engineering in Precision Engineering from Osaka University and a Bachelor of Science in Precision Instruments from Tsinghua University.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90" w:lineRule="exact"/>
        <w:rPr>
          <w:rFonts w:ascii="Arial" w:cs="Arial" w:eastAsia="Arial" w:hAnsi="Arial"/>
          <w:sz w:val="18"/>
          <w:szCs w:val="18"/>
          <w:color w:val="595959"/>
        </w:rPr>
      </w:pPr>
    </w:p>
    <w:p>
      <w:pPr>
        <w:ind w:left="340" w:hanging="332"/>
        <w:spacing w:after="0"/>
        <w:tabs>
          <w:tab w:leader="none" w:pos="340" w:val="left"/>
        </w:tabs>
        <w:numPr>
          <w:ilvl w:val="0"/>
          <w:numId w:val="38"/>
        </w:numPr>
        <w:rPr>
          <w:rFonts w:ascii="Arial" w:cs="Arial" w:eastAsia="Arial" w:hAnsi="Arial"/>
          <w:sz w:val="18"/>
          <w:szCs w:val="18"/>
          <w:color w:val="595959"/>
        </w:rPr>
      </w:pPr>
      <w:r>
        <w:rPr>
          <w:rFonts w:ascii="Arial" w:cs="Arial" w:eastAsia="Arial" w:hAnsi="Arial"/>
          <w:sz w:val="18"/>
          <w:szCs w:val="18"/>
          <w:color w:val="595959"/>
        </w:rPr>
        <w:t>Innovation</w:t>
      </w:r>
    </w:p>
    <w:p>
      <w:pPr>
        <w:spacing w:after="0" w:line="136" w:lineRule="exact"/>
        <w:rPr>
          <w:rFonts w:ascii="Arial" w:cs="Arial" w:eastAsia="Arial" w:hAnsi="Arial"/>
          <w:sz w:val="18"/>
          <w:szCs w:val="18"/>
          <w:color w:val="595959"/>
        </w:rPr>
      </w:pPr>
    </w:p>
    <w:p>
      <w:pPr>
        <w:ind w:left="340" w:hanging="332"/>
        <w:spacing w:after="0"/>
        <w:tabs>
          <w:tab w:leader="none" w:pos="340" w:val="left"/>
        </w:tabs>
        <w:numPr>
          <w:ilvl w:val="0"/>
          <w:numId w:val="38"/>
        </w:numPr>
        <w:rPr>
          <w:rFonts w:ascii="Arial" w:cs="Arial" w:eastAsia="Arial" w:hAnsi="Arial"/>
          <w:sz w:val="18"/>
          <w:szCs w:val="18"/>
          <w:color w:val="4D4D4F"/>
        </w:rPr>
      </w:pPr>
      <w:r>
        <w:rPr>
          <w:rFonts w:ascii="Arial" w:cs="Arial" w:eastAsia="Arial" w:hAnsi="Arial"/>
          <w:sz w:val="18"/>
          <w:szCs w:val="18"/>
          <w:color w:val="595959"/>
        </w:rPr>
        <w:t>Leadership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595959"/>
        </w:rPr>
        <w:t>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-116205</wp:posOffset>
            </wp:positionV>
            <wp:extent cx="908685" cy="12255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8685" cy="1225550"/>
                    </a:xfrm>
                    <a:prstGeom prst="rect">
                      <a:avLst/>
                    </a:prstGeom>
                    <a:noFill/>
                  </pic:spPr>
                </pic:pic>
              </a:graphicData>
            </a:graphic>
          </wp:anchor>
        </w:drawing>
      </w:r>
    </w:p>
    <w:p>
      <w:pPr>
        <w:spacing w:after="0" w:line="52"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Age: 71</w:t>
      </w:r>
    </w:p>
    <w:p>
      <w:pPr>
        <w:spacing w:after="0" w:line="45"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ACM Board Service</w:t>
      </w:r>
    </w:p>
    <w:p>
      <w:pPr>
        <w:ind w:left="2240" w:hanging="341"/>
        <w:spacing w:after="0"/>
        <w:tabs>
          <w:tab w:leader="none" w:pos="2240" w:val="left"/>
        </w:tabs>
        <w:numPr>
          <w:ilvl w:val="0"/>
          <w:numId w:val="39"/>
        </w:numPr>
        <w:rPr>
          <w:rFonts w:ascii="Arial" w:cs="Arial" w:eastAsia="Arial" w:hAnsi="Arial"/>
          <w:sz w:val="18"/>
          <w:szCs w:val="18"/>
          <w:color w:val="595959"/>
        </w:rPr>
      </w:pPr>
      <w:r>
        <w:rPr>
          <w:rFonts w:ascii="Arial" w:cs="Arial" w:eastAsia="Arial" w:hAnsi="Arial"/>
          <w:sz w:val="18"/>
          <w:szCs w:val="18"/>
          <w:color w:val="595959"/>
        </w:rPr>
        <w:t>Tenure: 18 years (2003)</w:t>
      </w:r>
    </w:p>
    <w:p>
      <w:pPr>
        <w:spacing w:after="0" w:line="45" w:lineRule="exact"/>
        <w:rPr>
          <w:rFonts w:ascii="Arial" w:cs="Arial" w:eastAsia="Arial" w:hAnsi="Arial"/>
          <w:sz w:val="18"/>
          <w:szCs w:val="18"/>
          <w:color w:val="595959"/>
        </w:rPr>
      </w:pPr>
    </w:p>
    <w:p>
      <w:pPr>
        <w:ind w:left="2240" w:hanging="341"/>
        <w:spacing w:after="0"/>
        <w:tabs>
          <w:tab w:leader="none" w:pos="2240" w:val="left"/>
        </w:tabs>
        <w:numPr>
          <w:ilvl w:val="0"/>
          <w:numId w:val="39"/>
        </w:numPr>
        <w:rPr>
          <w:rFonts w:ascii="Arial" w:cs="Arial" w:eastAsia="Arial" w:hAnsi="Arial"/>
          <w:sz w:val="18"/>
          <w:szCs w:val="18"/>
          <w:color w:val="595959"/>
        </w:rPr>
      </w:pPr>
      <w:r>
        <w:rPr>
          <w:rFonts w:ascii="Arial" w:cs="Arial" w:eastAsia="Arial" w:hAnsi="Arial"/>
          <w:sz w:val="18"/>
          <w:szCs w:val="18"/>
          <w:color w:val="595959"/>
        </w:rPr>
        <w:t>Committees:</w:t>
      </w:r>
    </w:p>
    <w:p>
      <w:pPr>
        <w:ind w:left="2420" w:hanging="197"/>
        <w:spacing w:after="0" w:line="234" w:lineRule="auto"/>
        <w:tabs>
          <w:tab w:leader="none" w:pos="2420" w:val="left"/>
        </w:tabs>
        <w:numPr>
          <w:ilvl w:val="1"/>
          <w:numId w:val="39"/>
        </w:numPr>
        <w:rPr>
          <w:rFonts w:ascii="Arial" w:cs="Arial" w:eastAsia="Arial" w:hAnsi="Arial"/>
          <w:sz w:val="14"/>
          <w:szCs w:val="14"/>
          <w:color w:val="595959"/>
        </w:rPr>
      </w:pPr>
      <w:r>
        <w:rPr>
          <w:rFonts w:ascii="Arial" w:cs="Arial" w:eastAsia="Arial" w:hAnsi="Arial"/>
          <w:sz w:val="18"/>
          <w:szCs w:val="18"/>
          <w:color w:val="595959"/>
        </w:rPr>
        <w:t>Audit</w:t>
      </w:r>
    </w:p>
    <w:p>
      <w:pPr>
        <w:ind w:left="2420" w:hanging="197"/>
        <w:spacing w:after="0"/>
        <w:tabs>
          <w:tab w:leader="none" w:pos="2420" w:val="left"/>
        </w:tabs>
        <w:numPr>
          <w:ilvl w:val="1"/>
          <w:numId w:val="39"/>
        </w:numPr>
        <w:rPr>
          <w:rFonts w:ascii="Arial" w:cs="Arial" w:eastAsia="Arial" w:hAnsi="Arial"/>
          <w:sz w:val="14"/>
          <w:szCs w:val="14"/>
          <w:color w:val="595959"/>
        </w:rPr>
      </w:pPr>
      <w:r>
        <w:rPr>
          <w:rFonts w:ascii="Arial" w:cs="Arial" w:eastAsia="Arial" w:hAnsi="Arial"/>
          <w:sz w:val="18"/>
          <w:szCs w:val="18"/>
          <w:color w:val="595959"/>
        </w:rPr>
        <w:t>Compensation (Chair)</w:t>
      </w:r>
    </w:p>
    <w:p>
      <w:pPr>
        <w:spacing w:after="0" w:line="1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0070C0"/>
        </w:rPr>
        <w:t>INDEPENDENT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Professional Experience</w:t>
      </w:r>
    </w:p>
    <w:p>
      <w:pPr>
        <w:spacing w:after="0" w:line="79" w:lineRule="exact"/>
        <w:rPr>
          <w:sz w:val="20"/>
          <w:szCs w:val="20"/>
          <w:color w:val="auto"/>
        </w:rPr>
      </w:pPr>
    </w:p>
    <w:p>
      <w:pPr>
        <w:ind w:left="300" w:hanging="291"/>
        <w:spacing w:after="0"/>
        <w:tabs>
          <w:tab w:leader="none" w:pos="30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Served as one of our directors since 2003.</w:t>
      </w:r>
    </w:p>
    <w:p>
      <w:pPr>
        <w:spacing w:after="0" w:line="90" w:lineRule="exact"/>
        <w:rPr>
          <w:rFonts w:ascii="Arial" w:cs="Arial" w:eastAsia="Arial" w:hAnsi="Arial"/>
          <w:sz w:val="18"/>
          <w:szCs w:val="18"/>
          <w:color w:val="595959"/>
        </w:rPr>
      </w:pPr>
    </w:p>
    <w:p>
      <w:pPr>
        <w:ind w:left="300" w:hanging="291"/>
        <w:spacing w:after="0" w:line="316" w:lineRule="auto"/>
        <w:tabs>
          <w:tab w:leader="none" w:pos="30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Former President of Champion Microelectronic Corp., a public company in Taiwan, from 2008 through 2018.</w:t>
      </w:r>
    </w:p>
    <w:p>
      <w:pPr>
        <w:ind w:left="300" w:right="20" w:hanging="291"/>
        <w:spacing w:after="0" w:line="246" w:lineRule="auto"/>
        <w:tabs>
          <w:tab w:leader="none" w:pos="300" w:val="left"/>
        </w:tabs>
        <w:numPr>
          <w:ilvl w:val="0"/>
          <w:numId w:val="40"/>
        </w:numPr>
        <w:rPr>
          <w:rFonts w:ascii="Arial" w:cs="Arial" w:eastAsia="Arial" w:hAnsi="Arial"/>
          <w:sz w:val="18"/>
          <w:szCs w:val="18"/>
          <w:color w:val="595959"/>
        </w:rPr>
      </w:pPr>
      <w:r>
        <w:rPr>
          <w:rFonts w:ascii="Arial" w:cs="Arial" w:eastAsia="Arial" w:hAnsi="Arial"/>
          <w:sz w:val="18"/>
          <w:szCs w:val="18"/>
          <w:color w:val="595959"/>
        </w:rPr>
        <w:t>Former Senior Director of Intel Corporation, a company where he was employed from 1983 to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Education</w:t>
      </w:r>
    </w:p>
    <w:p>
      <w:pPr>
        <w:spacing w:after="0" w:line="126" w:lineRule="exact"/>
        <w:rPr>
          <w:sz w:val="20"/>
          <w:szCs w:val="20"/>
          <w:color w:val="auto"/>
        </w:rPr>
      </w:pPr>
    </w:p>
    <w:p>
      <w:pPr>
        <w:jc w:val="both"/>
        <w:ind w:left="340" w:right="20" w:hanging="331"/>
        <w:spacing w:after="0" w:line="238" w:lineRule="auto"/>
        <w:tabs>
          <w:tab w:leader="none" w:pos="340" w:val="left"/>
        </w:tabs>
        <w:numPr>
          <w:ilvl w:val="0"/>
          <w:numId w:val="41"/>
        </w:numPr>
        <w:rPr>
          <w:rFonts w:ascii="Arial" w:cs="Arial" w:eastAsia="Arial" w:hAnsi="Arial"/>
          <w:sz w:val="18"/>
          <w:szCs w:val="18"/>
          <w:color w:val="595959"/>
        </w:rPr>
      </w:pPr>
      <w:r>
        <w:rPr>
          <w:rFonts w:ascii="Arial" w:cs="Arial" w:eastAsia="Arial" w:hAnsi="Arial"/>
          <w:sz w:val="18"/>
          <w:szCs w:val="18"/>
          <w:color w:val="595959"/>
        </w:rPr>
        <w:t>Received a Ph.D. in material science and engineering from Stanford University, a Master of Science in physics from the University of Washington and a Bachelor of Science in physics from National Taiwan University.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340" w:hanging="331"/>
        <w:spacing w:after="0"/>
        <w:tabs>
          <w:tab w:leader="none" w:pos="340" w:val="left"/>
        </w:tabs>
        <w:numPr>
          <w:ilvl w:val="0"/>
          <w:numId w:val="42"/>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90" w:lineRule="exact"/>
        <w:rPr>
          <w:rFonts w:ascii="Arial" w:cs="Arial" w:eastAsia="Arial" w:hAnsi="Arial"/>
          <w:sz w:val="18"/>
          <w:szCs w:val="18"/>
          <w:color w:val="595959"/>
        </w:rPr>
      </w:pPr>
    </w:p>
    <w:p>
      <w:pPr>
        <w:ind w:left="340" w:hanging="331"/>
        <w:spacing w:after="0"/>
        <w:tabs>
          <w:tab w:leader="none" w:pos="340" w:val="left"/>
        </w:tabs>
        <w:numPr>
          <w:ilvl w:val="0"/>
          <w:numId w:val="42"/>
        </w:numPr>
        <w:rPr>
          <w:rFonts w:ascii="Arial" w:cs="Arial" w:eastAsia="Arial" w:hAnsi="Arial"/>
          <w:sz w:val="18"/>
          <w:szCs w:val="18"/>
          <w:color w:val="595959"/>
        </w:rPr>
      </w:pPr>
      <w:r>
        <w:rPr>
          <w:rFonts w:ascii="Arial" w:cs="Arial" w:eastAsia="Arial" w:hAnsi="Arial"/>
          <w:sz w:val="18"/>
          <w:szCs w:val="18"/>
          <w:color w:val="595959"/>
        </w:rPr>
        <w:t>Global</w:t>
      </w:r>
    </w:p>
    <w:p>
      <w:pPr>
        <w:spacing w:after="0" w:line="136" w:lineRule="exact"/>
        <w:rPr>
          <w:rFonts w:ascii="Arial" w:cs="Arial" w:eastAsia="Arial" w:hAnsi="Arial"/>
          <w:sz w:val="18"/>
          <w:szCs w:val="18"/>
          <w:color w:val="595959"/>
        </w:rPr>
      </w:pPr>
    </w:p>
    <w:p>
      <w:pPr>
        <w:ind w:left="340" w:hanging="331"/>
        <w:spacing w:after="0"/>
        <w:tabs>
          <w:tab w:leader="none" w:pos="340" w:val="left"/>
        </w:tabs>
        <w:numPr>
          <w:ilvl w:val="0"/>
          <w:numId w:val="42"/>
        </w:numPr>
        <w:rPr>
          <w:rFonts w:ascii="Arial" w:cs="Arial" w:eastAsia="Arial" w:hAnsi="Arial"/>
          <w:sz w:val="18"/>
          <w:szCs w:val="18"/>
          <w:color w:val="595959"/>
        </w:rPr>
      </w:pPr>
      <w:r>
        <w:rPr>
          <w:rFonts w:ascii="Arial" w:cs="Arial" w:eastAsia="Arial" w:hAnsi="Arial"/>
          <w:sz w:val="18"/>
          <w:szCs w:val="18"/>
          <w:color w:val="595959"/>
        </w:rPr>
        <w:t>Leadership</w:t>
      </w:r>
    </w:p>
    <w:p>
      <w:pPr>
        <w:spacing w:after="0" w:line="200" w:lineRule="exact"/>
        <w:rPr>
          <w:sz w:val="20"/>
          <w:szCs w:val="20"/>
          <w:color w:val="auto"/>
        </w:rPr>
      </w:pPr>
    </w:p>
    <w:p>
      <w:pPr>
        <w:sectPr>
          <w:pgSz w:w="11900" w:h="16838" w:orient="portrait"/>
          <w:cols w:equalWidth="0" w:num="2">
            <w:col w:w="5380" w:space="460"/>
            <w:col w:w="5400"/>
          </w:cols>
          <w:pgMar w:left="320" w:top="130" w:right="339" w:bottom="1440" w:gutter="0" w:footer="0" w:header="0"/>
          <w:type w:val="continuous"/>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595959"/>
        </w:rPr>
        <w:t>CHENMING C.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99795" cy="1208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99795" cy="1208405"/>
                    </a:xfrm>
                    <a:prstGeom prst="rect">
                      <a:avLst/>
                    </a:prstGeom>
                    <a:noFill/>
                  </pic:spPr>
                </pic:pic>
              </a:graphicData>
            </a:graphic>
          </wp:anchor>
        </w:drawing>
      </w:r>
    </w:p>
    <w:p>
      <w:pPr>
        <w:spacing w:after="0" w:line="52"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Age: 73</w:t>
      </w:r>
    </w:p>
    <w:p>
      <w:pPr>
        <w:spacing w:after="0" w:line="45"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ACM Board Service</w:t>
      </w:r>
    </w:p>
    <w:p>
      <w:pPr>
        <w:ind w:left="2240" w:hanging="342"/>
        <w:spacing w:after="0"/>
        <w:tabs>
          <w:tab w:leader="none" w:pos="2240" w:val="left"/>
        </w:tabs>
        <w:numPr>
          <w:ilvl w:val="0"/>
          <w:numId w:val="43"/>
        </w:numPr>
        <w:rPr>
          <w:rFonts w:ascii="Arial" w:cs="Arial" w:eastAsia="Arial" w:hAnsi="Arial"/>
          <w:sz w:val="18"/>
          <w:szCs w:val="18"/>
          <w:color w:val="595959"/>
        </w:rPr>
      </w:pPr>
      <w:r>
        <w:rPr>
          <w:rFonts w:ascii="Arial" w:cs="Arial" w:eastAsia="Arial" w:hAnsi="Arial"/>
          <w:sz w:val="18"/>
          <w:szCs w:val="18"/>
          <w:color w:val="595959"/>
        </w:rPr>
        <w:t>Tenure: 4 years (2017)</w:t>
      </w:r>
    </w:p>
    <w:p>
      <w:pPr>
        <w:spacing w:after="0" w:line="49" w:lineRule="exact"/>
        <w:rPr>
          <w:rFonts w:ascii="Arial" w:cs="Arial" w:eastAsia="Arial" w:hAnsi="Arial"/>
          <w:sz w:val="18"/>
          <w:szCs w:val="18"/>
          <w:color w:val="595959"/>
        </w:rPr>
      </w:pPr>
    </w:p>
    <w:p>
      <w:pPr>
        <w:ind w:left="2220" w:right="880" w:hanging="322"/>
        <w:spacing w:after="0" w:line="274" w:lineRule="auto"/>
        <w:tabs>
          <w:tab w:leader="none" w:pos="2229" w:val="left"/>
        </w:tabs>
        <w:numPr>
          <w:ilvl w:val="0"/>
          <w:numId w:val="43"/>
        </w:numPr>
        <w:rPr>
          <w:rFonts w:ascii="Arial" w:cs="Arial" w:eastAsia="Arial" w:hAnsi="Arial"/>
          <w:sz w:val="17"/>
          <w:szCs w:val="17"/>
          <w:color w:val="595959"/>
        </w:rPr>
      </w:pPr>
      <w:r>
        <w:rPr>
          <w:rFonts w:ascii="Arial" w:cs="Arial" w:eastAsia="Arial" w:hAnsi="Arial"/>
          <w:sz w:val="17"/>
          <w:szCs w:val="17"/>
          <w:color w:val="595959"/>
        </w:rPr>
        <w:t>Nominating and Governance Committee (Chair)</w:t>
      </w:r>
    </w:p>
    <w:p>
      <w:pPr>
        <w:spacing w:after="0" w:line="28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0070C0"/>
        </w:rPr>
        <w:t>INDEPENDENT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7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Served as one of our directors since January 2017.</w:t>
      </w:r>
    </w:p>
    <w:p>
      <w:pPr>
        <w:spacing w:after="0" w:line="90" w:lineRule="exact"/>
        <w:rPr>
          <w:rFonts w:ascii="Arial" w:cs="Arial" w:eastAsia="Arial" w:hAnsi="Arial"/>
          <w:sz w:val="18"/>
          <w:szCs w:val="18"/>
          <w:color w:val="595959"/>
        </w:rPr>
      </w:pPr>
    </w:p>
    <w:p>
      <w:pPr>
        <w:ind w:left="340" w:hanging="332"/>
        <w:spacing w:after="0" w:line="281" w:lineRule="auto"/>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Served as a member of our board of advisors since May 2016.</w:t>
      </w:r>
    </w:p>
    <w:p>
      <w:pPr>
        <w:spacing w:after="0" w:line="257" w:lineRule="exact"/>
        <w:rPr>
          <w:rFonts w:ascii="Arial" w:cs="Arial" w:eastAsia="Arial" w:hAnsi="Arial"/>
          <w:sz w:val="18"/>
          <w:szCs w:val="18"/>
          <w:color w:val="595959"/>
        </w:rPr>
      </w:pPr>
    </w:p>
    <w:p>
      <w:pPr>
        <w:jc w:val="both"/>
        <w:ind w:left="340" w:right="20" w:hanging="332"/>
        <w:spacing w:after="0" w:line="291" w:lineRule="auto"/>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Professor in electrical engineering and computer sciences at the University of California, Berkeley since 1976.</w:t>
      </w:r>
    </w:p>
    <w:p>
      <w:pPr>
        <w:spacing w:after="0" w:line="200" w:lineRule="exact"/>
        <w:rPr>
          <w:rFonts w:ascii="Arial" w:cs="Arial" w:eastAsia="Arial" w:hAnsi="Arial"/>
          <w:sz w:val="18"/>
          <w:szCs w:val="18"/>
          <w:color w:val="595959"/>
        </w:rPr>
      </w:pPr>
    </w:p>
    <w:p>
      <w:pPr>
        <w:jc w:val="both"/>
        <w:ind w:left="340" w:hanging="332"/>
        <w:spacing w:after="0" w:line="267" w:lineRule="auto"/>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Taiwan Semiconductor Manufacturing Company Distinguished Chair Professor Emeritus and Professor of the Graduate School at the University of California, Berkeley since 2010.</w:t>
      </w:r>
    </w:p>
    <w:p>
      <w:pPr>
        <w:spacing w:after="0" w:line="213" w:lineRule="exact"/>
        <w:rPr>
          <w:rFonts w:ascii="Arial" w:cs="Arial" w:eastAsia="Arial" w:hAnsi="Arial"/>
          <w:sz w:val="18"/>
          <w:szCs w:val="18"/>
          <w:color w:val="595959"/>
        </w:rPr>
      </w:pPr>
    </w:p>
    <w:p>
      <w:pPr>
        <w:ind w:left="340" w:hanging="332"/>
        <w:spacing w:after="0"/>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Developed FinFet in 1999.</w:t>
      </w:r>
    </w:p>
    <w:p>
      <w:pPr>
        <w:spacing w:after="0" w:line="90" w:lineRule="exact"/>
        <w:rPr>
          <w:rFonts w:ascii="Arial" w:cs="Arial" w:eastAsia="Arial" w:hAnsi="Arial"/>
          <w:sz w:val="18"/>
          <w:szCs w:val="18"/>
          <w:color w:val="595959"/>
        </w:rPr>
      </w:pPr>
    </w:p>
    <w:p>
      <w:pPr>
        <w:jc w:val="both"/>
        <w:ind w:left="340" w:hanging="332"/>
        <w:spacing w:after="0" w:line="271" w:lineRule="auto"/>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Served as the Chief Technology Oﬃcer of Taiwan Semiconductor Manufacturing Company Ltd. from 2001 to 2007.</w:t>
      </w:r>
    </w:p>
    <w:p>
      <w:pPr>
        <w:jc w:val="both"/>
        <w:ind w:left="340" w:right="20" w:hanging="332"/>
        <w:spacing w:after="0" w:line="278" w:lineRule="auto"/>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Member of the U.S. National Academy of Engineering and the Chinese Academy of Sciences, and Taiwan’s Academia Sinica.</w:t>
      </w:r>
    </w:p>
    <w:p>
      <w:pPr>
        <w:spacing w:after="0" w:line="28" w:lineRule="exact"/>
        <w:rPr>
          <w:rFonts w:ascii="Arial" w:cs="Arial" w:eastAsia="Arial" w:hAnsi="Arial"/>
          <w:sz w:val="18"/>
          <w:szCs w:val="18"/>
          <w:color w:val="595959"/>
        </w:rPr>
      </w:pPr>
    </w:p>
    <w:p>
      <w:pPr>
        <w:jc w:val="both"/>
        <w:ind w:left="340" w:hanging="332"/>
        <w:spacing w:after="0" w:line="238" w:lineRule="auto"/>
        <w:tabs>
          <w:tab w:leader="none" w:pos="340" w:val="left"/>
        </w:tabs>
        <w:numPr>
          <w:ilvl w:val="0"/>
          <w:numId w:val="44"/>
        </w:numPr>
        <w:rPr>
          <w:rFonts w:ascii="Arial" w:cs="Arial" w:eastAsia="Arial" w:hAnsi="Arial"/>
          <w:sz w:val="18"/>
          <w:szCs w:val="18"/>
          <w:color w:val="595959"/>
        </w:rPr>
      </w:pPr>
      <w:r>
        <w:rPr>
          <w:rFonts w:ascii="Arial" w:cs="Arial" w:eastAsia="Arial" w:hAnsi="Arial"/>
          <w:sz w:val="18"/>
          <w:szCs w:val="18"/>
          <w:color w:val="595959"/>
        </w:rPr>
        <w:t>Received a Master of Science degree and Ph.D. from the University of California, Berkeley and a Bachelor of Science degree from National Taiwan University, all in electrical engineering.</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595959"/>
        </w:rPr>
        <w:t>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-116205</wp:posOffset>
            </wp:positionV>
            <wp:extent cx="925830" cy="1234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25830" cy="123444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595959"/>
        </w:rPr>
        <w:t>Age: 56</w:t>
      </w:r>
    </w:p>
    <w:p>
      <w:pPr>
        <w:ind w:left="1900"/>
        <w:spacing w:after="0" w:line="234" w:lineRule="auto"/>
        <w:rPr>
          <w:sz w:val="20"/>
          <w:szCs w:val="20"/>
          <w:color w:val="auto"/>
        </w:rPr>
      </w:pPr>
      <w:r>
        <w:rPr>
          <w:rFonts w:ascii="Arial" w:cs="Arial" w:eastAsia="Arial" w:hAnsi="Arial"/>
          <w:sz w:val="18"/>
          <w:szCs w:val="18"/>
          <w:color w:val="595959"/>
        </w:rPr>
        <w:t>ACM Board Service</w:t>
      </w:r>
    </w:p>
    <w:p>
      <w:pPr>
        <w:spacing w:after="0" w:line="1" w:lineRule="exact"/>
        <w:rPr>
          <w:sz w:val="20"/>
          <w:szCs w:val="20"/>
          <w:color w:val="auto"/>
        </w:rPr>
      </w:pPr>
    </w:p>
    <w:p>
      <w:pPr>
        <w:ind w:left="2140" w:hanging="241"/>
        <w:spacing w:after="0"/>
        <w:tabs>
          <w:tab w:leader="none" w:pos="21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Tenure: 5 years (2016)</w:t>
      </w:r>
    </w:p>
    <w:p>
      <w:pPr>
        <w:spacing w:after="0" w:line="49" w:lineRule="exact"/>
        <w:rPr>
          <w:rFonts w:ascii="Arial" w:cs="Arial" w:eastAsia="Arial" w:hAnsi="Arial"/>
          <w:sz w:val="18"/>
          <w:szCs w:val="18"/>
          <w:color w:val="595959"/>
        </w:rPr>
      </w:pPr>
    </w:p>
    <w:p>
      <w:pPr>
        <w:ind w:left="2140" w:hanging="241"/>
        <w:spacing w:after="0"/>
        <w:tabs>
          <w:tab w:leader="none" w:pos="2140" w:val="left"/>
        </w:tabs>
        <w:numPr>
          <w:ilvl w:val="0"/>
          <w:numId w:val="45"/>
        </w:numPr>
        <w:rPr>
          <w:rFonts w:ascii="Arial" w:cs="Arial" w:eastAsia="Arial" w:hAnsi="Arial"/>
          <w:sz w:val="18"/>
          <w:szCs w:val="18"/>
          <w:color w:val="595959"/>
        </w:rPr>
      </w:pPr>
      <w:r>
        <w:rPr>
          <w:rFonts w:ascii="Arial" w:cs="Arial" w:eastAsia="Arial" w:hAnsi="Arial"/>
          <w:sz w:val="18"/>
          <w:szCs w:val="18"/>
          <w:color w:val="595959"/>
        </w:rPr>
        <w:t>Committees:</w:t>
      </w:r>
    </w:p>
    <w:p>
      <w:pPr>
        <w:spacing w:after="0" w:line="49" w:lineRule="exact"/>
        <w:rPr>
          <w:rFonts w:ascii="Arial" w:cs="Arial" w:eastAsia="Arial" w:hAnsi="Arial"/>
          <w:sz w:val="18"/>
          <w:szCs w:val="18"/>
          <w:color w:val="595959"/>
        </w:rPr>
      </w:pPr>
    </w:p>
    <w:p>
      <w:pPr>
        <w:ind w:left="2320" w:hanging="162"/>
        <w:spacing w:after="0"/>
        <w:tabs>
          <w:tab w:leader="none" w:pos="2320" w:val="left"/>
        </w:tabs>
        <w:numPr>
          <w:ilvl w:val="1"/>
          <w:numId w:val="45"/>
        </w:numPr>
        <w:rPr>
          <w:rFonts w:ascii="Arial" w:cs="Arial" w:eastAsia="Arial" w:hAnsi="Arial"/>
          <w:sz w:val="14"/>
          <w:szCs w:val="14"/>
          <w:color w:val="595959"/>
        </w:rPr>
      </w:pPr>
      <w:r>
        <w:rPr>
          <w:rFonts w:ascii="Arial" w:cs="Arial" w:eastAsia="Arial" w:hAnsi="Arial"/>
          <w:sz w:val="18"/>
          <w:szCs w:val="18"/>
          <w:color w:val="595959"/>
        </w:rPr>
        <w:t>Audit (Chair)</w:t>
      </w:r>
    </w:p>
    <w:p>
      <w:pPr>
        <w:spacing w:after="0" w:line="45" w:lineRule="exact"/>
        <w:rPr>
          <w:rFonts w:ascii="Arial" w:cs="Arial" w:eastAsia="Arial" w:hAnsi="Arial"/>
          <w:sz w:val="14"/>
          <w:szCs w:val="14"/>
          <w:color w:val="595959"/>
        </w:rPr>
      </w:pPr>
    </w:p>
    <w:p>
      <w:pPr>
        <w:ind w:left="2320" w:hanging="162"/>
        <w:spacing w:after="0"/>
        <w:tabs>
          <w:tab w:leader="none" w:pos="2320" w:val="left"/>
        </w:tabs>
        <w:numPr>
          <w:ilvl w:val="1"/>
          <w:numId w:val="45"/>
        </w:numPr>
        <w:rPr>
          <w:rFonts w:ascii="Arial" w:cs="Arial" w:eastAsia="Arial" w:hAnsi="Arial"/>
          <w:sz w:val="14"/>
          <w:szCs w:val="14"/>
          <w:color w:val="595959"/>
        </w:rPr>
      </w:pPr>
      <w:r>
        <w:rPr>
          <w:rFonts w:ascii="Arial" w:cs="Arial" w:eastAsia="Arial" w:hAnsi="Arial"/>
          <w:sz w:val="18"/>
          <w:szCs w:val="18"/>
          <w:color w:val="595959"/>
        </w:rPr>
        <w:t>Compensation</w:t>
      </w:r>
    </w:p>
    <w:p>
      <w:pPr>
        <w:ind w:left="2320" w:hanging="162"/>
        <w:spacing w:after="0"/>
        <w:tabs>
          <w:tab w:leader="none" w:pos="2320" w:val="left"/>
        </w:tabs>
        <w:numPr>
          <w:ilvl w:val="1"/>
          <w:numId w:val="45"/>
        </w:numPr>
        <w:rPr>
          <w:rFonts w:ascii="Arial" w:cs="Arial" w:eastAsia="Arial" w:hAnsi="Arial"/>
          <w:sz w:val="14"/>
          <w:szCs w:val="14"/>
          <w:color w:val="595959"/>
        </w:rPr>
      </w:pPr>
      <w:r>
        <w:rPr>
          <w:rFonts w:ascii="Arial" w:cs="Arial" w:eastAsia="Arial" w:hAnsi="Arial"/>
          <w:sz w:val="18"/>
          <w:szCs w:val="18"/>
          <w:color w:val="595959"/>
        </w:rPr>
        <w:t>Nominating and Governance</w:t>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0070C0"/>
        </w:rPr>
        <w:t>INDEPENDENT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57" w:lineRule="exact"/>
        <w:rPr>
          <w:sz w:val="20"/>
          <w:szCs w:val="20"/>
          <w:color w:val="auto"/>
        </w:rPr>
      </w:pPr>
    </w:p>
    <w:p>
      <w:pPr>
        <w:ind w:left="340" w:hanging="331"/>
        <w:spacing w:after="0"/>
        <w:tabs>
          <w:tab w:leader="none" w:pos="340" w:val="left"/>
        </w:tabs>
        <w:numPr>
          <w:ilvl w:val="0"/>
          <w:numId w:val="46"/>
        </w:numPr>
        <w:rPr>
          <w:rFonts w:ascii="Arial" w:cs="Arial" w:eastAsia="Arial" w:hAnsi="Arial"/>
          <w:sz w:val="18"/>
          <w:szCs w:val="18"/>
          <w:color w:val="4D4D4F"/>
        </w:rPr>
      </w:pPr>
      <w:r>
        <w:rPr>
          <w:rFonts w:ascii="Arial" w:cs="Arial" w:eastAsia="Arial" w:hAnsi="Arial"/>
          <w:sz w:val="18"/>
          <w:szCs w:val="18"/>
          <w:color w:val="4D4D4F"/>
        </w:rPr>
        <w:t>Served as one of our directors since September 2016.</w:t>
      </w:r>
    </w:p>
    <w:p>
      <w:pPr>
        <w:spacing w:after="0" w:line="90" w:lineRule="exact"/>
        <w:rPr>
          <w:rFonts w:ascii="Arial" w:cs="Arial" w:eastAsia="Arial" w:hAnsi="Arial"/>
          <w:sz w:val="18"/>
          <w:szCs w:val="18"/>
          <w:color w:val="4D4D4F"/>
        </w:rPr>
      </w:pPr>
    </w:p>
    <w:p>
      <w:pPr>
        <w:ind w:left="340" w:hanging="331"/>
        <w:spacing w:after="0" w:line="281" w:lineRule="auto"/>
        <w:tabs>
          <w:tab w:leader="none" w:pos="340" w:val="left"/>
        </w:tabs>
        <w:numPr>
          <w:ilvl w:val="0"/>
          <w:numId w:val="46"/>
        </w:numPr>
        <w:rPr>
          <w:rFonts w:ascii="Arial" w:cs="Arial" w:eastAsia="Arial" w:hAnsi="Arial"/>
          <w:sz w:val="18"/>
          <w:szCs w:val="18"/>
          <w:color w:val="595959"/>
        </w:rPr>
      </w:pPr>
      <w:r>
        <w:rPr>
          <w:rFonts w:ascii="Arial" w:cs="Arial" w:eastAsia="Arial" w:hAnsi="Arial"/>
          <w:sz w:val="18"/>
          <w:szCs w:val="18"/>
          <w:color w:val="4D4D4F"/>
        </w:rPr>
        <w:t>Managing Partner of H&amp;M Int’l CPAs, LLP since January 2017.</w:t>
      </w:r>
    </w:p>
    <w:p>
      <w:pPr>
        <w:spacing w:after="0" w:line="257" w:lineRule="exact"/>
        <w:rPr>
          <w:rFonts w:ascii="Arial" w:cs="Arial" w:eastAsia="Arial" w:hAnsi="Arial"/>
          <w:sz w:val="18"/>
          <w:szCs w:val="18"/>
          <w:color w:val="595959"/>
        </w:rPr>
      </w:pPr>
    </w:p>
    <w:p>
      <w:pPr>
        <w:jc w:val="both"/>
        <w:ind w:left="340" w:hanging="331"/>
        <w:spacing w:after="0" w:line="267" w:lineRule="auto"/>
        <w:tabs>
          <w:tab w:leader="none" w:pos="340" w:val="left"/>
        </w:tabs>
        <w:numPr>
          <w:ilvl w:val="0"/>
          <w:numId w:val="46"/>
        </w:numPr>
        <w:rPr>
          <w:rFonts w:ascii="Arial" w:cs="Arial" w:eastAsia="Arial" w:hAnsi="Arial"/>
          <w:sz w:val="18"/>
          <w:szCs w:val="18"/>
          <w:color w:val="595959"/>
        </w:rPr>
      </w:pPr>
      <w:r>
        <w:rPr>
          <w:rFonts w:ascii="Arial" w:cs="Arial" w:eastAsia="Arial" w:hAnsi="Arial"/>
          <w:sz w:val="18"/>
          <w:szCs w:val="18"/>
          <w:color w:val="595959"/>
        </w:rPr>
        <w:t>Founder and owner of H&amp;M Financial Consulting from 2006 to 2016, where she provided international accounting and tax solutions to high-technology companies.</w:t>
      </w:r>
    </w:p>
    <w:p>
      <w:pPr>
        <w:spacing w:after="0" w:line="213" w:lineRule="exact"/>
        <w:rPr>
          <w:rFonts w:ascii="Arial" w:cs="Arial" w:eastAsia="Arial" w:hAnsi="Arial"/>
          <w:sz w:val="18"/>
          <w:szCs w:val="18"/>
          <w:color w:val="595959"/>
        </w:rPr>
      </w:pPr>
    </w:p>
    <w:p>
      <w:pPr>
        <w:jc w:val="both"/>
        <w:ind w:left="340" w:hanging="331"/>
        <w:spacing w:after="0" w:line="291" w:lineRule="auto"/>
        <w:tabs>
          <w:tab w:leader="none" w:pos="340" w:val="left"/>
        </w:tabs>
        <w:numPr>
          <w:ilvl w:val="0"/>
          <w:numId w:val="46"/>
        </w:numPr>
        <w:rPr>
          <w:rFonts w:ascii="Arial" w:cs="Arial" w:eastAsia="Arial" w:hAnsi="Arial"/>
          <w:sz w:val="18"/>
          <w:szCs w:val="18"/>
          <w:color w:val="595959"/>
        </w:rPr>
      </w:pPr>
      <w:r>
        <w:rPr>
          <w:rFonts w:ascii="Arial" w:cs="Arial" w:eastAsia="Arial" w:hAnsi="Arial"/>
          <w:sz w:val="18"/>
          <w:szCs w:val="18"/>
          <w:color w:val="595959"/>
        </w:rPr>
        <w:t>Received a Bachelor of Science from Nankai University and a Master of Accounting and Tax from Golden Gate University.</w:t>
      </w:r>
    </w:p>
    <w:p>
      <w:pPr>
        <w:spacing w:after="0" w:line="246" w:lineRule="exact"/>
        <w:rPr>
          <w:rFonts w:ascii="Arial" w:cs="Arial" w:eastAsia="Arial" w:hAnsi="Arial"/>
          <w:sz w:val="18"/>
          <w:szCs w:val="18"/>
          <w:color w:val="595959"/>
        </w:rPr>
      </w:pPr>
    </w:p>
    <w:p>
      <w:pPr>
        <w:ind w:left="340" w:hanging="331"/>
        <w:spacing w:after="0" w:line="246" w:lineRule="auto"/>
        <w:tabs>
          <w:tab w:leader="none" w:pos="340" w:val="left"/>
        </w:tabs>
        <w:numPr>
          <w:ilvl w:val="0"/>
          <w:numId w:val="46"/>
        </w:numPr>
        <w:rPr>
          <w:rFonts w:ascii="Arial" w:cs="Arial" w:eastAsia="Arial" w:hAnsi="Arial"/>
          <w:sz w:val="18"/>
          <w:szCs w:val="18"/>
          <w:color w:val="595959"/>
        </w:rPr>
      </w:pPr>
      <w:r>
        <w:rPr>
          <w:rFonts w:ascii="Arial" w:cs="Arial" w:eastAsia="Arial" w:hAnsi="Arial"/>
          <w:sz w:val="18"/>
          <w:szCs w:val="18"/>
          <w:color w:val="595959"/>
        </w:rPr>
        <w:t>Certified Public Accountant and a member of the American Institute of Certified Public Accountants.</w:t>
      </w:r>
    </w:p>
    <w:p>
      <w:pPr>
        <w:spacing w:after="0" w:line="2388" w:lineRule="exact"/>
        <w:rPr>
          <w:sz w:val="20"/>
          <w:szCs w:val="20"/>
          <w:color w:val="auto"/>
        </w:rPr>
      </w:pPr>
    </w:p>
    <w:p>
      <w:pPr>
        <w:sectPr>
          <w:pgSz w:w="11900" w:h="16838" w:orient="portrait"/>
          <w:cols w:equalWidth="0" w:num="2">
            <w:col w:w="5400" w:space="440"/>
            <w:col w:w="5400"/>
          </w:cols>
          <w:pgMar w:left="320" w:top="130" w:right="339" w:bottom="1440" w:gutter="0" w:footer="0" w:header="0"/>
        </w:sectPr>
      </w:pPr>
    </w:p>
    <w:tbl>
      <w:tblPr>
        <w:tblLayout w:type="fixed"/>
        <w:tblInd w:w="0" w:type="dxa"/>
        <w:tblCellMar>
          <w:top w:w="0" w:type="dxa"/>
          <w:left w:w="0" w:type="dxa"/>
          <w:bottom w:w="0" w:type="dxa"/>
          <w:right w:w="0" w:type="dxa"/>
        </w:tblCellMar>
      </w:tblPr>
      <w:tr>
        <w:trPr>
          <w:trHeight w:val="252"/>
        </w:trPr>
        <w:tc>
          <w:tcPr>
            <w:tcW w:w="1960" w:type="dxa"/>
            <w:vAlign w:val="bottom"/>
            <w:gridSpan w:val="2"/>
          </w:tcPr>
          <w:p>
            <w:pPr>
              <w:spacing w:after="0"/>
              <w:rPr>
                <w:sz w:val="20"/>
                <w:szCs w:val="20"/>
                <w:color w:val="auto"/>
              </w:rPr>
            </w:pPr>
            <w:r>
              <w:rPr>
                <w:rFonts w:ascii="Arial" w:cs="Arial" w:eastAsia="Arial" w:hAnsi="Arial"/>
                <w:sz w:val="18"/>
                <w:szCs w:val="18"/>
                <w:b w:val="1"/>
                <w:bCs w:val="1"/>
                <w:color w:val="595959"/>
              </w:rPr>
              <w:t>Relevant Skills</w:t>
            </w:r>
          </w:p>
        </w:tc>
        <w:tc>
          <w:tcPr>
            <w:tcW w:w="9280" w:type="dxa"/>
            <w:vAlign w:val="bottom"/>
            <w:gridSpan w:val="2"/>
          </w:tcPr>
          <w:p>
            <w:pPr>
              <w:ind w:left="3880"/>
              <w:spacing w:after="0"/>
              <w:rPr>
                <w:sz w:val="20"/>
                <w:szCs w:val="20"/>
                <w:color w:val="auto"/>
              </w:rPr>
            </w:pPr>
            <w:r>
              <w:rPr>
                <w:rFonts w:ascii="Arial" w:cs="Arial" w:eastAsia="Arial" w:hAnsi="Arial"/>
                <w:sz w:val="18"/>
                <w:szCs w:val="18"/>
                <w:b w:val="1"/>
                <w:bCs w:val="1"/>
                <w:color w:val="595959"/>
              </w:rPr>
              <w:t>Relevant Skills</w:t>
            </w:r>
          </w:p>
        </w:tc>
      </w:tr>
      <w:tr>
        <w:trPr>
          <w:trHeight w:val="330"/>
        </w:trPr>
        <w:tc>
          <w:tcPr>
            <w:tcW w:w="220" w:type="dxa"/>
            <w:vAlign w:val="bottom"/>
          </w:tcPr>
          <w:p>
            <w:pPr>
              <w:spacing w:after="0"/>
              <w:rPr>
                <w:sz w:val="20"/>
                <w:szCs w:val="20"/>
                <w:color w:val="auto"/>
              </w:rPr>
            </w:pPr>
            <w:r>
              <w:rPr>
                <w:rFonts w:ascii="Arial" w:cs="Arial" w:eastAsia="Arial" w:hAnsi="Arial"/>
                <w:sz w:val="18"/>
                <w:szCs w:val="18"/>
                <w:color w:val="595959"/>
              </w:rPr>
              <w:t>•</w:t>
            </w:r>
          </w:p>
        </w:tc>
        <w:tc>
          <w:tcPr>
            <w:tcW w:w="1740" w:type="dxa"/>
            <w:vAlign w:val="bottom"/>
          </w:tcPr>
          <w:p>
            <w:pPr>
              <w:ind w:left="120"/>
              <w:spacing w:after="0"/>
              <w:rPr>
                <w:sz w:val="20"/>
                <w:szCs w:val="20"/>
                <w:color w:val="auto"/>
              </w:rPr>
            </w:pPr>
            <w:r>
              <w:rPr>
                <w:rFonts w:ascii="Arial" w:cs="Arial" w:eastAsia="Arial" w:hAnsi="Arial"/>
                <w:sz w:val="18"/>
                <w:szCs w:val="18"/>
                <w:color w:val="595959"/>
              </w:rPr>
              <w:t>Innovation</w:t>
            </w:r>
          </w:p>
        </w:tc>
        <w:tc>
          <w:tcPr>
            <w:tcW w:w="4080" w:type="dxa"/>
            <w:vAlign w:val="bottom"/>
          </w:tcPr>
          <w:p>
            <w:pPr>
              <w:ind w:left="3880"/>
              <w:spacing w:after="0"/>
              <w:rPr>
                <w:sz w:val="20"/>
                <w:szCs w:val="20"/>
                <w:color w:val="auto"/>
              </w:rPr>
            </w:pPr>
            <w:r>
              <w:rPr>
                <w:rFonts w:ascii="Arial" w:cs="Arial" w:eastAsia="Arial" w:hAnsi="Arial"/>
                <w:sz w:val="18"/>
                <w:szCs w:val="18"/>
                <w:color w:val="595959"/>
              </w:rPr>
              <w:t>•</w:t>
            </w:r>
          </w:p>
        </w:tc>
        <w:tc>
          <w:tcPr>
            <w:tcW w:w="5200" w:type="dxa"/>
            <w:vAlign w:val="bottom"/>
          </w:tcPr>
          <w:p>
            <w:pPr>
              <w:ind w:left="140"/>
              <w:spacing w:after="0"/>
              <w:rPr>
                <w:sz w:val="20"/>
                <w:szCs w:val="20"/>
                <w:color w:val="auto"/>
              </w:rPr>
            </w:pPr>
            <w:r>
              <w:rPr>
                <w:rFonts w:ascii="Arial" w:cs="Arial" w:eastAsia="Arial" w:hAnsi="Arial"/>
                <w:sz w:val="18"/>
                <w:szCs w:val="18"/>
                <w:color w:val="595959"/>
              </w:rPr>
              <w:t>Finance</w:t>
            </w:r>
          </w:p>
        </w:tc>
      </w:tr>
      <w:tr>
        <w:trPr>
          <w:trHeight w:val="297"/>
        </w:trPr>
        <w:tc>
          <w:tcPr>
            <w:tcW w:w="220" w:type="dxa"/>
            <w:vAlign w:val="bottom"/>
          </w:tcPr>
          <w:p>
            <w:pPr>
              <w:spacing w:after="0"/>
              <w:rPr>
                <w:sz w:val="20"/>
                <w:szCs w:val="20"/>
                <w:color w:val="auto"/>
              </w:rPr>
            </w:pPr>
            <w:r>
              <w:rPr>
                <w:rFonts w:ascii="Arial" w:cs="Arial" w:eastAsia="Arial" w:hAnsi="Arial"/>
                <w:sz w:val="18"/>
                <w:szCs w:val="18"/>
                <w:color w:val="595959"/>
              </w:rPr>
              <w:t>•</w:t>
            </w:r>
          </w:p>
        </w:tc>
        <w:tc>
          <w:tcPr>
            <w:tcW w:w="1740" w:type="dxa"/>
            <w:vAlign w:val="bottom"/>
          </w:tcPr>
          <w:p>
            <w:pPr>
              <w:ind w:left="120"/>
              <w:spacing w:after="0"/>
              <w:rPr>
                <w:sz w:val="20"/>
                <w:szCs w:val="20"/>
                <w:color w:val="auto"/>
              </w:rPr>
            </w:pPr>
            <w:r>
              <w:rPr>
                <w:rFonts w:ascii="Arial" w:cs="Arial" w:eastAsia="Arial" w:hAnsi="Arial"/>
                <w:sz w:val="18"/>
                <w:szCs w:val="18"/>
                <w:color w:val="595959"/>
              </w:rPr>
              <w:t>Industry</w:t>
            </w:r>
          </w:p>
        </w:tc>
        <w:tc>
          <w:tcPr>
            <w:tcW w:w="4080" w:type="dxa"/>
            <w:vAlign w:val="bottom"/>
          </w:tcPr>
          <w:p>
            <w:pPr>
              <w:ind w:left="3880"/>
              <w:spacing w:after="0"/>
              <w:rPr>
                <w:sz w:val="20"/>
                <w:szCs w:val="20"/>
                <w:color w:val="auto"/>
              </w:rPr>
            </w:pPr>
            <w:r>
              <w:rPr>
                <w:rFonts w:ascii="Arial" w:cs="Arial" w:eastAsia="Arial" w:hAnsi="Arial"/>
                <w:sz w:val="18"/>
                <w:szCs w:val="18"/>
                <w:color w:val="595959"/>
              </w:rPr>
              <w:t>•</w:t>
            </w:r>
          </w:p>
        </w:tc>
        <w:tc>
          <w:tcPr>
            <w:tcW w:w="5200" w:type="dxa"/>
            <w:vAlign w:val="bottom"/>
          </w:tcPr>
          <w:p>
            <w:pPr>
              <w:ind w:left="140"/>
              <w:spacing w:after="0"/>
              <w:rPr>
                <w:sz w:val="20"/>
                <w:szCs w:val="20"/>
                <w:color w:val="auto"/>
              </w:rPr>
            </w:pPr>
            <w:r>
              <w:rPr>
                <w:rFonts w:ascii="Arial" w:cs="Arial" w:eastAsia="Arial" w:hAnsi="Arial"/>
                <w:sz w:val="18"/>
                <w:szCs w:val="18"/>
                <w:color w:val="595959"/>
              </w:rPr>
              <w:t>Leadership</w:t>
            </w:r>
          </w:p>
        </w:tc>
      </w:tr>
      <w:tr>
        <w:trPr>
          <w:trHeight w:val="277"/>
        </w:trPr>
        <w:tc>
          <w:tcPr>
            <w:tcW w:w="220" w:type="dxa"/>
            <w:vAlign w:val="bottom"/>
          </w:tcPr>
          <w:p>
            <w:pPr>
              <w:spacing w:after="0"/>
              <w:rPr>
                <w:sz w:val="20"/>
                <w:szCs w:val="20"/>
                <w:color w:val="auto"/>
              </w:rPr>
            </w:pPr>
            <w:r>
              <w:rPr>
                <w:rFonts w:ascii="Arial" w:cs="Arial" w:eastAsia="Arial" w:hAnsi="Arial"/>
                <w:sz w:val="18"/>
                <w:szCs w:val="18"/>
                <w:color w:val="595959"/>
              </w:rPr>
              <w:t>•</w:t>
            </w:r>
          </w:p>
        </w:tc>
        <w:tc>
          <w:tcPr>
            <w:tcW w:w="1740" w:type="dxa"/>
            <w:vAlign w:val="bottom"/>
          </w:tcPr>
          <w:p>
            <w:pPr>
              <w:ind w:left="120"/>
              <w:spacing w:after="0"/>
              <w:rPr>
                <w:sz w:val="20"/>
                <w:szCs w:val="20"/>
                <w:color w:val="auto"/>
              </w:rPr>
            </w:pPr>
            <w:r>
              <w:rPr>
                <w:rFonts w:ascii="Arial" w:cs="Arial" w:eastAsia="Arial" w:hAnsi="Arial"/>
                <w:sz w:val="18"/>
                <w:szCs w:val="18"/>
                <w:color w:val="595959"/>
              </w:rPr>
              <w:t>Education</w:t>
            </w:r>
          </w:p>
        </w:tc>
        <w:tc>
          <w:tcPr>
            <w:tcW w:w="4080" w:type="dxa"/>
            <w:vAlign w:val="bottom"/>
          </w:tcPr>
          <w:p>
            <w:pPr>
              <w:ind w:left="3880"/>
              <w:spacing w:after="0"/>
              <w:rPr>
                <w:sz w:val="20"/>
                <w:szCs w:val="20"/>
                <w:color w:val="auto"/>
              </w:rPr>
            </w:pPr>
            <w:r>
              <w:rPr>
                <w:rFonts w:ascii="Arial" w:cs="Arial" w:eastAsia="Arial" w:hAnsi="Arial"/>
                <w:sz w:val="18"/>
                <w:szCs w:val="18"/>
                <w:color w:val="595959"/>
              </w:rPr>
              <w:t>•</w:t>
            </w:r>
          </w:p>
        </w:tc>
        <w:tc>
          <w:tcPr>
            <w:tcW w:w="5200" w:type="dxa"/>
            <w:vAlign w:val="bottom"/>
          </w:tcPr>
          <w:p>
            <w:pPr>
              <w:ind w:left="140"/>
              <w:spacing w:after="0"/>
              <w:rPr>
                <w:sz w:val="20"/>
                <w:szCs w:val="20"/>
                <w:color w:val="auto"/>
              </w:rPr>
            </w:pPr>
            <w:r>
              <w:rPr>
                <w:rFonts w:ascii="Arial" w:cs="Arial" w:eastAsia="Arial" w:hAnsi="Arial"/>
                <w:sz w:val="18"/>
                <w:szCs w:val="18"/>
                <w:color w:val="595959"/>
              </w:rPr>
              <w:t>Global</w:t>
            </w:r>
          </w:p>
        </w:tc>
      </w:tr>
      <w:tr>
        <w:trPr>
          <w:trHeight w:val="445"/>
        </w:trPr>
        <w:tc>
          <w:tcPr>
            <w:tcW w:w="6040" w:type="dxa"/>
            <w:vAlign w:val="bottom"/>
            <w:gridSpan w:val="3"/>
          </w:tcPr>
          <w:p>
            <w:pPr>
              <w:spacing w:after="0"/>
              <w:rPr>
                <w:sz w:val="20"/>
                <w:szCs w:val="20"/>
                <w:color w:val="auto"/>
              </w:rPr>
            </w:pPr>
            <w:r>
              <w:rPr>
                <w:rFonts w:ascii="Arial" w:cs="Arial" w:eastAsia="Arial" w:hAnsi="Arial"/>
                <w:sz w:val="18"/>
                <w:szCs w:val="18"/>
                <w:b w:val="1"/>
                <w:bCs w:val="1"/>
                <w:color w:val="595959"/>
              </w:rPr>
              <w:t>Other Public Board Service</w:t>
            </w:r>
          </w:p>
        </w:tc>
        <w:tc>
          <w:tcPr>
            <w:tcW w:w="5200" w:type="dxa"/>
            <w:vAlign w:val="bottom"/>
          </w:tcPr>
          <w:p>
            <w:pPr>
              <w:spacing w:after="0"/>
              <w:rPr>
                <w:sz w:val="24"/>
                <w:szCs w:val="24"/>
                <w:color w:val="auto"/>
              </w:rPr>
            </w:pPr>
          </w:p>
        </w:tc>
      </w:tr>
      <w:tr>
        <w:trPr>
          <w:trHeight w:val="365"/>
        </w:trPr>
        <w:tc>
          <w:tcPr>
            <w:tcW w:w="220" w:type="dxa"/>
            <w:vAlign w:val="bottom"/>
          </w:tcPr>
          <w:p>
            <w:pPr>
              <w:ind w:left="60"/>
              <w:spacing w:after="0"/>
              <w:rPr>
                <w:sz w:val="20"/>
                <w:szCs w:val="20"/>
                <w:color w:val="auto"/>
              </w:rPr>
            </w:pPr>
            <w:r>
              <w:rPr>
                <w:rFonts w:ascii="Arial" w:cs="Arial" w:eastAsia="Arial" w:hAnsi="Arial"/>
                <w:sz w:val="18"/>
                <w:szCs w:val="18"/>
                <w:color w:val="595959"/>
              </w:rPr>
              <w:t>•</w:t>
            </w:r>
          </w:p>
        </w:tc>
        <w:tc>
          <w:tcPr>
            <w:tcW w:w="1740" w:type="dxa"/>
            <w:vAlign w:val="bottom"/>
          </w:tcPr>
          <w:p>
            <w:pPr>
              <w:ind w:left="120"/>
              <w:spacing w:after="0"/>
              <w:rPr>
                <w:sz w:val="20"/>
                <w:szCs w:val="20"/>
                <w:color w:val="auto"/>
              </w:rPr>
            </w:pPr>
            <w:r>
              <w:rPr>
                <w:rFonts w:ascii="Arial" w:cs="Arial" w:eastAsia="Arial" w:hAnsi="Arial"/>
                <w:sz w:val="18"/>
                <w:szCs w:val="18"/>
                <w:color w:val="595959"/>
              </w:rPr>
              <w:t>Ambarella, Inc.</w:t>
            </w:r>
          </w:p>
        </w:tc>
        <w:tc>
          <w:tcPr>
            <w:tcW w:w="4080" w:type="dxa"/>
            <w:vAlign w:val="bottom"/>
          </w:tcPr>
          <w:p>
            <w:pPr>
              <w:ind w:left="260"/>
              <w:spacing w:after="0"/>
              <w:rPr>
                <w:sz w:val="20"/>
                <w:szCs w:val="20"/>
                <w:color w:val="auto"/>
              </w:rPr>
            </w:pPr>
            <w:r>
              <w:rPr>
                <w:rFonts w:ascii="Arial" w:cs="Arial" w:eastAsia="Arial" w:hAnsi="Arial"/>
                <w:sz w:val="18"/>
                <w:szCs w:val="18"/>
                <w:color w:val="595959"/>
              </w:rPr>
              <w:t>2010-present</w:t>
            </w:r>
          </w:p>
        </w:tc>
        <w:tc>
          <w:tcPr>
            <w:tcW w:w="5200" w:type="dxa"/>
            <w:vAlign w:val="bottom"/>
          </w:tcPr>
          <w:p>
            <w:pPr>
              <w:spacing w:after="0"/>
              <w:rPr>
                <w:sz w:val="24"/>
                <w:szCs w:val="24"/>
                <w:color w:val="auto"/>
              </w:rPr>
            </w:pPr>
          </w:p>
        </w:tc>
      </w:tr>
      <w:tr>
        <w:trPr>
          <w:trHeight w:val="310"/>
        </w:trPr>
        <w:tc>
          <w:tcPr>
            <w:tcW w:w="220" w:type="dxa"/>
            <w:vAlign w:val="bottom"/>
          </w:tcPr>
          <w:p>
            <w:pPr>
              <w:ind w:left="60"/>
              <w:spacing w:after="0"/>
              <w:rPr>
                <w:sz w:val="20"/>
                <w:szCs w:val="20"/>
                <w:color w:val="auto"/>
              </w:rPr>
            </w:pPr>
            <w:r>
              <w:rPr>
                <w:rFonts w:ascii="Arial" w:cs="Arial" w:eastAsia="Arial" w:hAnsi="Arial"/>
                <w:sz w:val="18"/>
                <w:szCs w:val="18"/>
                <w:color w:val="595959"/>
              </w:rPr>
              <w:t>•</w:t>
            </w:r>
          </w:p>
        </w:tc>
        <w:tc>
          <w:tcPr>
            <w:tcW w:w="1740" w:type="dxa"/>
            <w:vAlign w:val="bottom"/>
          </w:tcPr>
          <w:p>
            <w:pPr>
              <w:ind w:left="120"/>
              <w:spacing w:after="0"/>
              <w:rPr>
                <w:sz w:val="20"/>
                <w:szCs w:val="20"/>
                <w:color w:val="auto"/>
              </w:rPr>
            </w:pPr>
            <w:r>
              <w:rPr>
                <w:rFonts w:ascii="Arial" w:cs="Arial" w:eastAsia="Arial" w:hAnsi="Arial"/>
                <w:sz w:val="18"/>
                <w:szCs w:val="18"/>
                <w:color w:val="595959"/>
              </w:rPr>
              <w:t>Inphi Corporation</w:t>
            </w:r>
          </w:p>
        </w:tc>
        <w:tc>
          <w:tcPr>
            <w:tcW w:w="4080" w:type="dxa"/>
            <w:vAlign w:val="bottom"/>
          </w:tcPr>
          <w:p>
            <w:pPr>
              <w:ind w:left="260"/>
              <w:spacing w:after="0"/>
              <w:rPr>
                <w:sz w:val="20"/>
                <w:szCs w:val="20"/>
                <w:color w:val="auto"/>
              </w:rPr>
            </w:pPr>
            <w:r>
              <w:rPr>
                <w:rFonts w:ascii="Arial" w:cs="Arial" w:eastAsia="Arial" w:hAnsi="Arial"/>
                <w:sz w:val="18"/>
                <w:szCs w:val="18"/>
                <w:color w:val="595959"/>
              </w:rPr>
              <w:t>2011-present</w:t>
            </w:r>
          </w:p>
        </w:tc>
        <w:tc>
          <w:tcPr>
            <w:tcW w:w="5200" w:type="dxa"/>
            <w:vAlign w:val="bottom"/>
          </w:tcPr>
          <w:p>
            <w:pPr>
              <w:spacing w:after="0"/>
              <w:rPr>
                <w:sz w:val="24"/>
                <w:szCs w:val="24"/>
                <w:color w:val="auto"/>
              </w:rPr>
            </w:pPr>
          </w:p>
        </w:tc>
      </w:tr>
      <w:tr>
        <w:trPr>
          <w:trHeight w:val="760"/>
        </w:trPr>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80" w:type="dxa"/>
            <w:vAlign w:val="bottom"/>
          </w:tcPr>
          <w:p>
            <w:pPr>
              <w:ind w:left="3580"/>
              <w:spacing w:after="0"/>
              <w:rPr>
                <w:sz w:val="20"/>
                <w:szCs w:val="20"/>
                <w:color w:val="auto"/>
              </w:rPr>
            </w:pPr>
            <w:r>
              <w:rPr>
                <w:rFonts w:ascii="Arial" w:cs="Arial" w:eastAsia="Arial" w:hAnsi="Arial"/>
                <w:sz w:val="14"/>
                <w:szCs w:val="14"/>
                <w:color w:val="auto"/>
              </w:rPr>
              <w:t>26</w:t>
            </w:r>
          </w:p>
        </w:tc>
        <w:tc>
          <w:tcPr>
            <w:tcW w:w="5200" w:type="dxa"/>
            <w:vAlign w:val="bottom"/>
          </w:tcPr>
          <w:p>
            <w:pPr>
              <w:spacing w:after="0"/>
              <w:rPr>
                <w:sz w:val="24"/>
                <w:szCs w:val="24"/>
                <w:color w:val="auto"/>
              </w:rPr>
            </w:pPr>
          </w:p>
        </w:tc>
      </w:tr>
      <w:tr>
        <w:trPr>
          <w:trHeight w:val="44"/>
        </w:trPr>
        <w:tc>
          <w:tcPr>
            <w:tcW w:w="2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0"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595959"/>
        </w:rPr>
        <w:t>YINAN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916940" cy="12344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16940" cy="1234440"/>
                    </a:xfrm>
                    <a:prstGeom prst="rect">
                      <a:avLst/>
                    </a:prstGeom>
                    <a:noFill/>
                  </pic:spPr>
                </pic:pic>
              </a:graphicData>
            </a:graphic>
          </wp:anchor>
        </w:drawing>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Age: 46</w:t>
      </w:r>
    </w:p>
    <w:p>
      <w:pPr>
        <w:spacing w:after="0" w:line="99" w:lineRule="exact"/>
        <w:rPr>
          <w:sz w:val="20"/>
          <w:szCs w:val="20"/>
          <w:color w:val="auto"/>
        </w:rPr>
      </w:pPr>
    </w:p>
    <w:p>
      <w:pPr>
        <w:ind w:left="1900"/>
        <w:spacing w:after="0"/>
        <w:rPr>
          <w:sz w:val="20"/>
          <w:szCs w:val="20"/>
          <w:color w:val="auto"/>
        </w:rPr>
      </w:pPr>
      <w:r>
        <w:rPr>
          <w:rFonts w:ascii="Arial" w:cs="Arial" w:eastAsia="Arial" w:hAnsi="Arial"/>
          <w:sz w:val="18"/>
          <w:szCs w:val="18"/>
          <w:color w:val="595959"/>
        </w:rPr>
        <w:t>ACM Board Service</w:t>
      </w:r>
    </w:p>
    <w:p>
      <w:pPr>
        <w:ind w:left="2240" w:hanging="342"/>
        <w:spacing w:after="0"/>
        <w:tabs>
          <w:tab w:leader="none" w:pos="2240" w:val="left"/>
        </w:tabs>
        <w:numPr>
          <w:ilvl w:val="0"/>
          <w:numId w:val="47"/>
        </w:numPr>
        <w:rPr>
          <w:rFonts w:ascii="Arial" w:cs="Arial" w:eastAsia="Arial" w:hAnsi="Arial"/>
          <w:sz w:val="18"/>
          <w:szCs w:val="18"/>
          <w:color w:val="595959"/>
        </w:rPr>
      </w:pPr>
      <w:r>
        <w:rPr>
          <w:rFonts w:ascii="Arial" w:cs="Arial" w:eastAsia="Arial" w:hAnsi="Arial"/>
          <w:sz w:val="18"/>
          <w:szCs w:val="18"/>
          <w:color w:val="595959"/>
        </w:rPr>
        <w:t>Tenure: 4 years (2017)</w:t>
      </w:r>
    </w:p>
    <w:p>
      <w:pPr>
        <w:spacing w:after="0" w:line="49" w:lineRule="exact"/>
        <w:rPr>
          <w:rFonts w:ascii="Arial" w:cs="Arial" w:eastAsia="Arial" w:hAnsi="Arial"/>
          <w:sz w:val="18"/>
          <w:szCs w:val="18"/>
          <w:color w:val="595959"/>
        </w:rPr>
      </w:pPr>
    </w:p>
    <w:p>
      <w:pPr>
        <w:ind w:left="2240" w:hanging="342"/>
        <w:spacing w:after="0"/>
        <w:tabs>
          <w:tab w:leader="none" w:pos="2240" w:val="left"/>
        </w:tabs>
        <w:numPr>
          <w:ilvl w:val="0"/>
          <w:numId w:val="47"/>
        </w:numPr>
        <w:rPr>
          <w:rFonts w:ascii="Arial" w:cs="Arial" w:eastAsia="Arial" w:hAnsi="Arial"/>
          <w:sz w:val="18"/>
          <w:szCs w:val="18"/>
          <w:color w:val="595959"/>
        </w:rPr>
      </w:pPr>
      <w:r>
        <w:rPr>
          <w:rFonts w:ascii="Arial" w:cs="Arial" w:eastAsia="Arial" w:hAnsi="Arial"/>
          <w:sz w:val="18"/>
          <w:szCs w:val="18"/>
          <w:color w:val="595959"/>
        </w:rPr>
        <w:t>Audit Committee</w:t>
      </w:r>
    </w:p>
    <w:p>
      <w:pPr>
        <w:spacing w:after="0" w:line="200" w:lineRule="exact"/>
        <w:rPr>
          <w:sz w:val="20"/>
          <w:szCs w:val="20"/>
          <w:color w:val="auto"/>
        </w:rPr>
      </w:pPr>
    </w:p>
    <w:p>
      <w:pPr>
        <w:spacing w:after="0" w:line="246"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0070C0"/>
        </w:rPr>
        <w:t>INDEPENDENT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Professional Experience</w:t>
      </w:r>
    </w:p>
    <w:p>
      <w:pPr>
        <w:spacing w:after="0" w:line="5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Served as one of our directors since November 2017.</w:t>
      </w:r>
    </w:p>
    <w:p>
      <w:pPr>
        <w:spacing w:after="0" w:line="90" w:lineRule="exact"/>
        <w:rPr>
          <w:rFonts w:ascii="Arial" w:cs="Arial" w:eastAsia="Arial" w:hAnsi="Arial"/>
          <w:sz w:val="18"/>
          <w:szCs w:val="18"/>
          <w:color w:val="595959"/>
        </w:rPr>
      </w:pPr>
    </w:p>
    <w:p>
      <w:pPr>
        <w:jc w:val="both"/>
        <w:ind w:left="340" w:right="4739" w:hanging="332"/>
        <w:spacing w:after="0" w:line="289" w:lineRule="auto"/>
        <w:tabs>
          <w:tab w:leader="none" w:pos="34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Deputy General Manager of Shanghai S&amp;T Venture Capital (Group) Co. Ltd., or SSTVC, since October 2016.</w:t>
      </w:r>
    </w:p>
    <w:p>
      <w:pPr>
        <w:spacing w:after="0" w:line="1" w:lineRule="exact"/>
        <w:rPr>
          <w:rFonts w:ascii="Arial" w:cs="Arial" w:eastAsia="Arial" w:hAnsi="Arial"/>
          <w:sz w:val="18"/>
          <w:szCs w:val="18"/>
          <w:color w:val="595959"/>
        </w:rPr>
      </w:pPr>
    </w:p>
    <w:p>
      <w:pPr>
        <w:ind w:left="340" w:right="4759" w:hanging="332"/>
        <w:spacing w:after="0" w:line="289" w:lineRule="auto"/>
        <w:tabs>
          <w:tab w:leader="none" w:pos="34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Manager of the Project Investment Department of SSTVC from September 2014 to September 2016.</w:t>
      </w:r>
    </w:p>
    <w:p>
      <w:pPr>
        <w:spacing w:after="0" w:line="1" w:lineRule="exact"/>
        <w:rPr>
          <w:rFonts w:ascii="Arial" w:cs="Arial" w:eastAsia="Arial" w:hAnsi="Arial"/>
          <w:sz w:val="18"/>
          <w:szCs w:val="18"/>
          <w:color w:val="595959"/>
        </w:rPr>
      </w:pPr>
    </w:p>
    <w:p>
      <w:pPr>
        <w:jc w:val="both"/>
        <w:ind w:left="340" w:right="4739" w:hanging="332"/>
        <w:spacing w:after="0" w:line="278" w:lineRule="auto"/>
        <w:tabs>
          <w:tab w:leader="none" w:pos="34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Manager of Invest Department II of Shanghai Science and Technology Venture Capital Co., Ltd. from 2012 to August 2014.</w:t>
      </w:r>
    </w:p>
    <w:p>
      <w:pPr>
        <w:spacing w:after="0" w:line="28" w:lineRule="exact"/>
        <w:rPr>
          <w:rFonts w:ascii="Arial" w:cs="Arial" w:eastAsia="Arial" w:hAnsi="Arial"/>
          <w:sz w:val="18"/>
          <w:szCs w:val="18"/>
          <w:color w:val="595959"/>
        </w:rPr>
      </w:pPr>
    </w:p>
    <w:p>
      <w:pPr>
        <w:ind w:left="340" w:right="4759" w:hanging="332"/>
        <w:spacing w:after="0" w:line="246" w:lineRule="auto"/>
        <w:tabs>
          <w:tab w:leader="none" w:pos="340" w:val="left"/>
        </w:tabs>
        <w:numPr>
          <w:ilvl w:val="0"/>
          <w:numId w:val="48"/>
        </w:numPr>
        <w:rPr>
          <w:rFonts w:ascii="Arial" w:cs="Arial" w:eastAsia="Arial" w:hAnsi="Arial"/>
          <w:sz w:val="18"/>
          <w:szCs w:val="18"/>
          <w:color w:val="595959"/>
        </w:rPr>
      </w:pPr>
      <w:r>
        <w:rPr>
          <w:rFonts w:ascii="Arial" w:cs="Arial" w:eastAsia="Arial" w:hAnsi="Arial"/>
          <w:sz w:val="18"/>
          <w:szCs w:val="18"/>
          <w:color w:val="595959"/>
        </w:rPr>
        <w:t>Received a Bachelor of Science degree from Shanghai University of Finance and Economics.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Relevant Skills</w:t>
      </w:r>
    </w:p>
    <w:p>
      <w:pPr>
        <w:spacing w:after="0" w:line="79"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595959"/>
        </w:rPr>
      </w:pPr>
      <w:r>
        <w:rPr>
          <w:rFonts w:ascii="Arial" w:cs="Arial" w:eastAsia="Arial" w:hAnsi="Arial"/>
          <w:sz w:val="18"/>
          <w:szCs w:val="18"/>
          <w:color w:val="595959"/>
        </w:rPr>
        <w:t>Industry</w:t>
      </w:r>
    </w:p>
    <w:p>
      <w:pPr>
        <w:spacing w:after="0" w:line="136" w:lineRule="exact"/>
        <w:rPr>
          <w:rFonts w:ascii="Arial" w:cs="Arial" w:eastAsia="Arial" w:hAnsi="Arial"/>
          <w:sz w:val="18"/>
          <w:szCs w:val="18"/>
          <w:color w:val="595959"/>
        </w:rPr>
      </w:pPr>
    </w:p>
    <w:p>
      <w:pPr>
        <w:ind w:left="340" w:hanging="332"/>
        <w:spacing w:after="0"/>
        <w:tabs>
          <w:tab w:leader="none" w:pos="340" w:val="left"/>
        </w:tabs>
        <w:numPr>
          <w:ilvl w:val="0"/>
          <w:numId w:val="49"/>
        </w:numPr>
        <w:rPr>
          <w:rFonts w:ascii="Arial" w:cs="Arial" w:eastAsia="Arial" w:hAnsi="Arial"/>
          <w:sz w:val="18"/>
          <w:szCs w:val="18"/>
          <w:color w:val="595959"/>
        </w:rPr>
      </w:pPr>
      <w:r>
        <w:rPr>
          <w:rFonts w:ascii="Arial" w:cs="Arial" w:eastAsia="Arial" w:hAnsi="Arial"/>
          <w:sz w:val="18"/>
          <w:szCs w:val="18"/>
          <w:color w:val="595959"/>
        </w:rPr>
        <w:t>Finance</w:t>
      </w:r>
    </w:p>
    <w:p>
      <w:pPr>
        <w:spacing w:after="0" w:line="200" w:lineRule="exact"/>
        <w:rPr>
          <w:sz w:val="20"/>
          <w:szCs w:val="20"/>
          <w:color w:val="auto"/>
        </w:rPr>
      </w:pPr>
    </w:p>
    <w:p>
      <w:pPr>
        <w:spacing w:after="0" w:line="35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49"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0079C0"/>
        </w:rPr>
        <w:t>FOR</w:t>
      </w:r>
    </w:p>
    <w:p>
      <w:pPr>
        <w:spacing w:after="0" w:line="2" w:lineRule="exact"/>
        <w:rPr>
          <w:sz w:val="20"/>
          <w:szCs w:val="20"/>
          <w:color w:val="auto"/>
        </w:rPr>
      </w:pPr>
    </w:p>
    <w:p>
      <w:pPr>
        <w:jc w:val="right"/>
        <w:ind w:right="1399"/>
        <w:spacing w:after="0"/>
        <w:rPr>
          <w:sz w:val="20"/>
          <w:szCs w:val="20"/>
          <w:color w:val="auto"/>
        </w:rPr>
      </w:pPr>
      <w:r>
        <w:rPr>
          <w:rFonts w:ascii="Arial" w:cs="Arial" w:eastAsia="Arial" w:hAnsi="Arial"/>
          <w:sz w:val="22"/>
          <w:szCs w:val="22"/>
          <w:b w:val="1"/>
          <w:bCs w:val="1"/>
          <w:color w:val="0079C0"/>
        </w:rPr>
        <w:t>each of the five nominees for election as directors.</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Beneficial Ownership of Common Stock</w:t>
      </w:r>
    </w:p>
    <w:p>
      <w:pPr>
        <w:spacing w:after="0" w:line="309"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sets forth the number of outstanding shares of Class A and Class B common stock beneficially owned and the percentage of each class beneficially owned, as of the record date of April 8, 2021, by:</w:t>
      </w:r>
    </w:p>
    <w:p>
      <w:pPr>
        <w:spacing w:after="0" w:line="75" w:lineRule="exact"/>
        <w:rPr>
          <w:sz w:val="20"/>
          <w:szCs w:val="20"/>
          <w:color w:val="auto"/>
        </w:rPr>
      </w:pPr>
    </w:p>
    <w:p>
      <w:pPr>
        <w:ind w:left="340" w:hanging="332"/>
        <w:spacing w:after="0" w:line="246" w:lineRule="auto"/>
        <w:tabs>
          <w:tab w:leader="none" w:pos="340" w:val="left"/>
        </w:tabs>
        <w:numPr>
          <w:ilvl w:val="0"/>
          <w:numId w:val="50"/>
        </w:numPr>
        <w:rPr>
          <w:rFonts w:ascii="Arial" w:cs="Arial" w:eastAsia="Arial" w:hAnsi="Arial"/>
          <w:sz w:val="18"/>
          <w:szCs w:val="18"/>
          <w:color w:val="4D4D4F"/>
        </w:rPr>
      </w:pPr>
      <w:r>
        <w:rPr>
          <w:rFonts w:ascii="Arial" w:cs="Arial" w:eastAsia="Arial" w:hAnsi="Arial"/>
          <w:sz w:val="18"/>
          <w:szCs w:val="18"/>
          <w:color w:val="4D4D4F"/>
        </w:rPr>
        <w:t>each person known to us to be the beneficial owner of more than five percent of the then-outstanding Class A common stock (on an as-converted basis) or the then-outstanding Class B common stock;</w:t>
      </w:r>
    </w:p>
    <w:p>
      <w:pPr>
        <w:spacing w:after="0" w:line="61" w:lineRule="exact"/>
        <w:rPr>
          <w:rFonts w:ascii="Arial" w:cs="Arial" w:eastAsia="Arial" w:hAnsi="Arial"/>
          <w:sz w:val="18"/>
          <w:szCs w:val="18"/>
          <w:color w:val="4D4D4F"/>
        </w:rPr>
      </w:pPr>
    </w:p>
    <w:p>
      <w:pPr>
        <w:ind w:left="340" w:hanging="332"/>
        <w:spacing w:after="0"/>
        <w:tabs>
          <w:tab w:leader="none" w:pos="340" w:val="left"/>
        </w:tabs>
        <w:numPr>
          <w:ilvl w:val="0"/>
          <w:numId w:val="50"/>
        </w:numPr>
        <w:rPr>
          <w:rFonts w:ascii="Arial" w:cs="Arial" w:eastAsia="Arial" w:hAnsi="Arial"/>
          <w:sz w:val="18"/>
          <w:szCs w:val="18"/>
          <w:color w:val="4D4D4F"/>
        </w:rPr>
      </w:pPr>
      <w:r>
        <w:rPr>
          <w:rFonts w:ascii="Arial" w:cs="Arial" w:eastAsia="Arial" w:hAnsi="Arial"/>
          <w:sz w:val="18"/>
          <w:szCs w:val="18"/>
          <w:color w:val="4D4D4F"/>
        </w:rPr>
        <w:t>each director and NEO;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50"/>
        </w:numPr>
        <w:rPr>
          <w:rFonts w:ascii="Arial" w:cs="Arial" w:eastAsia="Arial" w:hAnsi="Arial"/>
          <w:sz w:val="18"/>
          <w:szCs w:val="18"/>
          <w:color w:val="4D4D4F"/>
        </w:rPr>
      </w:pPr>
      <w:r>
        <w:rPr>
          <w:rFonts w:ascii="Arial" w:cs="Arial" w:eastAsia="Arial" w:hAnsi="Arial"/>
          <w:sz w:val="18"/>
          <w:szCs w:val="18"/>
          <w:color w:val="4D4D4F"/>
        </w:rPr>
        <w:t>all of our directors and executive officers as a group.</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June 7, 2021 </w:t>
      </w:r>
      <w:r>
        <w:rPr>
          <w:rFonts w:ascii="Arial" w:cs="Arial" w:eastAsia="Arial" w:hAnsi="Arial"/>
          <w:sz w:val="18"/>
          <w:szCs w:val="18"/>
          <w:color w:val="404040"/>
        </w:rPr>
        <w:t>(sixty days after April 8, 2021</w:t>
      </w:r>
      <w:r>
        <w:rPr>
          <w:rFonts w:ascii="Arial" w:cs="Arial" w:eastAsia="Arial" w:hAnsi="Arial"/>
          <w:sz w:val="18"/>
          <w:szCs w:val="18"/>
          <w:color w:val="4D4D4F"/>
        </w:rPr>
        <w:t>) through the exercise or conversion of a security or other right.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 w:type="dxa"/>
            <w:vAlign w:val="bottom"/>
            <w:shd w:val="clear" w:color="auto" w:fill="003E64"/>
          </w:tcPr>
          <w:p>
            <w:pPr>
              <w:spacing w:after="0"/>
              <w:rPr>
                <w:sz w:val="20"/>
                <w:szCs w:val="20"/>
                <w:color w:val="auto"/>
              </w:rPr>
            </w:pPr>
          </w:p>
        </w:tc>
        <w:tc>
          <w:tcPr>
            <w:tcW w:w="1340" w:type="dxa"/>
            <w:vAlign w:val="bottom"/>
            <w:shd w:val="clear" w:color="auto" w:fill="003E64"/>
          </w:tcPr>
          <w:p>
            <w:pPr>
              <w:spacing w:after="0"/>
              <w:rPr>
                <w:sz w:val="20"/>
                <w:szCs w:val="20"/>
                <w:color w:val="auto"/>
              </w:rPr>
            </w:pPr>
          </w:p>
        </w:tc>
        <w:tc>
          <w:tcPr>
            <w:tcW w:w="1880" w:type="dxa"/>
            <w:vAlign w:val="bottom"/>
            <w:shd w:val="clear" w:color="auto" w:fill="003E64"/>
          </w:tcPr>
          <w:p>
            <w:pPr>
              <w:spacing w:after="0"/>
              <w:rPr>
                <w:sz w:val="20"/>
                <w:szCs w:val="20"/>
                <w:color w:val="auto"/>
              </w:rPr>
            </w:pPr>
          </w:p>
        </w:tc>
        <w:tc>
          <w:tcPr>
            <w:tcW w:w="2180" w:type="dxa"/>
            <w:vAlign w:val="bottom"/>
            <w:shd w:val="clear" w:color="auto" w:fill="003E64"/>
          </w:tcPr>
          <w:p>
            <w:pPr>
              <w:spacing w:after="0"/>
              <w:rPr>
                <w:sz w:val="20"/>
                <w:szCs w:val="20"/>
                <w:color w:val="auto"/>
              </w:rPr>
            </w:pPr>
          </w:p>
        </w:tc>
        <w:tc>
          <w:tcPr>
            <w:tcW w:w="1500" w:type="dxa"/>
            <w:vAlign w:val="bottom"/>
            <w:shd w:val="clear" w:color="auto" w:fill="003E64"/>
          </w:tcPr>
          <w:p>
            <w:pPr>
              <w:jc w:val="right"/>
              <w:ind w:right="28"/>
              <w:spacing w:after="0"/>
              <w:rPr>
                <w:sz w:val="20"/>
                <w:szCs w:val="20"/>
                <w:color w:val="auto"/>
              </w:rPr>
            </w:pPr>
            <w:r>
              <w:rPr>
                <w:rFonts w:ascii="Arial" w:cs="Arial" w:eastAsia="Arial" w:hAnsi="Arial"/>
                <w:sz w:val="14"/>
                <w:szCs w:val="14"/>
                <w:b w:val="1"/>
                <w:bCs w:val="1"/>
                <w:color w:val="FFFFFF"/>
              </w:rPr>
              <w:t>Class A(1)</w:t>
            </w:r>
          </w:p>
        </w:tc>
        <w:tc>
          <w:tcPr>
            <w:tcW w:w="760" w:type="dxa"/>
            <w:vAlign w:val="bottom"/>
            <w:shd w:val="clear" w:color="auto" w:fill="003E64"/>
          </w:tcPr>
          <w:p>
            <w:pPr>
              <w:spacing w:after="0"/>
              <w:rPr>
                <w:sz w:val="20"/>
                <w:szCs w:val="20"/>
                <w:color w:val="auto"/>
              </w:rPr>
            </w:pPr>
          </w:p>
        </w:tc>
        <w:tc>
          <w:tcPr>
            <w:tcW w:w="1440" w:type="dxa"/>
            <w:vAlign w:val="bottom"/>
            <w:shd w:val="clear" w:color="auto" w:fill="003E64"/>
          </w:tcPr>
          <w:p>
            <w:pPr>
              <w:jc w:val="right"/>
              <w:ind w:right="48"/>
              <w:spacing w:after="0"/>
              <w:rPr>
                <w:sz w:val="20"/>
                <w:szCs w:val="20"/>
                <w:color w:val="auto"/>
              </w:rPr>
            </w:pPr>
            <w:r>
              <w:rPr>
                <w:rFonts w:ascii="Arial" w:cs="Arial" w:eastAsia="Arial" w:hAnsi="Arial"/>
                <w:sz w:val="14"/>
                <w:szCs w:val="14"/>
                <w:b w:val="1"/>
                <w:bCs w:val="1"/>
                <w:color w:val="FFFFFF"/>
              </w:rPr>
              <w:t>Class B</w:t>
            </w:r>
          </w:p>
        </w:tc>
        <w:tc>
          <w:tcPr>
            <w:tcW w:w="720" w:type="dxa"/>
            <w:vAlign w:val="bottom"/>
            <w:shd w:val="clear" w:color="auto" w:fill="003E64"/>
          </w:tcPr>
          <w:p>
            <w:pPr>
              <w:spacing w:after="0"/>
              <w:rPr>
                <w:sz w:val="20"/>
                <w:szCs w:val="20"/>
                <w:color w:val="auto"/>
              </w:rPr>
            </w:pPr>
          </w:p>
        </w:tc>
        <w:tc>
          <w:tcPr>
            <w:tcW w:w="1380" w:type="dxa"/>
            <w:vAlign w:val="bottom"/>
            <w:vMerge w:val="restart"/>
            <w:shd w:val="clear" w:color="auto" w:fill="003E64"/>
          </w:tcPr>
          <w:p>
            <w:pPr>
              <w:jc w:val="right"/>
              <w:ind w:right="48"/>
              <w:spacing w:after="0"/>
              <w:rPr>
                <w:sz w:val="20"/>
                <w:szCs w:val="20"/>
                <w:color w:val="auto"/>
              </w:rPr>
            </w:pPr>
            <w:r>
              <w:rPr>
                <w:rFonts w:ascii="Arial" w:cs="Arial" w:eastAsia="Arial" w:hAnsi="Arial"/>
                <w:sz w:val="14"/>
                <w:szCs w:val="14"/>
                <w:b w:val="1"/>
                <w:bCs w:val="1"/>
                <w:color w:val="FFFFFF"/>
              </w:rPr>
              <w:t>% of Total Voting</w:t>
            </w:r>
          </w:p>
        </w:tc>
        <w:tc>
          <w:tcPr>
            <w:tcW w:w="0" w:type="dxa"/>
            <w:vAlign w:val="bottom"/>
          </w:tcPr>
          <w:p>
            <w:pPr>
              <w:spacing w:after="0"/>
              <w:rPr>
                <w:sz w:val="1"/>
                <w:szCs w:val="1"/>
                <w:color w:val="auto"/>
              </w:rPr>
            </w:pPr>
          </w:p>
        </w:tc>
      </w:tr>
      <w:tr>
        <w:trPr>
          <w:trHeight w:val="53"/>
        </w:trPr>
        <w:tc>
          <w:tcPr>
            <w:tcW w:w="40" w:type="dxa"/>
            <w:vAlign w:val="bottom"/>
            <w:shd w:val="clear" w:color="auto" w:fill="003E64"/>
          </w:tcPr>
          <w:p>
            <w:pPr>
              <w:spacing w:after="0"/>
              <w:rPr>
                <w:sz w:val="4"/>
                <w:szCs w:val="4"/>
                <w:color w:val="auto"/>
              </w:rPr>
            </w:pPr>
          </w:p>
        </w:tc>
        <w:tc>
          <w:tcPr>
            <w:tcW w:w="1340" w:type="dxa"/>
            <w:vAlign w:val="bottom"/>
            <w:shd w:val="clear" w:color="auto" w:fill="003E64"/>
          </w:tcPr>
          <w:p>
            <w:pPr>
              <w:spacing w:after="0"/>
              <w:rPr>
                <w:sz w:val="4"/>
                <w:szCs w:val="4"/>
                <w:color w:val="auto"/>
              </w:rPr>
            </w:pPr>
          </w:p>
        </w:tc>
        <w:tc>
          <w:tcPr>
            <w:tcW w:w="1880" w:type="dxa"/>
            <w:vAlign w:val="bottom"/>
            <w:shd w:val="clear" w:color="auto" w:fill="003E64"/>
          </w:tcPr>
          <w:p>
            <w:pPr>
              <w:spacing w:after="0"/>
              <w:rPr>
                <w:sz w:val="4"/>
                <w:szCs w:val="4"/>
                <w:color w:val="auto"/>
              </w:rPr>
            </w:pPr>
          </w:p>
        </w:tc>
        <w:tc>
          <w:tcPr>
            <w:tcW w:w="2180" w:type="dxa"/>
            <w:vAlign w:val="bottom"/>
            <w:shd w:val="clear" w:color="auto" w:fill="003E64"/>
          </w:tcPr>
          <w:p>
            <w:pPr>
              <w:spacing w:after="0"/>
              <w:rPr>
                <w:sz w:val="4"/>
                <w:szCs w:val="4"/>
                <w:color w:val="auto"/>
              </w:rPr>
            </w:pPr>
          </w:p>
        </w:tc>
        <w:tc>
          <w:tcPr>
            <w:tcW w:w="1500" w:type="dxa"/>
            <w:vAlign w:val="bottom"/>
            <w:shd w:val="clear" w:color="auto" w:fill="003E64"/>
          </w:tcPr>
          <w:p>
            <w:pPr>
              <w:spacing w:after="0"/>
              <w:rPr>
                <w:sz w:val="4"/>
                <w:szCs w:val="4"/>
                <w:color w:val="auto"/>
              </w:rPr>
            </w:pPr>
          </w:p>
        </w:tc>
        <w:tc>
          <w:tcPr>
            <w:tcW w:w="760" w:type="dxa"/>
            <w:vAlign w:val="bottom"/>
            <w:shd w:val="clear" w:color="auto" w:fill="003E64"/>
          </w:tcPr>
          <w:p>
            <w:pPr>
              <w:spacing w:after="0"/>
              <w:rPr>
                <w:sz w:val="4"/>
                <w:szCs w:val="4"/>
                <w:color w:val="auto"/>
              </w:rPr>
            </w:pPr>
          </w:p>
        </w:tc>
        <w:tc>
          <w:tcPr>
            <w:tcW w:w="1440" w:type="dxa"/>
            <w:vAlign w:val="bottom"/>
            <w:shd w:val="clear" w:color="auto" w:fill="003E64"/>
          </w:tcPr>
          <w:p>
            <w:pPr>
              <w:spacing w:after="0"/>
              <w:rPr>
                <w:sz w:val="4"/>
                <w:szCs w:val="4"/>
                <w:color w:val="auto"/>
              </w:rPr>
            </w:pPr>
          </w:p>
        </w:tc>
        <w:tc>
          <w:tcPr>
            <w:tcW w:w="720" w:type="dxa"/>
            <w:vAlign w:val="bottom"/>
            <w:shd w:val="clear" w:color="auto" w:fill="003E64"/>
          </w:tcPr>
          <w:p>
            <w:pPr>
              <w:spacing w:after="0"/>
              <w:rPr>
                <w:sz w:val="4"/>
                <w:szCs w:val="4"/>
                <w:color w:val="auto"/>
              </w:rPr>
            </w:pPr>
          </w:p>
        </w:tc>
        <w:tc>
          <w:tcPr>
            <w:tcW w:w="1380" w:type="dxa"/>
            <w:vAlign w:val="bottom"/>
            <w:vMerge w:val="continue"/>
            <w:shd w:val="clear" w:color="auto" w:fill="003E64"/>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003E64"/>
          </w:tcPr>
          <w:p>
            <w:pPr>
              <w:spacing w:after="0"/>
              <w:rPr>
                <w:sz w:val="17"/>
                <w:szCs w:val="17"/>
                <w:color w:val="auto"/>
              </w:rPr>
            </w:pPr>
          </w:p>
        </w:tc>
        <w:tc>
          <w:tcPr>
            <w:tcW w:w="5400" w:type="dxa"/>
            <w:vAlign w:val="bottom"/>
            <w:gridSpan w:val="3"/>
            <w:shd w:val="clear" w:color="auto" w:fill="003E64"/>
          </w:tcPr>
          <w:p>
            <w:pPr>
              <w:spacing w:after="0"/>
              <w:rPr>
                <w:sz w:val="20"/>
                <w:szCs w:val="20"/>
                <w:color w:val="auto"/>
              </w:rPr>
            </w:pPr>
            <w:r>
              <w:rPr>
                <w:rFonts w:ascii="Arial" w:cs="Arial" w:eastAsia="Arial" w:hAnsi="Arial"/>
                <w:sz w:val="14"/>
                <w:szCs w:val="14"/>
                <w:b w:val="1"/>
                <w:bCs w:val="1"/>
                <w:color w:val="FFFFFF"/>
              </w:rPr>
              <w:t>Beneficial Owner</w:t>
            </w:r>
          </w:p>
        </w:tc>
        <w:tc>
          <w:tcPr>
            <w:tcW w:w="1500" w:type="dxa"/>
            <w:vAlign w:val="bottom"/>
            <w:shd w:val="clear" w:color="auto" w:fill="003E64"/>
          </w:tcPr>
          <w:p>
            <w:pPr>
              <w:jc w:val="right"/>
              <w:ind w:right="588"/>
              <w:spacing w:after="0"/>
              <w:rPr>
                <w:sz w:val="20"/>
                <w:szCs w:val="20"/>
                <w:color w:val="auto"/>
              </w:rPr>
            </w:pPr>
            <w:r>
              <w:rPr>
                <w:rFonts w:ascii="Arial" w:cs="Arial" w:eastAsia="Arial" w:hAnsi="Arial"/>
                <w:sz w:val="14"/>
                <w:szCs w:val="14"/>
                <w:b w:val="1"/>
                <w:bCs w:val="1"/>
                <w:color w:val="FFFFFF"/>
              </w:rPr>
              <w:t>Shares</w:t>
            </w:r>
          </w:p>
        </w:tc>
        <w:tc>
          <w:tcPr>
            <w:tcW w:w="760" w:type="dxa"/>
            <w:vAlign w:val="bottom"/>
            <w:shd w:val="clear" w:color="auto" w:fill="003E64"/>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03E64"/>
          </w:tcPr>
          <w:p>
            <w:pPr>
              <w:jc w:val="right"/>
              <w:ind w:right="548"/>
              <w:spacing w:after="0"/>
              <w:rPr>
                <w:sz w:val="20"/>
                <w:szCs w:val="20"/>
                <w:color w:val="auto"/>
              </w:rPr>
            </w:pPr>
            <w:r>
              <w:rPr>
                <w:rFonts w:ascii="Arial" w:cs="Arial" w:eastAsia="Arial" w:hAnsi="Arial"/>
                <w:sz w:val="14"/>
                <w:szCs w:val="14"/>
                <w:b w:val="1"/>
                <w:bCs w:val="1"/>
                <w:color w:val="FFFFFF"/>
              </w:rPr>
              <w:t>Shares</w:t>
            </w:r>
          </w:p>
        </w:tc>
        <w:tc>
          <w:tcPr>
            <w:tcW w:w="720" w:type="dxa"/>
            <w:vAlign w:val="bottom"/>
            <w:shd w:val="clear" w:color="auto" w:fill="003E64"/>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3E64"/>
          </w:tcPr>
          <w:p>
            <w:pPr>
              <w:jc w:val="right"/>
              <w:ind w:right="308"/>
              <w:spacing w:after="0"/>
              <w:rPr>
                <w:sz w:val="20"/>
                <w:szCs w:val="20"/>
                <w:color w:val="auto"/>
              </w:rPr>
            </w:pPr>
            <w:r>
              <w:rPr>
                <w:rFonts w:ascii="Arial" w:cs="Arial" w:eastAsia="Arial" w:hAnsi="Arial"/>
                <w:sz w:val="14"/>
                <w:szCs w:val="14"/>
                <w:b w:val="1"/>
                <w:bCs w:val="1"/>
                <w:color w:val="FFFFFF"/>
              </w:rPr>
              <w:t>Power(2)</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4"/>
                <w:szCs w:val="14"/>
                <w:b w:val="1"/>
                <w:bCs w:val="1"/>
                <w:i w:val="1"/>
                <w:iCs w:val="1"/>
                <w:color w:val="4D4D4F"/>
              </w:rPr>
              <w:t>5% Stockholders</w:t>
            </w: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shd w:val="clear" w:color="auto" w:fill="4D4D4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00" w:type="dxa"/>
            <w:vAlign w:val="bottom"/>
            <w:vMerge w:val="restart"/>
          </w:tcPr>
          <w:p>
            <w:pPr>
              <w:jc w:val="right"/>
              <w:ind w:right="368"/>
              <w:spacing w:after="0"/>
              <w:rPr>
                <w:sz w:val="20"/>
                <w:szCs w:val="20"/>
                <w:color w:val="auto"/>
              </w:rPr>
            </w:pPr>
            <w:r>
              <w:rPr>
                <w:rFonts w:ascii="Arial" w:cs="Arial" w:eastAsia="Arial" w:hAnsi="Arial"/>
                <w:sz w:val="14"/>
                <w:szCs w:val="14"/>
                <w:color w:val="4D4D4F"/>
              </w:rPr>
              <w:t>1,506,170</w:t>
            </w:r>
          </w:p>
        </w:tc>
        <w:tc>
          <w:tcPr>
            <w:tcW w:w="760" w:type="dxa"/>
            <w:vAlign w:val="bottom"/>
          </w:tcPr>
          <w:p>
            <w:pPr>
              <w:spacing w:after="0" w:line="20" w:lineRule="exact"/>
              <w:rPr>
                <w:sz w:val="1"/>
                <w:szCs w:val="1"/>
                <w:color w:val="auto"/>
              </w:rPr>
            </w:pPr>
          </w:p>
        </w:tc>
        <w:tc>
          <w:tcPr>
            <w:tcW w:w="1440" w:type="dxa"/>
            <w:vAlign w:val="bottom"/>
            <w:vMerge w:val="restart"/>
          </w:tcPr>
          <w:p>
            <w:pPr>
              <w:jc w:val="right"/>
              <w:ind w:right="348"/>
              <w:spacing w:after="0"/>
              <w:rPr>
                <w:sz w:val="20"/>
                <w:szCs w:val="20"/>
                <w:color w:val="auto"/>
              </w:rPr>
            </w:pPr>
            <w:r>
              <w:rPr>
                <w:rFonts w:ascii="Arial" w:cs="Arial" w:eastAsia="Arial" w:hAnsi="Arial"/>
                <w:sz w:val="14"/>
                <w:szCs w:val="14"/>
                <w:color w:val="4D4D4F"/>
              </w:rPr>
              <w:t>—</w:t>
            </w: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 w:type="dxa"/>
            <w:vAlign w:val="bottom"/>
          </w:tcPr>
          <w:p>
            <w:pPr>
              <w:spacing w:after="0"/>
              <w:rPr>
                <w:sz w:val="22"/>
                <w:szCs w:val="22"/>
                <w:color w:val="auto"/>
              </w:rPr>
            </w:pPr>
          </w:p>
        </w:tc>
        <w:tc>
          <w:tcPr>
            <w:tcW w:w="5400" w:type="dxa"/>
            <w:vAlign w:val="bottom"/>
            <w:gridSpan w:val="3"/>
          </w:tcPr>
          <w:p>
            <w:pPr>
              <w:spacing w:after="0"/>
              <w:rPr>
                <w:sz w:val="20"/>
                <w:szCs w:val="20"/>
                <w:color w:val="auto"/>
              </w:rPr>
            </w:pPr>
            <w:r>
              <w:rPr>
                <w:rFonts w:ascii="Arial" w:cs="Arial" w:eastAsia="Arial" w:hAnsi="Arial"/>
                <w:sz w:val="14"/>
                <w:szCs w:val="14"/>
                <w:color w:val="4D4D4F"/>
              </w:rPr>
              <w:t>Shanghai Science and Technology Venture Capital Co., Ltd.(3)</w:t>
            </w:r>
          </w:p>
        </w:tc>
        <w:tc>
          <w:tcPr>
            <w:tcW w:w="1500" w:type="dxa"/>
            <w:vAlign w:val="bottom"/>
            <w:vMerge w:val="continue"/>
          </w:tcPr>
          <w:p>
            <w:pPr>
              <w:spacing w:after="0"/>
              <w:rPr>
                <w:sz w:val="22"/>
                <w:szCs w:val="22"/>
                <w:color w:val="auto"/>
              </w:rPr>
            </w:pPr>
          </w:p>
        </w:tc>
        <w:tc>
          <w:tcPr>
            <w:tcW w:w="760" w:type="dxa"/>
            <w:vAlign w:val="bottom"/>
            <w:vMerge w:val="restart"/>
          </w:tcPr>
          <w:p>
            <w:pPr>
              <w:jc w:val="right"/>
              <w:ind w:right="228"/>
              <w:spacing w:after="0"/>
              <w:rPr>
                <w:sz w:val="20"/>
                <w:szCs w:val="20"/>
                <w:color w:val="auto"/>
              </w:rPr>
            </w:pPr>
            <w:r>
              <w:rPr>
                <w:rFonts w:ascii="Arial" w:cs="Arial" w:eastAsia="Arial" w:hAnsi="Arial"/>
                <w:sz w:val="14"/>
                <w:szCs w:val="14"/>
                <w:color w:val="4D4D4F"/>
              </w:rPr>
              <w:t>8.7%</w:t>
            </w:r>
          </w:p>
        </w:tc>
        <w:tc>
          <w:tcPr>
            <w:tcW w:w="1440" w:type="dxa"/>
            <w:vAlign w:val="bottom"/>
            <w:vMerge w:val="continue"/>
          </w:tcPr>
          <w:p>
            <w:pPr>
              <w:spacing w:after="0"/>
              <w:rPr>
                <w:sz w:val="22"/>
                <w:szCs w:val="22"/>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4D4D4F"/>
              </w:rPr>
              <w:t>—</w:t>
            </w:r>
          </w:p>
        </w:tc>
        <w:tc>
          <w:tcPr>
            <w:tcW w:w="1380" w:type="dxa"/>
            <w:vAlign w:val="bottom"/>
            <w:vMerge w:val="restart"/>
          </w:tcPr>
          <w:p>
            <w:pPr>
              <w:jc w:val="right"/>
              <w:ind w:right="88"/>
              <w:spacing w:after="0"/>
              <w:rPr>
                <w:sz w:val="20"/>
                <w:szCs w:val="20"/>
                <w:color w:val="auto"/>
              </w:rPr>
            </w:pPr>
            <w:r>
              <w:rPr>
                <w:rFonts w:ascii="Arial" w:cs="Arial" w:eastAsia="Arial" w:hAnsi="Arial"/>
                <w:sz w:val="14"/>
                <w:szCs w:val="14"/>
                <w:color w:val="4D4D4F"/>
              </w:rPr>
              <w:t>2.9%</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Pudong Science and Technology (Cayman) Co., Ltd.(4)</w:t>
            </w:r>
          </w:p>
        </w:tc>
        <w:tc>
          <w:tcPr>
            <w:tcW w:w="15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4D4D4F"/>
              </w:rPr>
              <w:t>1,119,576</w:t>
            </w:r>
          </w:p>
        </w:tc>
        <w:tc>
          <w:tcPr>
            <w:tcW w:w="7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6.5</w:t>
            </w:r>
          </w:p>
        </w:tc>
        <w:tc>
          <w:tcPr>
            <w:tcW w:w="1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4D4D4F"/>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2.1</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4"/>
                <w:szCs w:val="14"/>
                <w:b w:val="1"/>
                <w:bCs w:val="1"/>
                <w:i w:val="1"/>
                <w:iCs w:val="1"/>
                <w:color w:val="4D4D4F"/>
              </w:rPr>
              <w:t>Named Executive Oﬃcers and Directors</w:t>
            </w: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40" w:type="dxa"/>
            <w:vAlign w:val="bottom"/>
            <w:tcBorders>
              <w:top w:val="single" w:sz="8" w:color="4D4D4F"/>
            </w:tcBorders>
          </w:tcPr>
          <w:p>
            <w:pPr>
              <w:spacing w:after="0"/>
              <w:rPr>
                <w:sz w:val="2"/>
                <w:szCs w:val="2"/>
                <w:color w:val="auto"/>
              </w:rPr>
            </w:pPr>
          </w:p>
        </w:tc>
        <w:tc>
          <w:tcPr>
            <w:tcW w:w="1880" w:type="dxa"/>
            <w:vAlign w:val="bottom"/>
            <w:tcBorders>
              <w:top w:val="single" w:sz="8" w:color="4D4D4F"/>
            </w:tcBorders>
          </w:tcPr>
          <w:p>
            <w:pPr>
              <w:spacing w:after="0"/>
              <w:rPr>
                <w:sz w:val="2"/>
                <w:szCs w:val="2"/>
                <w:color w:val="auto"/>
              </w:rPr>
            </w:pPr>
          </w:p>
        </w:tc>
        <w:tc>
          <w:tcPr>
            <w:tcW w:w="2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David H. Wang(5)</w:t>
            </w:r>
          </w:p>
        </w:tc>
        <w:tc>
          <w:tcPr>
            <w:tcW w:w="15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4D4D4F"/>
              </w:rPr>
              <w:t>2,813,396</w:t>
            </w:r>
          </w:p>
        </w:tc>
        <w:tc>
          <w:tcPr>
            <w:tcW w:w="7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16.3</w:t>
            </w:r>
          </w:p>
        </w:tc>
        <w:tc>
          <w:tcPr>
            <w:tcW w:w="1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4D4D4F"/>
              </w:rPr>
              <w:t>1,388,936</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78.5%</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55.4</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4"/>
                <w:szCs w:val="14"/>
                <w:color w:val="4D4D4F"/>
              </w:rPr>
              <w:t>Yinan Xiang(6)</w:t>
            </w:r>
          </w:p>
        </w:tc>
        <w:tc>
          <w:tcPr>
            <w:tcW w:w="1500" w:type="dxa"/>
            <w:vAlign w:val="bottom"/>
          </w:tcPr>
          <w:p>
            <w:pPr>
              <w:jc w:val="right"/>
              <w:ind w:right="368"/>
              <w:spacing w:after="0"/>
              <w:rPr>
                <w:sz w:val="20"/>
                <w:szCs w:val="20"/>
                <w:color w:val="auto"/>
              </w:rPr>
            </w:pPr>
            <w:r>
              <w:rPr>
                <w:rFonts w:ascii="Arial" w:cs="Arial" w:eastAsia="Arial" w:hAnsi="Arial"/>
                <w:sz w:val="14"/>
                <w:szCs w:val="14"/>
                <w:color w:val="4D4D4F"/>
              </w:rPr>
              <w:t>1,506,170</w:t>
            </w:r>
          </w:p>
        </w:tc>
        <w:tc>
          <w:tcPr>
            <w:tcW w:w="760" w:type="dxa"/>
            <w:vAlign w:val="bottom"/>
          </w:tcPr>
          <w:p>
            <w:pPr>
              <w:jc w:val="right"/>
              <w:ind w:right="228"/>
              <w:spacing w:after="0"/>
              <w:rPr>
                <w:sz w:val="20"/>
                <w:szCs w:val="20"/>
                <w:color w:val="auto"/>
              </w:rPr>
            </w:pPr>
            <w:r>
              <w:rPr>
                <w:rFonts w:ascii="Arial" w:cs="Arial" w:eastAsia="Arial" w:hAnsi="Arial"/>
                <w:sz w:val="14"/>
                <w:szCs w:val="14"/>
                <w:color w:val="4D4D4F"/>
              </w:rPr>
              <w:t>8.7</w:t>
            </w:r>
          </w:p>
        </w:tc>
        <w:tc>
          <w:tcPr>
            <w:tcW w:w="1440" w:type="dxa"/>
            <w:vAlign w:val="bottom"/>
          </w:tcPr>
          <w:p>
            <w:pPr>
              <w:jc w:val="right"/>
              <w:ind w:right="348"/>
              <w:spacing w:after="0"/>
              <w:rPr>
                <w:sz w:val="20"/>
                <w:szCs w:val="20"/>
                <w:color w:val="auto"/>
              </w:rPr>
            </w:pPr>
            <w:r>
              <w:rPr>
                <w:rFonts w:ascii="Arial" w:cs="Arial" w:eastAsia="Arial" w:hAnsi="Arial"/>
                <w:sz w:val="14"/>
                <w:szCs w:val="14"/>
                <w:color w:val="4D4D4F"/>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4D4D4F"/>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4D4D4F"/>
              </w:rPr>
              <w:t>2.9</w:t>
            </w: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Zhengfan Yang(7)</w:t>
            </w:r>
          </w:p>
        </w:tc>
        <w:tc>
          <w:tcPr>
            <w:tcW w:w="15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4D4D4F"/>
              </w:rPr>
              <w:t>833,334</w:t>
            </w:r>
          </w:p>
        </w:tc>
        <w:tc>
          <w:tcPr>
            <w:tcW w:w="7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4.8</w:t>
            </w:r>
          </w:p>
        </w:tc>
        <w:tc>
          <w:tcPr>
            <w:tcW w:w="1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4D4D4F"/>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1.6</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4"/>
                <w:szCs w:val="14"/>
                <w:color w:val="4D4D4F"/>
              </w:rPr>
              <w:t>Haiping Dun(8)</w:t>
            </w:r>
          </w:p>
        </w:tc>
        <w:tc>
          <w:tcPr>
            <w:tcW w:w="1500" w:type="dxa"/>
            <w:vAlign w:val="bottom"/>
          </w:tcPr>
          <w:p>
            <w:pPr>
              <w:jc w:val="right"/>
              <w:ind w:right="368"/>
              <w:spacing w:after="0"/>
              <w:rPr>
                <w:sz w:val="20"/>
                <w:szCs w:val="20"/>
                <w:color w:val="auto"/>
              </w:rPr>
            </w:pPr>
            <w:r>
              <w:rPr>
                <w:rFonts w:ascii="Arial" w:cs="Arial" w:eastAsia="Arial" w:hAnsi="Arial"/>
                <w:sz w:val="14"/>
                <w:szCs w:val="14"/>
                <w:color w:val="4D4D4F"/>
              </w:rPr>
              <w:t>572,113</w:t>
            </w:r>
          </w:p>
        </w:tc>
        <w:tc>
          <w:tcPr>
            <w:tcW w:w="760" w:type="dxa"/>
            <w:vAlign w:val="bottom"/>
          </w:tcPr>
          <w:p>
            <w:pPr>
              <w:jc w:val="right"/>
              <w:ind w:right="228"/>
              <w:spacing w:after="0"/>
              <w:rPr>
                <w:sz w:val="20"/>
                <w:szCs w:val="20"/>
                <w:color w:val="auto"/>
              </w:rPr>
            </w:pPr>
            <w:r>
              <w:rPr>
                <w:rFonts w:ascii="Arial" w:cs="Arial" w:eastAsia="Arial" w:hAnsi="Arial"/>
                <w:sz w:val="14"/>
                <w:szCs w:val="14"/>
                <w:color w:val="4D4D4F"/>
              </w:rPr>
              <w:t>3.3</w:t>
            </w:r>
          </w:p>
        </w:tc>
        <w:tc>
          <w:tcPr>
            <w:tcW w:w="1440" w:type="dxa"/>
            <w:vAlign w:val="bottom"/>
          </w:tcPr>
          <w:p>
            <w:pPr>
              <w:jc w:val="right"/>
              <w:ind w:right="348"/>
              <w:spacing w:after="0"/>
              <w:rPr>
                <w:sz w:val="20"/>
                <w:szCs w:val="20"/>
                <w:color w:val="auto"/>
              </w:rPr>
            </w:pPr>
            <w:r>
              <w:rPr>
                <w:rFonts w:ascii="Arial" w:cs="Arial" w:eastAsia="Arial" w:hAnsi="Arial"/>
                <w:sz w:val="14"/>
                <w:szCs w:val="14"/>
                <w:color w:val="4D4D4F"/>
              </w:rPr>
              <w:t>100,000</w:t>
            </w:r>
          </w:p>
        </w:tc>
        <w:tc>
          <w:tcPr>
            <w:tcW w:w="720" w:type="dxa"/>
            <w:vAlign w:val="bottom"/>
          </w:tcPr>
          <w:p>
            <w:pPr>
              <w:jc w:val="right"/>
              <w:ind w:right="88"/>
              <w:spacing w:after="0"/>
              <w:rPr>
                <w:sz w:val="20"/>
                <w:szCs w:val="20"/>
                <w:color w:val="auto"/>
              </w:rPr>
            </w:pPr>
            <w:r>
              <w:rPr>
                <w:rFonts w:ascii="Arial" w:cs="Arial" w:eastAsia="Arial" w:hAnsi="Arial"/>
                <w:sz w:val="14"/>
                <w:szCs w:val="14"/>
                <w:color w:val="4D4D4F"/>
              </w:rPr>
              <w:t>5.7</w:t>
            </w:r>
          </w:p>
        </w:tc>
        <w:tc>
          <w:tcPr>
            <w:tcW w:w="1380" w:type="dxa"/>
            <w:vAlign w:val="bottom"/>
          </w:tcPr>
          <w:p>
            <w:pPr>
              <w:jc w:val="right"/>
              <w:ind w:right="88"/>
              <w:spacing w:after="0"/>
              <w:rPr>
                <w:sz w:val="20"/>
                <w:szCs w:val="20"/>
                <w:color w:val="auto"/>
              </w:rPr>
            </w:pPr>
            <w:r>
              <w:rPr>
                <w:rFonts w:ascii="Arial" w:cs="Arial" w:eastAsia="Arial" w:hAnsi="Arial"/>
                <w:sz w:val="14"/>
                <w:szCs w:val="14"/>
                <w:color w:val="4D4D4F"/>
              </w:rPr>
              <w:t>4.7</w:t>
            </w: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Jian Wang(9)</w:t>
            </w:r>
          </w:p>
        </w:tc>
        <w:tc>
          <w:tcPr>
            <w:tcW w:w="15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4D4D4F"/>
              </w:rPr>
              <w:t>178,345</w:t>
            </w:r>
          </w:p>
        </w:tc>
        <w:tc>
          <w:tcPr>
            <w:tcW w:w="7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1.0</w:t>
            </w:r>
          </w:p>
        </w:tc>
        <w:tc>
          <w:tcPr>
            <w:tcW w:w="1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4D4D4F"/>
              </w:rPr>
              <w:t>50,001</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2.6</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2.1</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4"/>
                <w:szCs w:val="14"/>
                <w:color w:val="4D4D4F"/>
              </w:rPr>
              <w:t>Chenming Hu(10)</w:t>
            </w:r>
          </w:p>
        </w:tc>
        <w:tc>
          <w:tcPr>
            <w:tcW w:w="1500" w:type="dxa"/>
            <w:vAlign w:val="bottom"/>
          </w:tcPr>
          <w:p>
            <w:pPr>
              <w:jc w:val="right"/>
              <w:ind w:right="368"/>
              <w:spacing w:after="0"/>
              <w:rPr>
                <w:sz w:val="20"/>
                <w:szCs w:val="20"/>
                <w:color w:val="auto"/>
              </w:rPr>
            </w:pPr>
            <w:r>
              <w:rPr>
                <w:rFonts w:ascii="Arial" w:cs="Arial" w:eastAsia="Arial" w:hAnsi="Arial"/>
                <w:sz w:val="14"/>
                <w:szCs w:val="14"/>
                <w:color w:val="4D4D4F"/>
              </w:rPr>
              <w:t>87,770</w:t>
            </w:r>
          </w:p>
        </w:tc>
        <w:tc>
          <w:tcPr>
            <w:tcW w:w="760" w:type="dxa"/>
            <w:vAlign w:val="bottom"/>
          </w:tcPr>
          <w:p>
            <w:pPr>
              <w:jc w:val="right"/>
              <w:ind w:right="228"/>
              <w:spacing w:after="0"/>
              <w:rPr>
                <w:sz w:val="20"/>
                <w:szCs w:val="20"/>
                <w:color w:val="auto"/>
              </w:rPr>
            </w:pPr>
            <w:r>
              <w:rPr>
                <w:rFonts w:ascii="Arial" w:cs="Arial" w:eastAsia="Arial" w:hAnsi="Arial"/>
                <w:sz w:val="14"/>
                <w:szCs w:val="14"/>
                <w:color w:val="4D4D4F"/>
              </w:rPr>
              <w:t>*</w:t>
            </w:r>
          </w:p>
        </w:tc>
        <w:tc>
          <w:tcPr>
            <w:tcW w:w="1440" w:type="dxa"/>
            <w:vAlign w:val="bottom"/>
          </w:tcPr>
          <w:p>
            <w:pPr>
              <w:jc w:val="right"/>
              <w:ind w:right="348"/>
              <w:spacing w:after="0"/>
              <w:rPr>
                <w:sz w:val="20"/>
                <w:szCs w:val="20"/>
                <w:color w:val="auto"/>
              </w:rPr>
            </w:pPr>
            <w:r>
              <w:rPr>
                <w:rFonts w:ascii="Arial" w:cs="Arial" w:eastAsia="Arial" w:hAnsi="Arial"/>
                <w:sz w:val="14"/>
                <w:szCs w:val="14"/>
                <w:color w:val="4D4D4F"/>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4D4D4F"/>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Fuping Chen(11)</w:t>
            </w:r>
          </w:p>
        </w:tc>
        <w:tc>
          <w:tcPr>
            <w:tcW w:w="15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4D4D4F"/>
              </w:rPr>
              <w:t>79,345</w:t>
            </w:r>
          </w:p>
        </w:tc>
        <w:tc>
          <w:tcPr>
            <w:tcW w:w="7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w:t>
            </w:r>
          </w:p>
        </w:tc>
        <w:tc>
          <w:tcPr>
            <w:tcW w:w="1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4D4D4F"/>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4"/>
                <w:szCs w:val="14"/>
                <w:color w:val="4D4D4F"/>
              </w:rPr>
              <w:t>Tracy Liu(12)</w:t>
            </w:r>
          </w:p>
        </w:tc>
        <w:tc>
          <w:tcPr>
            <w:tcW w:w="1500" w:type="dxa"/>
            <w:vAlign w:val="bottom"/>
          </w:tcPr>
          <w:p>
            <w:pPr>
              <w:jc w:val="right"/>
              <w:ind w:right="368"/>
              <w:spacing w:after="0"/>
              <w:rPr>
                <w:sz w:val="20"/>
                <w:szCs w:val="20"/>
                <w:color w:val="auto"/>
              </w:rPr>
            </w:pPr>
            <w:r>
              <w:rPr>
                <w:rFonts w:ascii="Arial" w:cs="Arial" w:eastAsia="Arial" w:hAnsi="Arial"/>
                <w:sz w:val="14"/>
                <w:szCs w:val="14"/>
                <w:color w:val="4D4D4F"/>
              </w:rPr>
              <w:t>76,340</w:t>
            </w:r>
          </w:p>
        </w:tc>
        <w:tc>
          <w:tcPr>
            <w:tcW w:w="760" w:type="dxa"/>
            <w:vAlign w:val="bottom"/>
          </w:tcPr>
          <w:p>
            <w:pPr>
              <w:jc w:val="right"/>
              <w:ind w:right="228"/>
              <w:spacing w:after="0"/>
              <w:rPr>
                <w:sz w:val="20"/>
                <w:szCs w:val="20"/>
                <w:color w:val="auto"/>
              </w:rPr>
            </w:pPr>
            <w:r>
              <w:rPr>
                <w:rFonts w:ascii="Arial" w:cs="Arial" w:eastAsia="Arial" w:hAnsi="Arial"/>
                <w:sz w:val="14"/>
                <w:szCs w:val="14"/>
                <w:color w:val="4D4D4F"/>
              </w:rPr>
              <w:t>*</w:t>
            </w:r>
          </w:p>
        </w:tc>
        <w:tc>
          <w:tcPr>
            <w:tcW w:w="1440" w:type="dxa"/>
            <w:vAlign w:val="bottom"/>
          </w:tcPr>
          <w:p>
            <w:pPr>
              <w:jc w:val="right"/>
              <w:ind w:right="348"/>
              <w:spacing w:after="0"/>
              <w:rPr>
                <w:sz w:val="20"/>
                <w:szCs w:val="20"/>
                <w:color w:val="auto"/>
              </w:rPr>
            </w:pPr>
            <w:r>
              <w:rPr>
                <w:rFonts w:ascii="Arial" w:cs="Arial" w:eastAsia="Arial" w:hAnsi="Arial"/>
                <w:sz w:val="14"/>
                <w:szCs w:val="14"/>
                <w:color w:val="4D4D4F"/>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4D4D4F"/>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Lisa Feng(13)</w:t>
            </w:r>
          </w:p>
        </w:tc>
        <w:tc>
          <w:tcPr>
            <w:tcW w:w="15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4D4D4F"/>
              </w:rPr>
              <w:t>45,929</w:t>
            </w:r>
          </w:p>
        </w:tc>
        <w:tc>
          <w:tcPr>
            <w:tcW w:w="7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w:t>
            </w:r>
          </w:p>
        </w:tc>
        <w:tc>
          <w:tcPr>
            <w:tcW w:w="1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4D4D4F"/>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4"/>
                <w:szCs w:val="14"/>
                <w:color w:val="4D4D4F"/>
              </w:rPr>
              <w:t>Mark McKechnie(14)</w:t>
            </w:r>
          </w:p>
        </w:tc>
        <w:tc>
          <w:tcPr>
            <w:tcW w:w="1500" w:type="dxa"/>
            <w:vAlign w:val="bottom"/>
          </w:tcPr>
          <w:p>
            <w:pPr>
              <w:jc w:val="right"/>
              <w:ind w:right="368"/>
              <w:spacing w:after="0"/>
              <w:rPr>
                <w:sz w:val="20"/>
                <w:szCs w:val="20"/>
                <w:color w:val="auto"/>
              </w:rPr>
            </w:pPr>
            <w:r>
              <w:rPr>
                <w:rFonts w:ascii="Arial" w:cs="Arial" w:eastAsia="Arial" w:hAnsi="Arial"/>
                <w:sz w:val="14"/>
                <w:szCs w:val="14"/>
                <w:color w:val="4D4D4F"/>
              </w:rPr>
              <w:t>24,346</w:t>
            </w:r>
          </w:p>
        </w:tc>
        <w:tc>
          <w:tcPr>
            <w:tcW w:w="760" w:type="dxa"/>
            <w:vAlign w:val="bottom"/>
          </w:tcPr>
          <w:p>
            <w:pPr>
              <w:jc w:val="right"/>
              <w:ind w:right="228"/>
              <w:spacing w:after="0"/>
              <w:rPr>
                <w:sz w:val="20"/>
                <w:szCs w:val="20"/>
                <w:color w:val="auto"/>
              </w:rPr>
            </w:pPr>
            <w:r>
              <w:rPr>
                <w:rFonts w:ascii="Arial" w:cs="Arial" w:eastAsia="Arial" w:hAnsi="Arial"/>
                <w:sz w:val="14"/>
                <w:szCs w:val="14"/>
                <w:color w:val="4D4D4F"/>
              </w:rPr>
              <w:t>*</w:t>
            </w:r>
          </w:p>
        </w:tc>
        <w:tc>
          <w:tcPr>
            <w:tcW w:w="1440" w:type="dxa"/>
            <w:vAlign w:val="bottom"/>
          </w:tcPr>
          <w:p>
            <w:pPr>
              <w:jc w:val="right"/>
              <w:ind w:right="348"/>
              <w:spacing w:after="0"/>
              <w:rPr>
                <w:sz w:val="20"/>
                <w:szCs w:val="20"/>
                <w:color w:val="auto"/>
              </w:rPr>
            </w:pPr>
            <w:r>
              <w:rPr>
                <w:rFonts w:ascii="Arial" w:cs="Arial" w:eastAsia="Arial" w:hAnsi="Arial"/>
                <w:sz w:val="14"/>
                <w:szCs w:val="14"/>
                <w:color w:val="4D4D4F"/>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4D4D4F"/>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4D4D4F"/>
              </w:rPr>
              <w:t>*</w:t>
            </w:r>
          </w:p>
        </w:tc>
        <w:tc>
          <w:tcPr>
            <w:tcW w:w="0" w:type="dxa"/>
            <w:vAlign w:val="bottom"/>
          </w:tcPr>
          <w:p>
            <w:pPr>
              <w:spacing w:after="0"/>
              <w:rPr>
                <w:sz w:val="1"/>
                <w:szCs w:val="1"/>
                <w:color w:val="auto"/>
              </w:rPr>
            </w:pPr>
          </w:p>
        </w:tc>
      </w:tr>
      <w:tr>
        <w:trPr>
          <w:trHeight w:val="248"/>
        </w:trPr>
        <w:tc>
          <w:tcPr>
            <w:tcW w:w="40" w:type="dxa"/>
            <w:vAlign w:val="bottom"/>
            <w:shd w:val="clear" w:color="auto" w:fill="CCEEFF"/>
          </w:tcPr>
          <w:p>
            <w:pPr>
              <w:spacing w:after="0"/>
              <w:rPr>
                <w:sz w:val="21"/>
                <w:szCs w:val="21"/>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4"/>
                <w:szCs w:val="14"/>
                <w:color w:val="4D4D4F"/>
              </w:rPr>
              <w:t>All executive officers and directors as a group (11 persons)(15)</w:t>
            </w:r>
          </w:p>
        </w:tc>
        <w:tc>
          <w:tcPr>
            <w:tcW w:w="15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4D4D4F"/>
              </w:rPr>
              <w:t>6,218,336</w:t>
            </w:r>
          </w:p>
        </w:tc>
        <w:tc>
          <w:tcPr>
            <w:tcW w:w="7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36.1</w:t>
            </w:r>
          </w:p>
        </w:tc>
        <w:tc>
          <w:tcPr>
            <w:tcW w:w="14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4D4D4F"/>
              </w:rPr>
              <w:t>1,535,937</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86.8</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-2691130</wp:posOffset>
            </wp:positionV>
            <wp:extent cx="28117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4D4D4F"/>
        </w:rPr>
      </w:pPr>
      <w:r>
        <w:rPr>
          <w:rFonts w:ascii="Arial" w:cs="Arial" w:eastAsia="Arial" w:hAnsi="Arial"/>
          <w:sz w:val="14"/>
          <w:szCs w:val="14"/>
          <w:color w:val="4D4D4F"/>
        </w:rPr>
        <w:t>Less than 1%.</w:t>
      </w:r>
    </w:p>
    <w:p>
      <w:pPr>
        <w:spacing w:after="0" w:line="55" w:lineRule="exact"/>
        <w:rPr>
          <w:sz w:val="20"/>
          <w:szCs w:val="20"/>
          <w:color w:val="auto"/>
        </w:rPr>
      </w:pPr>
    </w:p>
    <w:p>
      <w:pPr>
        <w:ind w:left="340" w:hanging="332"/>
        <w:spacing w:after="0" w:line="258" w:lineRule="auto"/>
        <w:tabs>
          <w:tab w:leader="none" w:pos="340" w:val="left"/>
        </w:tabs>
        <w:numPr>
          <w:ilvl w:val="0"/>
          <w:numId w:val="52"/>
        </w:numPr>
        <w:rPr>
          <w:rFonts w:ascii="Arial" w:cs="Arial" w:eastAsia="Arial" w:hAnsi="Arial"/>
          <w:sz w:val="14"/>
          <w:szCs w:val="14"/>
          <w:color w:val="4D4D4F"/>
        </w:rPr>
      </w:pPr>
      <w:r>
        <w:rPr>
          <w:rFonts w:ascii="Arial" w:cs="Arial" w:eastAsia="Arial" w:hAnsi="Arial"/>
          <w:sz w:val="14"/>
          <w:szCs w:val="14"/>
          <w:color w:val="4D4D4F"/>
        </w:rPr>
        <w:t>Includes the number of shares of Class A common stock issuable upon conversion of shares of Class B common stock, which are convertible at any time into shares of Class A common stock.</w:t>
      </w:r>
    </w:p>
    <w:p>
      <w:pPr>
        <w:spacing w:after="0" w:line="31"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52"/>
        </w:numPr>
        <w:rPr>
          <w:rFonts w:ascii="Arial" w:cs="Arial" w:eastAsia="Arial" w:hAnsi="Arial"/>
          <w:sz w:val="14"/>
          <w:szCs w:val="14"/>
          <w:color w:val="4D4D4F"/>
        </w:rPr>
      </w:pPr>
      <w:r>
        <w:rPr>
          <w:rFonts w:ascii="Arial" w:cs="Arial" w:eastAsia="Arial" w:hAnsi="Arial"/>
          <w:sz w:val="14"/>
          <w:szCs w:val="14"/>
          <w:color w:val="4D4D4F"/>
        </w:rPr>
        <w:t>Percentage of total voting power represents voting power with respect to all shares of Class A and Class B common stock, voting as a single class. Holders are entitled to one vote per share of Class A common stock and twenty votes per share of Class B common stock.</w:t>
      </w:r>
    </w:p>
    <w:p>
      <w:pPr>
        <w:spacing w:after="0" w:line="31" w:lineRule="exact"/>
        <w:rPr>
          <w:rFonts w:ascii="Arial" w:cs="Arial" w:eastAsia="Arial" w:hAnsi="Arial"/>
          <w:sz w:val="14"/>
          <w:szCs w:val="14"/>
          <w:color w:val="4D4D4F"/>
        </w:rPr>
      </w:pPr>
    </w:p>
    <w:p>
      <w:pPr>
        <w:ind w:left="340" w:right="20" w:hanging="332"/>
        <w:spacing w:after="0" w:line="258" w:lineRule="auto"/>
        <w:tabs>
          <w:tab w:leader="none" w:pos="340" w:val="left"/>
        </w:tabs>
        <w:numPr>
          <w:ilvl w:val="0"/>
          <w:numId w:val="52"/>
        </w:numPr>
        <w:rPr>
          <w:rFonts w:ascii="Arial" w:cs="Arial" w:eastAsia="Arial" w:hAnsi="Arial"/>
          <w:sz w:val="14"/>
          <w:szCs w:val="14"/>
          <w:color w:val="4D4D4F"/>
        </w:rPr>
      </w:pPr>
      <w:r>
        <w:rPr>
          <w:rFonts w:ascii="Arial" w:cs="Arial" w:eastAsia="Arial" w:hAnsi="Arial"/>
          <w:sz w:val="14"/>
          <w:szCs w:val="14"/>
          <w:color w:val="4D4D4F"/>
        </w:rPr>
        <w:t>Weiguo Shen is the Chairman and General Manager of Shanghai Science and Technology Venture Co., Ltd., or SSTVC, and may be deemed to beneficially own the shares held by SSTVC. The address of SSTVC and Mr. Shen is Floor 39, #669 Xin Zha Road, Jing An District, Shanghai, PRC.</w:t>
      </w:r>
    </w:p>
    <w:p>
      <w:pPr>
        <w:spacing w:after="0" w:line="31"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2"/>
        </w:numPr>
        <w:rPr>
          <w:rFonts w:ascii="Arial" w:cs="Arial" w:eastAsia="Arial" w:hAnsi="Arial"/>
          <w:sz w:val="14"/>
          <w:szCs w:val="14"/>
          <w:color w:val="4D4D4F"/>
        </w:rPr>
      </w:pPr>
      <w:r>
        <w:rPr>
          <w:rFonts w:ascii="Arial" w:cs="Arial" w:eastAsia="Arial" w:hAnsi="Arial"/>
          <w:sz w:val="14"/>
          <w:szCs w:val="14"/>
          <w:color w:val="4D4D4F"/>
        </w:rPr>
        <w:t>Pudong Science and Technology (Cayman) Co., Ltd., or PST, is a wholly owned subsidiary of Shanghai Pudong High-Tech Investment Co., Ltd. Long Ji is the Corporate Representative of Pudong High-Tech Investment Co., Ltd. and may be deemed to beneficially own the shares held by PST. The address of PST, its parent and Mr. Ji is No. 439, 13 Building, Chunxiao Road, Zhangjiang Hi-tech Park, Pudong District, Shanghai.</w:t>
      </w:r>
    </w:p>
    <w:p>
      <w:pPr>
        <w:spacing w:after="0" w:line="38" w:lineRule="exact"/>
        <w:rPr>
          <w:rFonts w:ascii="Arial" w:cs="Arial" w:eastAsia="Arial" w:hAnsi="Arial"/>
          <w:sz w:val="14"/>
          <w:szCs w:val="14"/>
          <w:color w:val="4D4D4F"/>
        </w:rPr>
      </w:pPr>
    </w:p>
    <w:p>
      <w:pPr>
        <w:jc w:val="both"/>
        <w:ind w:left="340" w:hanging="332"/>
        <w:spacing w:after="0" w:line="245" w:lineRule="auto"/>
        <w:tabs>
          <w:tab w:leader="none" w:pos="340" w:val="left"/>
        </w:tabs>
        <w:numPr>
          <w:ilvl w:val="0"/>
          <w:numId w:val="52"/>
        </w:numPr>
        <w:rPr>
          <w:rFonts w:ascii="Arial" w:cs="Arial" w:eastAsia="Arial" w:hAnsi="Arial"/>
          <w:sz w:val="14"/>
          <w:szCs w:val="14"/>
          <w:color w:val="4D4D4F"/>
        </w:rPr>
      </w:pPr>
      <w:r>
        <w:rPr>
          <w:rFonts w:ascii="Arial" w:cs="Arial" w:eastAsia="Arial" w:hAnsi="Arial"/>
          <w:sz w:val="14"/>
          <w:szCs w:val="14"/>
          <w:color w:val="4D4D4F"/>
        </w:rPr>
        <w:t>Includes (a) 206,667 shares of Class A common stock held by Dr. Wang and Jing Chen, as Trustees for the Wang-Chen Family Living Trust; (b) 60,000 shares of Class A common stock held by Dr. Wang and Jing Chen, as Trustees for The David Hui Wang and Jing Chen Family Irrevocable Trust for Wang Children; (c) 1,388,936 shares of Class A common stock issuable upon conversion of Class B common stock, of which shares of Class B common stock a total of 117,334 are held by Dr. Wang’s son, Brian Wang, 117,334 are held by Dr. Wang’s daughter, Sophia Wang, and 7,334 are held by Dr. Wang and Jing Chen, as Trustees for The David Hui Wang and Jing Chen Family Irrevocable Trust for Wang Children; and (d) 941,174 shares of Class A common stock issuable upon the exercise of options exercisable by June 7, 2021.</w:t>
      </w:r>
    </w:p>
    <w:p>
      <w:pPr>
        <w:spacing w:after="0" w:line="42"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2"/>
        </w:numPr>
        <w:rPr>
          <w:rFonts w:ascii="Arial" w:cs="Arial" w:eastAsia="Arial" w:hAnsi="Arial"/>
          <w:sz w:val="14"/>
          <w:szCs w:val="14"/>
          <w:color w:val="4D4D4F"/>
        </w:rPr>
      </w:pPr>
      <w:r>
        <w:rPr>
          <w:rFonts w:ascii="Arial" w:cs="Arial" w:eastAsia="Arial" w:hAnsi="Arial"/>
          <w:sz w:val="14"/>
          <w:szCs w:val="14"/>
          <w:color w:val="4D4D4F"/>
        </w:rPr>
        <w:t>Consists of shares owned by SSTVC (see note (3) above). As described under “Corporate Governance—Director Nomination Rights,” SSTVC had exercised a contractual right by designating Ms. Xiang for nomination to the board and Ms. Xiang has been elected to the board. Ms. Xiang disclaims beneficial ownership of the shares owned by SSTVC except to the extent of her pecuniary interest therein.</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4D4D4F"/>
        </w:rPr>
        <w:t>[Footnotes continued on next page]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7" w:lineRule="exact"/>
        <w:rPr>
          <w:sz w:val="20"/>
          <w:szCs w:val="20"/>
          <w:color w:val="auto"/>
        </w:rPr>
      </w:pPr>
    </w:p>
    <w:p>
      <w:pPr>
        <w:jc w:val="both"/>
        <w:ind w:left="340" w:hanging="332"/>
        <w:spacing w:after="0" w:line="244"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Consists of shares owned by Xinxin (Hongkong) Capital Co., Limited, or Xinxin, a wholly owned subsidiary of Xunxin (Shanghai) Capital Co., Ltd., which is a wholly owned subsidiary of China IC Industry Investment Fund. Sino IC Capital Co., Limited is the management company of China IC Industry Investment Fund and Kai Ren is the Vice President of Sino IC Capital Co., Limited and may be deemed to beneficially own the shares held by Xinxin. The address of Xinxin, Xunxin (Shanghai) Capital Co., Limited, Sino IC Capital Co., Limited, China IC Industry Investment Fund and Kai Ren is 3rd Floor North, No. 7 Financial Street, Xicheng District, Beijing 100033. As described under “Corporate Governance—Director Nomination Rights,” Xinxin had exercised a contractual right by designating Mr. Yang for nomination to the board and Mr. Yang had been elected to the board. Mr. Yang is not standing for re-election at this Annual Meeting. Mr. Yang disclaims beneficial ownership of the shares owned by Xinxin (Hongkong) Capital Co., Limited except to the extent of his pecuniary interest therein.</w:t>
      </w:r>
    </w:p>
    <w:p>
      <w:pPr>
        <w:spacing w:after="0" w:line="42"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Includes (a) 187,083 shares of Class A common stock issuable under options exercisable by June 7, 2021 and (b) 100,000 shares of Class A common stock issuable upon conversion of Class B common stock.</w:t>
      </w:r>
    </w:p>
    <w:p>
      <w:pPr>
        <w:spacing w:after="0" w:line="31"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Includes (a) 43,958 shares of Class A common stock issuable under options exercisable by June 7, 2021 and (b) 50,001 shares of Class A common stock issuable upon conversion of Class B common stock</w:t>
      </w:r>
    </w:p>
    <w:p>
      <w:pPr>
        <w:spacing w:after="0" w:line="31" w:lineRule="exact"/>
        <w:rPr>
          <w:rFonts w:ascii="Arial" w:cs="Arial" w:eastAsia="Arial" w:hAnsi="Arial"/>
          <w:sz w:val="14"/>
          <w:szCs w:val="14"/>
          <w:color w:val="4D4D4F"/>
        </w:rPr>
      </w:pPr>
    </w:p>
    <w:p>
      <w:pPr>
        <w:ind w:left="340" w:hanging="332"/>
        <w:spacing w:after="0"/>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Includes 23,334 shares of Class A common stock issuable under options exercisable by June 7,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Includes 79,345 shares of Class A common stock issuable under options exercisable by June 7,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Includes 39,416 shares of Class A common stock issuable under options exercisable by June 7,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Includes 31,669 shares of Class A common stock issuable under options exercisable by June 7,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Includes 24,346 shares of Class A common stock issuable under options exercisable by June 7,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3"/>
        </w:numPr>
        <w:rPr>
          <w:rFonts w:ascii="Arial" w:cs="Arial" w:eastAsia="Arial" w:hAnsi="Arial"/>
          <w:sz w:val="14"/>
          <w:szCs w:val="14"/>
          <w:color w:val="4D4D4F"/>
        </w:rPr>
      </w:pPr>
      <w:r>
        <w:rPr>
          <w:rFonts w:ascii="Arial" w:cs="Arial" w:eastAsia="Arial" w:hAnsi="Arial"/>
          <w:sz w:val="14"/>
          <w:szCs w:val="14"/>
          <w:color w:val="4D4D4F"/>
        </w:rPr>
        <w:t>Includes shares held jointly, indirectly and/or in trust, including 1,378,270 shares of Class A common stock issuable under options exercisable by June 7, 2021.</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Unless otherwise indicated, the address of all individuals listed above is c/o ACM Research, Inc., 42307 Osgood Road, Suite I, Fremont, California 94539.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Delinquent Section 16(a) Reports</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Based solely upon a review of the Section 16(a) reports furnished to us, along with written representations from our executive officers and directors, we believe that all required reports were timely filed during 2020, except that (a) Lisa Feng inadvertently failed to file one report, and as a result one transaction was not reported on a timely basis, and (b) Jian Wang inadvertently failed to file one report, and as a result one transaction was not filed on a timely basis.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Executive Officers</w:t>
      </w:r>
    </w:p>
    <w:p>
      <w:pPr>
        <w:spacing w:after="0" w:line="16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4D4D4F"/>
        </w:rPr>
        <w:t>The following table sets forth, as of April 8, 2021, the names of our executive oﬃcers, their ages, their positions and business experience, and the year of their first election as oﬃcers. Each executive oﬃcer serves at the discretion of the board of directors and holds oﬃce until his successor is duly elected and qualified or until his earlier resignation or removal.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shd w:val="clear" w:color="auto" w:fill="003E64"/>
          </w:tcPr>
          <w:p>
            <w:pPr>
              <w:spacing w:after="0"/>
              <w:rPr>
                <w:sz w:val="14"/>
                <w:szCs w:val="14"/>
                <w:color w:val="auto"/>
              </w:rPr>
            </w:pPr>
          </w:p>
        </w:tc>
        <w:tc>
          <w:tcPr>
            <w:tcW w:w="560" w:type="dxa"/>
            <w:vAlign w:val="bottom"/>
            <w:shd w:val="clear" w:color="auto" w:fill="003E64"/>
          </w:tcPr>
          <w:p>
            <w:pPr>
              <w:spacing w:after="0"/>
              <w:rPr>
                <w:sz w:val="14"/>
                <w:szCs w:val="14"/>
                <w:color w:val="auto"/>
              </w:rPr>
            </w:pPr>
          </w:p>
        </w:tc>
        <w:tc>
          <w:tcPr>
            <w:tcW w:w="7980" w:type="dxa"/>
            <w:vAlign w:val="bottom"/>
            <w:shd w:val="clear" w:color="auto" w:fill="003E64"/>
          </w:tcPr>
          <w:p>
            <w:pPr>
              <w:spacing w:after="0"/>
              <w:rPr>
                <w:sz w:val="14"/>
                <w:szCs w:val="14"/>
                <w:color w:val="auto"/>
              </w:rPr>
            </w:pPr>
          </w:p>
        </w:tc>
        <w:tc>
          <w:tcPr>
            <w:tcW w:w="10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Year First</w:t>
            </w:r>
          </w:p>
        </w:tc>
        <w:tc>
          <w:tcPr>
            <w:tcW w:w="0" w:type="dxa"/>
            <w:vAlign w:val="bottom"/>
          </w:tcPr>
          <w:p>
            <w:pPr>
              <w:spacing w:after="0"/>
              <w:rPr>
                <w:sz w:val="1"/>
                <w:szCs w:val="1"/>
                <w:color w:val="auto"/>
              </w:rPr>
            </w:pPr>
          </w:p>
        </w:tc>
      </w:tr>
      <w:tr>
        <w:trPr>
          <w:trHeight w:val="176"/>
        </w:trPr>
        <w:tc>
          <w:tcPr>
            <w:tcW w:w="1680" w:type="dxa"/>
            <w:vAlign w:val="bottom"/>
            <w:vMerge w:val="restart"/>
            <w:shd w:val="clear" w:color="auto" w:fill="003E64"/>
          </w:tcPr>
          <w:p>
            <w:pPr>
              <w:ind w:left="620"/>
              <w:spacing w:after="0"/>
              <w:rPr>
                <w:sz w:val="20"/>
                <w:szCs w:val="20"/>
                <w:color w:val="auto"/>
              </w:rPr>
            </w:pPr>
            <w:r>
              <w:rPr>
                <w:rFonts w:ascii="Arial" w:cs="Arial" w:eastAsia="Arial" w:hAnsi="Arial"/>
                <w:sz w:val="14"/>
                <w:szCs w:val="14"/>
                <w:b w:val="1"/>
                <w:bCs w:val="1"/>
                <w:color w:val="FFFFFF"/>
              </w:rPr>
              <w:t>Name</w:t>
            </w:r>
          </w:p>
        </w:tc>
        <w:tc>
          <w:tcPr>
            <w:tcW w:w="560" w:type="dxa"/>
            <w:vAlign w:val="bottom"/>
            <w:vMerge w:val="restart"/>
            <w:shd w:val="clear" w:color="auto" w:fill="003E64"/>
          </w:tcPr>
          <w:p>
            <w:pPr>
              <w:ind w:left="180"/>
              <w:spacing w:after="0"/>
              <w:rPr>
                <w:sz w:val="20"/>
                <w:szCs w:val="20"/>
                <w:color w:val="auto"/>
              </w:rPr>
            </w:pPr>
            <w:r>
              <w:rPr>
                <w:rFonts w:ascii="Arial" w:cs="Arial" w:eastAsia="Arial" w:hAnsi="Arial"/>
                <w:sz w:val="14"/>
                <w:szCs w:val="14"/>
                <w:b w:val="1"/>
                <w:bCs w:val="1"/>
                <w:color w:val="FFFFFF"/>
              </w:rPr>
              <w:t>Age</w:t>
            </w:r>
          </w:p>
        </w:tc>
        <w:tc>
          <w:tcPr>
            <w:tcW w:w="7980" w:type="dxa"/>
            <w:vAlign w:val="bottom"/>
            <w:vMerge w:val="restart"/>
            <w:shd w:val="clear" w:color="auto" w:fill="003E64"/>
          </w:tcPr>
          <w:p>
            <w:pPr>
              <w:ind w:left="2560"/>
              <w:spacing w:after="0"/>
              <w:rPr>
                <w:sz w:val="20"/>
                <w:szCs w:val="20"/>
                <w:color w:val="auto"/>
              </w:rPr>
            </w:pPr>
            <w:r>
              <w:rPr>
                <w:rFonts w:ascii="Arial" w:cs="Arial" w:eastAsia="Arial" w:hAnsi="Arial"/>
                <w:sz w:val="14"/>
                <w:szCs w:val="14"/>
                <w:b w:val="1"/>
                <w:bCs w:val="1"/>
                <w:color w:val="FFFFFF"/>
              </w:rPr>
              <w:t>Positions and Business Experience</w:t>
            </w:r>
          </w:p>
        </w:tc>
        <w:tc>
          <w:tcPr>
            <w:tcW w:w="10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Elected</w:t>
            </w:r>
          </w:p>
        </w:tc>
        <w:tc>
          <w:tcPr>
            <w:tcW w:w="0" w:type="dxa"/>
            <w:vAlign w:val="bottom"/>
          </w:tcPr>
          <w:p>
            <w:pPr>
              <w:spacing w:after="0"/>
              <w:rPr>
                <w:sz w:val="1"/>
                <w:szCs w:val="1"/>
                <w:color w:val="auto"/>
              </w:rPr>
            </w:pPr>
          </w:p>
        </w:tc>
      </w:tr>
      <w:tr>
        <w:trPr>
          <w:trHeight w:val="235"/>
        </w:trPr>
        <w:tc>
          <w:tcPr>
            <w:tcW w:w="1680" w:type="dxa"/>
            <w:vAlign w:val="bottom"/>
            <w:vMerge w:val="continue"/>
            <w:shd w:val="clear" w:color="auto" w:fill="003E64"/>
          </w:tcPr>
          <w:p>
            <w:pPr>
              <w:spacing w:after="0"/>
              <w:rPr>
                <w:sz w:val="20"/>
                <w:szCs w:val="20"/>
                <w:color w:val="auto"/>
              </w:rPr>
            </w:pPr>
          </w:p>
        </w:tc>
        <w:tc>
          <w:tcPr>
            <w:tcW w:w="560" w:type="dxa"/>
            <w:vAlign w:val="bottom"/>
            <w:vMerge w:val="continue"/>
            <w:shd w:val="clear" w:color="auto" w:fill="003E64"/>
          </w:tcPr>
          <w:p>
            <w:pPr>
              <w:spacing w:after="0"/>
              <w:rPr>
                <w:sz w:val="20"/>
                <w:szCs w:val="20"/>
                <w:color w:val="auto"/>
              </w:rPr>
            </w:pPr>
          </w:p>
        </w:tc>
        <w:tc>
          <w:tcPr>
            <w:tcW w:w="7980" w:type="dxa"/>
            <w:vAlign w:val="bottom"/>
            <w:vMerge w:val="continue"/>
            <w:shd w:val="clear" w:color="auto" w:fill="003E64"/>
          </w:tcPr>
          <w:p>
            <w:pPr>
              <w:spacing w:after="0"/>
              <w:rPr>
                <w:sz w:val="20"/>
                <w:szCs w:val="20"/>
                <w:color w:val="auto"/>
              </w:rPr>
            </w:pPr>
          </w:p>
        </w:tc>
        <w:tc>
          <w:tcPr>
            <w:tcW w:w="10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Oﬃcer</w:t>
            </w:r>
          </w:p>
        </w:tc>
        <w:tc>
          <w:tcPr>
            <w:tcW w:w="0" w:type="dxa"/>
            <w:vAlign w:val="bottom"/>
          </w:tcPr>
          <w:p>
            <w:pPr>
              <w:spacing w:after="0"/>
              <w:rPr>
                <w:sz w:val="1"/>
                <w:szCs w:val="1"/>
                <w:color w:val="auto"/>
              </w:rPr>
            </w:pPr>
          </w:p>
        </w:tc>
      </w:tr>
      <w:tr>
        <w:trPr>
          <w:trHeight w:val="189"/>
        </w:trPr>
        <w:tc>
          <w:tcPr>
            <w:tcW w:w="1680" w:type="dxa"/>
            <w:vAlign w:val="bottom"/>
          </w:tcPr>
          <w:p>
            <w:pPr>
              <w:ind w:left="40"/>
              <w:spacing w:after="0" w:line="189" w:lineRule="exact"/>
              <w:rPr>
                <w:sz w:val="20"/>
                <w:szCs w:val="20"/>
                <w:color w:val="auto"/>
              </w:rPr>
            </w:pPr>
            <w:r>
              <w:rPr>
                <w:rFonts w:ascii="Arial" w:cs="Arial" w:eastAsia="Arial" w:hAnsi="Arial"/>
                <w:sz w:val="18"/>
                <w:szCs w:val="18"/>
                <w:color w:val="4D4D4F"/>
              </w:rPr>
              <w:t>David H. Wang</w:t>
            </w:r>
          </w:p>
        </w:tc>
        <w:tc>
          <w:tcPr>
            <w:tcW w:w="8540" w:type="dxa"/>
            <w:vAlign w:val="bottom"/>
            <w:gridSpan w:val="2"/>
          </w:tcPr>
          <w:p>
            <w:pPr>
              <w:ind w:left="220"/>
              <w:spacing w:after="0" w:line="189" w:lineRule="exact"/>
              <w:rPr>
                <w:sz w:val="20"/>
                <w:szCs w:val="20"/>
                <w:color w:val="auto"/>
              </w:rPr>
            </w:pPr>
            <w:r>
              <w:rPr>
                <w:rFonts w:ascii="Arial" w:cs="Arial" w:eastAsia="Arial" w:hAnsi="Arial"/>
                <w:sz w:val="18"/>
                <w:szCs w:val="18"/>
                <w:color w:val="4D4D4F"/>
              </w:rPr>
              <w:t>59  Please see “Proposal 1. Election of Directors—Information Concerning Nominees for</w:t>
            </w: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4D4D4F"/>
              </w:rPr>
              <w:t>1998</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4D4D4F"/>
              </w:rPr>
              <w:t>Election as Directors.”</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4D4D4F"/>
              </w:rPr>
              <w:t>Mark McKechnie</w:t>
            </w:r>
          </w:p>
        </w:tc>
        <w:tc>
          <w:tcPr>
            <w:tcW w:w="85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4D4D4F"/>
              </w:rPr>
              <w:t>54  Chief Financial Oﬃcer, Treasurer and Secretary of ACM Research, Inc. (November</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4D4D4F"/>
              </w:rPr>
              <w:t>2019</w:t>
            </w: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2019-present); Vice President of Finance of ACM Research, Inc. (July 2018-November</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2019); Vice President of Investor Relations and Strategic Initiatives of Silver Spring</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Networks (November 2014-January 2018); Managing Director of Technology Equity</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Research of Evercore Partners (2012-2014); received a Bachelor of Science in</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Electrical Engineering degree from Purdue University and a Master of Business</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Administration degree from The Kellogg School of Management at Northwestern</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980" w:type="dxa"/>
            <w:vAlign w:val="bottom"/>
            <w:shd w:val="clear" w:color="auto" w:fill="CCEEFF"/>
          </w:tcPr>
          <w:p>
            <w:pPr>
              <w:ind w:left="100"/>
              <w:spacing w:after="0"/>
              <w:rPr>
                <w:sz w:val="20"/>
                <w:szCs w:val="20"/>
                <w:color w:val="auto"/>
              </w:rPr>
            </w:pPr>
            <w:r>
              <w:rPr>
                <w:rFonts w:ascii="Arial" w:cs="Arial" w:eastAsia="Arial" w:hAnsi="Arial"/>
                <w:sz w:val="18"/>
                <w:szCs w:val="18"/>
                <w:color w:val="4D4D4F"/>
              </w:rPr>
              <w:t>University.</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40"/>
              <w:spacing w:after="0" w:line="189" w:lineRule="exact"/>
              <w:rPr>
                <w:sz w:val="20"/>
                <w:szCs w:val="20"/>
                <w:color w:val="auto"/>
              </w:rPr>
            </w:pPr>
            <w:r>
              <w:rPr>
                <w:rFonts w:ascii="Arial" w:cs="Arial" w:eastAsia="Arial" w:hAnsi="Arial"/>
                <w:sz w:val="18"/>
                <w:szCs w:val="18"/>
                <w:color w:val="4D4D4F"/>
              </w:rPr>
              <w:t>Jian Wang</w:t>
            </w:r>
          </w:p>
        </w:tc>
        <w:tc>
          <w:tcPr>
            <w:tcW w:w="8540" w:type="dxa"/>
            <w:vAlign w:val="bottom"/>
            <w:gridSpan w:val="2"/>
          </w:tcPr>
          <w:p>
            <w:pPr>
              <w:ind w:left="220"/>
              <w:spacing w:after="0" w:line="189" w:lineRule="exact"/>
              <w:rPr>
                <w:sz w:val="20"/>
                <w:szCs w:val="20"/>
                <w:color w:val="auto"/>
              </w:rPr>
            </w:pPr>
            <w:r>
              <w:rPr>
                <w:rFonts w:ascii="Arial" w:cs="Arial" w:eastAsia="Arial" w:hAnsi="Arial"/>
                <w:sz w:val="18"/>
                <w:szCs w:val="18"/>
                <w:color w:val="4D4D4F"/>
              </w:rPr>
              <w:t>56  Chief Executive Oﬃcer and President of ACM Research (Shanghai), Inc. (November</w:t>
            </w: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4D4D4F"/>
              </w:rPr>
              <w:t>2015</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2019-present); Vice President, Research and Development (January 2015-November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2019); Director of Research and Development of ACM Research (Shanghai), Inc.</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(2011-January 2015), focusing on the research and development of stress-free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polishing and electro-chemical-copper-planarization technologies; received a Master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of Science degree in computer science from Northwestern Polytechnic University, a</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Master of Science degree in marine engineering from Kobe University and a Bachelor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4D4D4F"/>
              </w:rPr>
              <w:t>of Science degree in mechanical engineering from Southeast University.</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4D4D4F"/>
              </w:rPr>
              <w:t>Lisa Feng</w:t>
            </w:r>
          </w:p>
        </w:tc>
        <w:tc>
          <w:tcPr>
            <w:tcW w:w="85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4D4D4F"/>
              </w:rPr>
              <w:t>62  Chief Financial Oﬃcer of ACM Research (Shanghai), Inc. (November 2019-present);</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4D4D4F"/>
              </w:rPr>
              <w:t>2019</w:t>
            </w: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Chief  Accounting  Oﬃcer,  Interim  Chief  Financial  Oﬃcer  and  Treasurer  of  ACM</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Research, Inc. (January 2018- November 2019); Financial Controller (October 2017-</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January 2018); Corporate Controller of Amlogic, Inc. (August 2008-September 2017);</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received  a  Bachelor  of  Science  degree  in  Business/Economics  from  Southern</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Connecticut State University and a Master of Science degree in Accounting from</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980" w:type="dxa"/>
            <w:vAlign w:val="bottom"/>
            <w:shd w:val="clear" w:color="auto" w:fill="CCEEFF"/>
          </w:tcPr>
          <w:p>
            <w:pPr>
              <w:ind w:left="100"/>
              <w:spacing w:after="0"/>
              <w:rPr>
                <w:sz w:val="20"/>
                <w:szCs w:val="20"/>
                <w:color w:val="auto"/>
              </w:rPr>
            </w:pPr>
            <w:r>
              <w:rPr>
                <w:rFonts w:ascii="Arial" w:cs="Arial" w:eastAsia="Arial" w:hAnsi="Arial"/>
                <w:sz w:val="18"/>
                <w:szCs w:val="18"/>
                <w:color w:val="4D4D4F"/>
              </w:rPr>
              <w:t>Golden Gate University.</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40"/>
              <w:spacing w:after="0" w:line="189" w:lineRule="exact"/>
              <w:rPr>
                <w:sz w:val="20"/>
                <w:szCs w:val="20"/>
                <w:color w:val="auto"/>
              </w:rPr>
            </w:pPr>
            <w:r>
              <w:rPr>
                <w:rFonts w:ascii="Arial" w:cs="Arial" w:eastAsia="Arial" w:hAnsi="Arial"/>
                <w:sz w:val="18"/>
                <w:szCs w:val="18"/>
                <w:color w:val="4D4D4F"/>
              </w:rPr>
              <w:t>Sotheara Cheav</w:t>
            </w:r>
          </w:p>
        </w:tc>
        <w:tc>
          <w:tcPr>
            <w:tcW w:w="8540" w:type="dxa"/>
            <w:vAlign w:val="bottom"/>
            <w:gridSpan w:val="2"/>
          </w:tcPr>
          <w:p>
            <w:pPr>
              <w:ind w:left="220"/>
              <w:spacing w:after="0" w:line="189" w:lineRule="exact"/>
              <w:rPr>
                <w:sz w:val="20"/>
                <w:szCs w:val="20"/>
                <w:color w:val="auto"/>
              </w:rPr>
            </w:pPr>
            <w:r>
              <w:rPr>
                <w:rFonts w:ascii="Arial" w:cs="Arial" w:eastAsia="Arial" w:hAnsi="Arial"/>
                <w:sz w:val="18"/>
                <w:szCs w:val="18"/>
                <w:color w:val="4D4D4F"/>
              </w:rPr>
              <w:t>69  Senior Vice President, Manufacturing of ACM Research (Shanghai), Inc. (May 2019-</w:t>
            </w: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4D4D4F"/>
              </w:rPr>
              <w:t>2015</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present); Vice President, Manufacturing of ACM Research (Shanghai), Inc. (January</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2015-May 2019); Director of Manufacturing of ACM Research (Shanghai), Inc. (2011-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December 2014); received a Bachelor of Science degree in Science and Technology</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980" w:type="dxa"/>
            <w:vAlign w:val="bottom"/>
          </w:tcPr>
          <w:p>
            <w:pPr>
              <w:ind w:left="100"/>
              <w:spacing w:after="0" w:line="202" w:lineRule="exact"/>
              <w:rPr>
                <w:sz w:val="20"/>
                <w:szCs w:val="20"/>
                <w:color w:val="auto"/>
              </w:rPr>
            </w:pPr>
            <w:r>
              <w:rPr>
                <w:rFonts w:ascii="Arial" w:cs="Arial" w:eastAsia="Arial" w:hAnsi="Arial"/>
                <w:sz w:val="18"/>
                <w:szCs w:val="18"/>
                <w:color w:val="4D4D4F"/>
              </w:rPr>
              <w:t>from the University of Cambodia and an Associate of Science degree in Electronics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4D4D4F"/>
              </w:rPr>
              <w:t>from Bay Valley Technical Institute.</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4D4D4F"/>
              </w:rPr>
              <w:t>Fuping Chen</w:t>
            </w:r>
          </w:p>
        </w:tc>
        <w:tc>
          <w:tcPr>
            <w:tcW w:w="5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4D4D4F"/>
              </w:rPr>
              <w:t>39</w:t>
            </w:r>
          </w:p>
        </w:tc>
        <w:tc>
          <w:tcPr>
            <w:tcW w:w="79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4D4D4F"/>
              </w:rPr>
              <w:t>Vice  President,  Sales—China  of  ACM  Research  (Shanghai),  Inc.  (January  2018-</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4D4D4F"/>
              </w:rPr>
              <w:t>2018</w:t>
            </w: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present); Senior Technical Director of ACM Research, Inc. (2010-2017); Assistant Wet</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Process Manager of SK Hynix Inc. (2006-2010); received a Bachelor of Science</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degree from Nanjing University of Technology of Material Science and Engineering</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9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4D4D4F"/>
              </w:rPr>
              <w:t>and a Master of Science degree from Zhejiang University of Material Science and</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980" w:type="dxa"/>
            <w:vAlign w:val="bottom"/>
            <w:shd w:val="clear" w:color="auto" w:fill="CCEEFF"/>
          </w:tcPr>
          <w:p>
            <w:pPr>
              <w:ind w:left="100"/>
              <w:spacing w:after="0"/>
              <w:rPr>
                <w:sz w:val="20"/>
                <w:szCs w:val="20"/>
                <w:color w:val="auto"/>
              </w:rPr>
            </w:pPr>
            <w:r>
              <w:rPr>
                <w:rFonts w:ascii="Arial" w:cs="Arial" w:eastAsia="Arial" w:hAnsi="Arial"/>
                <w:sz w:val="18"/>
                <w:szCs w:val="18"/>
                <w:color w:val="4D4D4F"/>
              </w:rPr>
              <w:t>Engineering.</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4D4D4F"/>
        </w:rPr>
        <w:t>David Wang and Jian Wang are brothers.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Executive Compensation</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Summary Compensation Table</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following table provides information concerning the compensation paid to our NEOs, who consist of our Chief Executive Officer and President, David H. Wang, our Chief Financial Officer, Treasurer and Secretary, Mark McKechnie, and our three next most highly compensated executive officers during 2020, Jian Wang, Lisa Feng and Fuping Chen. Mr. McKechnie and Ms. Feng did not become executive officers until 2019.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shd w:val="clear" w:color="auto" w:fill="003E64"/>
          </w:tcPr>
          <w:p>
            <w:pPr>
              <w:spacing w:after="0"/>
              <w:rPr>
                <w:sz w:val="14"/>
                <w:szCs w:val="14"/>
                <w:color w:val="auto"/>
              </w:rPr>
            </w:pPr>
          </w:p>
        </w:tc>
        <w:tc>
          <w:tcPr>
            <w:tcW w:w="860" w:type="dxa"/>
            <w:vAlign w:val="bottom"/>
            <w:shd w:val="clear" w:color="auto" w:fill="003E64"/>
          </w:tcPr>
          <w:p>
            <w:pPr>
              <w:spacing w:after="0"/>
              <w:rPr>
                <w:sz w:val="14"/>
                <w:szCs w:val="14"/>
                <w:color w:val="auto"/>
              </w:rPr>
            </w:pPr>
          </w:p>
        </w:tc>
        <w:tc>
          <w:tcPr>
            <w:tcW w:w="1180" w:type="dxa"/>
            <w:vAlign w:val="bottom"/>
            <w:shd w:val="clear" w:color="auto" w:fill="003E64"/>
          </w:tcPr>
          <w:p>
            <w:pPr>
              <w:spacing w:after="0"/>
              <w:rPr>
                <w:sz w:val="14"/>
                <w:szCs w:val="14"/>
                <w:color w:val="auto"/>
              </w:rPr>
            </w:pPr>
          </w:p>
        </w:tc>
        <w:tc>
          <w:tcPr>
            <w:tcW w:w="1240" w:type="dxa"/>
            <w:vAlign w:val="bottom"/>
            <w:shd w:val="clear" w:color="auto" w:fill="003E64"/>
          </w:tcPr>
          <w:p>
            <w:pPr>
              <w:spacing w:after="0"/>
              <w:rPr>
                <w:sz w:val="14"/>
                <w:szCs w:val="14"/>
                <w:color w:val="auto"/>
              </w:rPr>
            </w:pPr>
          </w:p>
        </w:tc>
        <w:tc>
          <w:tcPr>
            <w:tcW w:w="1260" w:type="dxa"/>
            <w:vAlign w:val="bottom"/>
            <w:shd w:val="clear" w:color="auto" w:fill="003E64"/>
          </w:tcPr>
          <w:p>
            <w:pPr>
              <w:jc w:val="right"/>
              <w:ind w:right="388"/>
              <w:spacing w:after="0"/>
              <w:rPr>
                <w:sz w:val="20"/>
                <w:szCs w:val="20"/>
                <w:color w:val="auto"/>
              </w:rPr>
            </w:pPr>
            <w:r>
              <w:rPr>
                <w:rFonts w:ascii="Arial" w:cs="Arial" w:eastAsia="Arial" w:hAnsi="Arial"/>
                <w:sz w:val="14"/>
                <w:szCs w:val="14"/>
                <w:b w:val="1"/>
                <w:bCs w:val="1"/>
                <w:color w:val="FFFFFF"/>
              </w:rPr>
              <w:t>Option</w:t>
            </w:r>
          </w:p>
        </w:tc>
        <w:tc>
          <w:tcPr>
            <w:tcW w:w="14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All Other</w:t>
            </w:r>
          </w:p>
        </w:tc>
        <w:tc>
          <w:tcPr>
            <w:tcW w:w="1100" w:type="dxa"/>
            <w:vAlign w:val="bottom"/>
            <w:shd w:val="clear" w:color="auto" w:fill="003E64"/>
          </w:tcPr>
          <w:p>
            <w:pPr>
              <w:spacing w:after="0"/>
              <w:rPr>
                <w:sz w:val="14"/>
                <w:szCs w:val="14"/>
                <w:color w:val="auto"/>
              </w:rPr>
            </w:pPr>
          </w:p>
        </w:tc>
      </w:tr>
      <w:tr>
        <w:trPr>
          <w:trHeight w:val="162"/>
        </w:trPr>
        <w:tc>
          <w:tcPr>
            <w:tcW w:w="4200" w:type="dxa"/>
            <w:vAlign w:val="bottom"/>
            <w:shd w:val="clear" w:color="auto" w:fill="003E64"/>
          </w:tcPr>
          <w:p>
            <w:pPr>
              <w:spacing w:after="0"/>
              <w:rPr>
                <w:sz w:val="14"/>
                <w:szCs w:val="14"/>
                <w:color w:val="auto"/>
              </w:rPr>
            </w:pPr>
          </w:p>
        </w:tc>
        <w:tc>
          <w:tcPr>
            <w:tcW w:w="860" w:type="dxa"/>
            <w:vAlign w:val="bottom"/>
            <w:shd w:val="clear" w:color="auto" w:fill="003E64"/>
          </w:tcPr>
          <w:p>
            <w:pPr>
              <w:spacing w:after="0"/>
              <w:rPr>
                <w:sz w:val="14"/>
                <w:szCs w:val="14"/>
                <w:color w:val="auto"/>
              </w:rPr>
            </w:pPr>
          </w:p>
        </w:tc>
        <w:tc>
          <w:tcPr>
            <w:tcW w:w="1180" w:type="dxa"/>
            <w:vAlign w:val="bottom"/>
            <w:shd w:val="clear" w:color="auto" w:fill="003E64"/>
          </w:tcPr>
          <w:p>
            <w:pPr>
              <w:spacing w:after="0"/>
              <w:rPr>
                <w:sz w:val="14"/>
                <w:szCs w:val="14"/>
                <w:color w:val="auto"/>
              </w:rPr>
            </w:pPr>
          </w:p>
        </w:tc>
        <w:tc>
          <w:tcPr>
            <w:tcW w:w="1240" w:type="dxa"/>
            <w:vAlign w:val="bottom"/>
            <w:shd w:val="clear" w:color="auto" w:fill="003E64"/>
          </w:tcPr>
          <w:p>
            <w:pPr>
              <w:spacing w:after="0"/>
              <w:rPr>
                <w:sz w:val="14"/>
                <w:szCs w:val="14"/>
                <w:color w:val="auto"/>
              </w:rPr>
            </w:pPr>
          </w:p>
        </w:tc>
        <w:tc>
          <w:tcPr>
            <w:tcW w:w="1260" w:type="dxa"/>
            <w:vAlign w:val="bottom"/>
            <w:shd w:val="clear" w:color="auto" w:fill="003E64"/>
          </w:tcPr>
          <w:p>
            <w:pPr>
              <w:jc w:val="right"/>
              <w:ind w:right="348"/>
              <w:spacing w:after="0"/>
              <w:rPr>
                <w:sz w:val="20"/>
                <w:szCs w:val="20"/>
                <w:color w:val="auto"/>
              </w:rPr>
            </w:pPr>
            <w:r>
              <w:rPr>
                <w:rFonts w:ascii="Arial" w:cs="Arial" w:eastAsia="Arial" w:hAnsi="Arial"/>
                <w:sz w:val="14"/>
                <w:szCs w:val="14"/>
                <w:b w:val="1"/>
                <w:bCs w:val="1"/>
                <w:color w:val="FFFFFF"/>
              </w:rPr>
              <w:t>Awards</w:t>
            </w:r>
          </w:p>
        </w:tc>
        <w:tc>
          <w:tcPr>
            <w:tcW w:w="14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shd w:val="clear" w:color="auto" w:fill="003E64"/>
          </w:tcPr>
          <w:p>
            <w:pPr>
              <w:spacing w:after="0"/>
              <w:rPr>
                <w:sz w:val="14"/>
                <w:szCs w:val="14"/>
                <w:color w:val="auto"/>
              </w:rPr>
            </w:pPr>
          </w:p>
        </w:tc>
      </w:tr>
      <w:tr>
        <w:trPr>
          <w:trHeight w:val="175"/>
        </w:trPr>
        <w:tc>
          <w:tcPr>
            <w:tcW w:w="420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 and Principal Position</w:t>
            </w:r>
          </w:p>
        </w:tc>
        <w:tc>
          <w:tcPr>
            <w:tcW w:w="860" w:type="dxa"/>
            <w:vAlign w:val="bottom"/>
            <w:shd w:val="clear" w:color="auto" w:fill="003E64"/>
          </w:tcPr>
          <w:p>
            <w:pPr>
              <w:ind w:left="320"/>
              <w:spacing w:after="0"/>
              <w:rPr>
                <w:sz w:val="20"/>
                <w:szCs w:val="20"/>
                <w:color w:val="auto"/>
              </w:rPr>
            </w:pPr>
            <w:r>
              <w:rPr>
                <w:rFonts w:ascii="Arial" w:cs="Arial" w:eastAsia="Arial" w:hAnsi="Arial"/>
                <w:sz w:val="14"/>
                <w:szCs w:val="14"/>
                <w:b w:val="1"/>
                <w:bCs w:val="1"/>
                <w:color w:val="FFFFFF"/>
              </w:rPr>
              <w:t>Year</w:t>
            </w:r>
          </w:p>
        </w:tc>
        <w:tc>
          <w:tcPr>
            <w:tcW w:w="1180" w:type="dxa"/>
            <w:vAlign w:val="bottom"/>
            <w:shd w:val="clear" w:color="auto" w:fill="003E64"/>
          </w:tcPr>
          <w:p>
            <w:pPr>
              <w:jc w:val="right"/>
              <w:ind w:right="108"/>
              <w:spacing w:after="0"/>
              <w:rPr>
                <w:sz w:val="20"/>
                <w:szCs w:val="20"/>
                <w:color w:val="auto"/>
              </w:rPr>
            </w:pPr>
            <w:r>
              <w:rPr>
                <w:rFonts w:ascii="Arial" w:cs="Arial" w:eastAsia="Arial" w:hAnsi="Arial"/>
                <w:sz w:val="14"/>
                <w:szCs w:val="14"/>
                <w:b w:val="1"/>
                <w:bCs w:val="1"/>
                <w:color w:val="FFFFFF"/>
              </w:rPr>
              <w:t>Salary($)(1)</w:t>
            </w:r>
          </w:p>
        </w:tc>
        <w:tc>
          <w:tcPr>
            <w:tcW w:w="1240" w:type="dxa"/>
            <w:vAlign w:val="bottom"/>
            <w:shd w:val="clear" w:color="auto" w:fill="003E64"/>
          </w:tcPr>
          <w:p>
            <w:pPr>
              <w:jc w:val="right"/>
              <w:ind w:right="188"/>
              <w:spacing w:after="0"/>
              <w:rPr>
                <w:sz w:val="20"/>
                <w:szCs w:val="20"/>
                <w:color w:val="auto"/>
              </w:rPr>
            </w:pPr>
            <w:r>
              <w:rPr>
                <w:rFonts w:ascii="Arial" w:cs="Arial" w:eastAsia="Arial" w:hAnsi="Arial"/>
                <w:sz w:val="14"/>
                <w:szCs w:val="14"/>
                <w:b w:val="1"/>
                <w:bCs w:val="1"/>
                <w:color w:val="FFFFFF"/>
              </w:rPr>
              <w:t>Bonus($)(1)</w:t>
            </w:r>
          </w:p>
        </w:tc>
        <w:tc>
          <w:tcPr>
            <w:tcW w:w="1260" w:type="dxa"/>
            <w:vAlign w:val="bottom"/>
            <w:shd w:val="clear" w:color="auto" w:fill="003E64"/>
          </w:tcPr>
          <w:p>
            <w:pPr>
              <w:jc w:val="right"/>
              <w:ind w:right="348"/>
              <w:spacing w:after="0"/>
              <w:rPr>
                <w:sz w:val="20"/>
                <w:szCs w:val="20"/>
                <w:color w:val="auto"/>
              </w:rPr>
            </w:pPr>
            <w:r>
              <w:rPr>
                <w:rFonts w:ascii="Arial" w:cs="Arial" w:eastAsia="Arial" w:hAnsi="Arial"/>
                <w:sz w:val="14"/>
                <w:szCs w:val="14"/>
                <w:b w:val="1"/>
                <w:bCs w:val="1"/>
                <w:color w:val="FFFFFF"/>
              </w:rPr>
              <w:t>($)(2)(3)</w:t>
            </w:r>
          </w:p>
        </w:tc>
        <w:tc>
          <w:tcPr>
            <w:tcW w:w="14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($)(1)(4)</w:t>
            </w:r>
          </w:p>
        </w:tc>
        <w:tc>
          <w:tcPr>
            <w:tcW w:w="1100" w:type="dxa"/>
            <w:vAlign w:val="bottom"/>
            <w:shd w:val="clear" w:color="auto" w:fill="003E64"/>
          </w:tcPr>
          <w:p>
            <w:pPr>
              <w:jc w:val="right"/>
              <w:ind w:right="168"/>
              <w:spacing w:after="0"/>
              <w:rPr>
                <w:sz w:val="20"/>
                <w:szCs w:val="20"/>
                <w:color w:val="auto"/>
              </w:rPr>
            </w:pPr>
            <w:r>
              <w:rPr>
                <w:rFonts w:ascii="Arial" w:cs="Arial" w:eastAsia="Arial" w:hAnsi="Arial"/>
                <w:sz w:val="14"/>
                <w:szCs w:val="14"/>
                <w:b w:val="1"/>
                <w:bCs w:val="1"/>
                <w:color w:val="FFFFFF"/>
              </w:rPr>
              <w:t>Total($)</w:t>
            </w:r>
          </w:p>
        </w:tc>
      </w:tr>
      <w:tr>
        <w:trPr>
          <w:trHeight w:val="156"/>
        </w:trPr>
        <w:tc>
          <w:tcPr>
            <w:tcW w:w="4200" w:type="dxa"/>
            <w:vAlign w:val="bottom"/>
          </w:tcPr>
          <w:p>
            <w:pPr>
              <w:spacing w:after="0" w:line="157" w:lineRule="exact"/>
              <w:rPr>
                <w:sz w:val="20"/>
                <w:szCs w:val="20"/>
                <w:color w:val="auto"/>
              </w:rPr>
            </w:pPr>
            <w:r>
              <w:rPr>
                <w:rFonts w:ascii="Arial" w:cs="Arial" w:eastAsia="Arial" w:hAnsi="Arial"/>
                <w:sz w:val="14"/>
                <w:szCs w:val="14"/>
                <w:color w:val="4D4D4F"/>
              </w:rPr>
              <w:t>David H. Wang</w:t>
            </w:r>
          </w:p>
        </w:tc>
        <w:tc>
          <w:tcPr>
            <w:tcW w:w="860" w:type="dxa"/>
            <w:vAlign w:val="bottom"/>
          </w:tcPr>
          <w:p>
            <w:pPr>
              <w:ind w:left="320"/>
              <w:spacing w:after="0" w:line="157" w:lineRule="exact"/>
              <w:rPr>
                <w:sz w:val="20"/>
                <w:szCs w:val="20"/>
                <w:color w:val="auto"/>
              </w:rPr>
            </w:pPr>
            <w:r>
              <w:rPr>
                <w:rFonts w:ascii="Arial" w:cs="Arial" w:eastAsia="Arial" w:hAnsi="Arial"/>
                <w:sz w:val="14"/>
                <w:szCs w:val="14"/>
                <w:color w:val="4D4D4F"/>
              </w:rPr>
              <w:t>2020</w:t>
            </w:r>
          </w:p>
        </w:tc>
        <w:tc>
          <w:tcPr>
            <w:tcW w:w="1180" w:type="dxa"/>
            <w:vAlign w:val="bottom"/>
          </w:tcPr>
          <w:p>
            <w:pPr>
              <w:jc w:val="right"/>
              <w:ind w:right="108"/>
              <w:spacing w:after="0" w:line="157" w:lineRule="exact"/>
              <w:rPr>
                <w:sz w:val="20"/>
                <w:szCs w:val="20"/>
                <w:color w:val="auto"/>
              </w:rPr>
            </w:pPr>
            <w:r>
              <w:rPr>
                <w:rFonts w:ascii="Arial" w:cs="Arial" w:eastAsia="Arial" w:hAnsi="Arial"/>
                <w:sz w:val="14"/>
                <w:szCs w:val="14"/>
                <w:color w:val="4D4D4F"/>
              </w:rPr>
              <w:t>$294,054</w:t>
            </w:r>
          </w:p>
        </w:tc>
        <w:tc>
          <w:tcPr>
            <w:tcW w:w="1240" w:type="dxa"/>
            <w:vAlign w:val="bottom"/>
          </w:tcPr>
          <w:p>
            <w:pPr>
              <w:jc w:val="right"/>
              <w:ind w:right="168"/>
              <w:spacing w:after="0" w:line="157" w:lineRule="exact"/>
              <w:rPr>
                <w:sz w:val="20"/>
                <w:szCs w:val="20"/>
                <w:color w:val="auto"/>
              </w:rPr>
            </w:pPr>
            <w:r>
              <w:rPr>
                <w:rFonts w:ascii="Arial" w:cs="Arial" w:eastAsia="Arial" w:hAnsi="Arial"/>
                <w:sz w:val="14"/>
                <w:szCs w:val="14"/>
                <w:color w:val="4D4D4F"/>
              </w:rPr>
              <w:t>$95,700</w:t>
            </w:r>
          </w:p>
        </w:tc>
        <w:tc>
          <w:tcPr>
            <w:tcW w:w="1260" w:type="dxa"/>
            <w:vAlign w:val="bottom"/>
          </w:tcPr>
          <w:p>
            <w:pPr>
              <w:jc w:val="right"/>
              <w:ind w:right="128"/>
              <w:spacing w:after="0" w:line="157" w:lineRule="exact"/>
              <w:rPr>
                <w:sz w:val="20"/>
                <w:szCs w:val="20"/>
                <w:color w:val="auto"/>
              </w:rPr>
            </w:pPr>
            <w:r>
              <w:rPr>
                <w:rFonts w:ascii="Arial" w:cs="Arial" w:eastAsia="Arial" w:hAnsi="Arial"/>
                <w:sz w:val="14"/>
                <w:szCs w:val="14"/>
                <w:color w:val="4D4D4F"/>
              </w:rPr>
              <w:t>$4,963,675</w:t>
            </w:r>
          </w:p>
        </w:tc>
        <w:tc>
          <w:tcPr>
            <w:tcW w:w="1400" w:type="dxa"/>
            <w:vAlign w:val="bottom"/>
          </w:tcPr>
          <w:p>
            <w:pPr>
              <w:jc w:val="right"/>
              <w:ind w:right="68"/>
              <w:spacing w:after="0" w:line="157" w:lineRule="exact"/>
              <w:rPr>
                <w:sz w:val="20"/>
                <w:szCs w:val="20"/>
                <w:color w:val="auto"/>
              </w:rPr>
            </w:pPr>
            <w:r>
              <w:rPr>
                <w:rFonts w:ascii="Arial" w:cs="Arial" w:eastAsia="Arial" w:hAnsi="Arial"/>
                <w:sz w:val="14"/>
                <w:szCs w:val="14"/>
                <w:color w:val="4D4D4F"/>
              </w:rPr>
              <w:t>$15,660</w:t>
            </w:r>
          </w:p>
        </w:tc>
        <w:tc>
          <w:tcPr>
            <w:tcW w:w="1100" w:type="dxa"/>
            <w:vAlign w:val="bottom"/>
          </w:tcPr>
          <w:p>
            <w:pPr>
              <w:jc w:val="right"/>
              <w:ind w:right="68"/>
              <w:spacing w:after="0" w:line="157" w:lineRule="exact"/>
              <w:rPr>
                <w:sz w:val="20"/>
                <w:szCs w:val="20"/>
                <w:color w:val="auto"/>
              </w:rPr>
            </w:pPr>
            <w:r>
              <w:rPr>
                <w:rFonts w:ascii="Arial" w:cs="Arial" w:eastAsia="Arial" w:hAnsi="Arial"/>
                <w:sz w:val="14"/>
                <w:szCs w:val="14"/>
                <w:color w:val="4D4D4F"/>
              </w:rPr>
              <w:t>$5,369,089</w:t>
            </w:r>
          </w:p>
        </w:tc>
      </w:tr>
      <w:tr>
        <w:trPr>
          <w:trHeight w:val="189"/>
        </w:trPr>
        <w:tc>
          <w:tcPr>
            <w:tcW w:w="4200" w:type="dxa"/>
            <w:vAlign w:val="bottom"/>
          </w:tcPr>
          <w:p>
            <w:pPr>
              <w:spacing w:after="0"/>
              <w:rPr>
                <w:sz w:val="20"/>
                <w:szCs w:val="20"/>
                <w:color w:val="auto"/>
              </w:rPr>
            </w:pPr>
            <w:r>
              <w:rPr>
                <w:rFonts w:ascii="Arial" w:cs="Arial" w:eastAsia="Arial" w:hAnsi="Arial"/>
                <w:sz w:val="14"/>
                <w:szCs w:val="14"/>
                <w:i w:val="1"/>
                <w:iCs w:val="1"/>
                <w:color w:val="4D4D4F"/>
              </w:rPr>
              <w:t>Chief Executive Officer and President</w:t>
            </w:r>
          </w:p>
        </w:tc>
        <w:tc>
          <w:tcPr>
            <w:tcW w:w="860" w:type="dxa"/>
            <w:vAlign w:val="bottom"/>
          </w:tcPr>
          <w:p>
            <w:pPr>
              <w:ind w:left="320"/>
              <w:spacing w:after="0"/>
              <w:rPr>
                <w:sz w:val="20"/>
                <w:szCs w:val="20"/>
                <w:color w:val="auto"/>
              </w:rPr>
            </w:pPr>
            <w:r>
              <w:rPr>
                <w:rFonts w:ascii="Arial" w:cs="Arial" w:eastAsia="Arial" w:hAnsi="Arial"/>
                <w:sz w:val="14"/>
                <w:szCs w:val="14"/>
                <w:color w:val="4D4D4F"/>
              </w:rPr>
              <w:t>2019</w:t>
            </w:r>
          </w:p>
        </w:tc>
        <w:tc>
          <w:tcPr>
            <w:tcW w:w="1180" w:type="dxa"/>
            <w:vAlign w:val="bottom"/>
          </w:tcPr>
          <w:p>
            <w:pPr>
              <w:jc w:val="right"/>
              <w:ind w:right="108"/>
              <w:spacing w:after="0"/>
              <w:rPr>
                <w:sz w:val="20"/>
                <w:szCs w:val="20"/>
                <w:color w:val="auto"/>
              </w:rPr>
            </w:pPr>
            <w:r>
              <w:rPr>
                <w:rFonts w:ascii="Arial" w:cs="Arial" w:eastAsia="Arial" w:hAnsi="Arial"/>
                <w:sz w:val="14"/>
                <w:szCs w:val="14"/>
                <w:color w:val="4D4D4F"/>
              </w:rPr>
              <w:t>229,742</w:t>
            </w:r>
          </w:p>
        </w:tc>
        <w:tc>
          <w:tcPr>
            <w:tcW w:w="1240" w:type="dxa"/>
            <w:vAlign w:val="bottom"/>
          </w:tcPr>
          <w:p>
            <w:pPr>
              <w:jc w:val="right"/>
              <w:ind w:right="168"/>
              <w:spacing w:after="0"/>
              <w:rPr>
                <w:sz w:val="20"/>
                <w:szCs w:val="20"/>
                <w:color w:val="auto"/>
              </w:rPr>
            </w:pPr>
            <w:r>
              <w:rPr>
                <w:rFonts w:ascii="Arial" w:cs="Arial" w:eastAsia="Arial" w:hAnsi="Arial"/>
                <w:sz w:val="14"/>
                <w:szCs w:val="14"/>
                <w:color w:val="4D4D4F"/>
              </w:rPr>
              <w:t>19,358</w:t>
            </w:r>
          </w:p>
        </w:tc>
        <w:tc>
          <w:tcPr>
            <w:tcW w:w="1260" w:type="dxa"/>
            <w:vAlign w:val="bottom"/>
          </w:tcPr>
          <w:p>
            <w:pPr>
              <w:jc w:val="right"/>
              <w:ind w:right="128"/>
              <w:spacing w:after="0"/>
              <w:rPr>
                <w:sz w:val="20"/>
                <w:szCs w:val="20"/>
                <w:color w:val="auto"/>
              </w:rPr>
            </w:pPr>
            <w:r>
              <w:rPr>
                <w:rFonts w:ascii="Arial" w:cs="Arial" w:eastAsia="Arial" w:hAnsi="Arial"/>
                <w:sz w:val="14"/>
                <w:szCs w:val="14"/>
                <w:color w:val="4D4D4F"/>
              </w:rPr>
              <w:t>325,000</w:t>
            </w:r>
          </w:p>
        </w:tc>
        <w:tc>
          <w:tcPr>
            <w:tcW w:w="1400" w:type="dxa"/>
            <w:vAlign w:val="bottom"/>
          </w:tcPr>
          <w:p>
            <w:pPr>
              <w:jc w:val="right"/>
              <w:ind w:right="68"/>
              <w:spacing w:after="0"/>
              <w:rPr>
                <w:sz w:val="20"/>
                <w:szCs w:val="20"/>
                <w:color w:val="auto"/>
              </w:rPr>
            </w:pPr>
            <w:r>
              <w:rPr>
                <w:rFonts w:ascii="Arial" w:cs="Arial" w:eastAsia="Arial" w:hAnsi="Arial"/>
                <w:sz w:val="14"/>
                <w:szCs w:val="14"/>
                <w:color w:val="4D4D4F"/>
              </w:rPr>
              <w:t>13,920</w:t>
            </w:r>
          </w:p>
        </w:tc>
        <w:tc>
          <w:tcPr>
            <w:tcW w:w="1100" w:type="dxa"/>
            <w:vAlign w:val="bottom"/>
          </w:tcPr>
          <w:p>
            <w:pPr>
              <w:jc w:val="right"/>
              <w:ind w:right="68"/>
              <w:spacing w:after="0"/>
              <w:rPr>
                <w:sz w:val="20"/>
                <w:szCs w:val="20"/>
                <w:color w:val="auto"/>
              </w:rPr>
            </w:pPr>
            <w:r>
              <w:rPr>
                <w:rFonts w:ascii="Arial" w:cs="Arial" w:eastAsia="Arial" w:hAnsi="Arial"/>
                <w:sz w:val="14"/>
                <w:szCs w:val="14"/>
                <w:color w:val="4D4D4F"/>
              </w:rPr>
              <w:t>588,020</w:t>
            </w:r>
          </w:p>
        </w:tc>
      </w:tr>
      <w:tr>
        <w:trPr>
          <w:trHeight w:val="222"/>
        </w:trPr>
        <w:tc>
          <w:tcPr>
            <w:tcW w:w="4200" w:type="dxa"/>
            <w:vAlign w:val="bottom"/>
          </w:tcPr>
          <w:p>
            <w:pPr>
              <w:spacing w:after="0"/>
              <w:rPr>
                <w:sz w:val="19"/>
                <w:szCs w:val="19"/>
                <w:color w:val="auto"/>
              </w:rPr>
            </w:pPr>
          </w:p>
        </w:tc>
        <w:tc>
          <w:tcPr>
            <w:tcW w:w="860" w:type="dxa"/>
            <w:vAlign w:val="bottom"/>
          </w:tcPr>
          <w:p>
            <w:pPr>
              <w:ind w:left="320"/>
              <w:spacing w:after="0"/>
              <w:rPr>
                <w:sz w:val="20"/>
                <w:szCs w:val="20"/>
                <w:color w:val="auto"/>
              </w:rPr>
            </w:pPr>
            <w:r>
              <w:rPr>
                <w:rFonts w:ascii="Arial" w:cs="Arial" w:eastAsia="Arial" w:hAnsi="Arial"/>
                <w:sz w:val="14"/>
                <w:szCs w:val="14"/>
                <w:color w:val="4D4D4F"/>
              </w:rPr>
              <w:t>2018</w:t>
            </w:r>
          </w:p>
        </w:tc>
        <w:tc>
          <w:tcPr>
            <w:tcW w:w="1180" w:type="dxa"/>
            <w:vAlign w:val="bottom"/>
          </w:tcPr>
          <w:p>
            <w:pPr>
              <w:jc w:val="right"/>
              <w:ind w:right="108"/>
              <w:spacing w:after="0"/>
              <w:rPr>
                <w:sz w:val="20"/>
                <w:szCs w:val="20"/>
                <w:color w:val="auto"/>
              </w:rPr>
            </w:pPr>
            <w:r>
              <w:rPr>
                <w:rFonts w:ascii="Arial" w:cs="Arial" w:eastAsia="Arial" w:hAnsi="Arial"/>
                <w:sz w:val="14"/>
                <w:szCs w:val="14"/>
                <w:color w:val="4D4D4F"/>
              </w:rPr>
              <w:t>189,373</w:t>
            </w:r>
          </w:p>
        </w:tc>
        <w:tc>
          <w:tcPr>
            <w:tcW w:w="1240" w:type="dxa"/>
            <w:vAlign w:val="bottom"/>
          </w:tcPr>
          <w:p>
            <w:pPr>
              <w:jc w:val="right"/>
              <w:ind w:right="168"/>
              <w:spacing w:after="0"/>
              <w:rPr>
                <w:sz w:val="20"/>
                <w:szCs w:val="20"/>
                <w:color w:val="auto"/>
              </w:rPr>
            </w:pPr>
            <w:r>
              <w:rPr>
                <w:rFonts w:ascii="Arial" w:cs="Arial" w:eastAsia="Arial" w:hAnsi="Arial"/>
                <w:sz w:val="14"/>
                <w:szCs w:val="14"/>
                <w:color w:val="4D4D4F"/>
              </w:rPr>
              <w:t>34,519</w:t>
            </w:r>
          </w:p>
        </w:tc>
        <w:tc>
          <w:tcPr>
            <w:tcW w:w="1260" w:type="dxa"/>
            <w:vAlign w:val="bottom"/>
          </w:tcPr>
          <w:p>
            <w:pPr>
              <w:jc w:val="right"/>
              <w:ind w:right="128"/>
              <w:spacing w:after="0"/>
              <w:rPr>
                <w:sz w:val="20"/>
                <w:szCs w:val="20"/>
                <w:color w:val="auto"/>
              </w:rPr>
            </w:pPr>
            <w:r>
              <w:rPr>
                <w:rFonts w:ascii="Arial" w:cs="Arial" w:eastAsia="Arial" w:hAnsi="Arial"/>
                <w:sz w:val="14"/>
                <w:szCs w:val="14"/>
                <w:color w:val="4D4D4F"/>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4D4D4F"/>
              </w:rPr>
              <w:t>10,667</w:t>
            </w:r>
          </w:p>
        </w:tc>
        <w:tc>
          <w:tcPr>
            <w:tcW w:w="1100" w:type="dxa"/>
            <w:vAlign w:val="bottom"/>
          </w:tcPr>
          <w:p>
            <w:pPr>
              <w:jc w:val="right"/>
              <w:ind w:right="68"/>
              <w:spacing w:after="0"/>
              <w:rPr>
                <w:sz w:val="20"/>
                <w:szCs w:val="20"/>
                <w:color w:val="auto"/>
              </w:rPr>
            </w:pPr>
            <w:r>
              <w:rPr>
                <w:rFonts w:ascii="Arial" w:cs="Arial" w:eastAsia="Arial" w:hAnsi="Arial"/>
                <w:sz w:val="14"/>
                <w:szCs w:val="14"/>
                <w:color w:val="4D4D4F"/>
              </w:rPr>
              <w:t>234,559</w:t>
            </w: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4D4D4F"/>
              </w:rPr>
              <w:t>Mark McKechnie</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4D4D4F"/>
              </w:rPr>
              <w:t>2020</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4D4D4F"/>
              </w:rPr>
              <w:t>243,906</w:t>
            </w:r>
          </w:p>
        </w:tc>
        <w:tc>
          <w:tcPr>
            <w:tcW w:w="12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w:t>
            </w:r>
          </w:p>
        </w:tc>
        <w:tc>
          <w:tcPr>
            <w:tcW w:w="12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4D4D4F"/>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243,906</w:t>
            </w: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4"/>
                <w:szCs w:val="14"/>
                <w:i w:val="1"/>
                <w:iCs w:val="1"/>
                <w:color w:val="4D4D4F"/>
              </w:rPr>
              <w:t>Chief Financial Officer, Treasurer and Secretary</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4D4D4F"/>
              </w:rPr>
              <w:t>2019</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4D4D4F"/>
              </w:rPr>
              <w:t>232,424</w:t>
            </w:r>
          </w:p>
        </w:tc>
        <w:tc>
          <w:tcPr>
            <w:tcW w:w="12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129,327</w:t>
            </w:r>
          </w:p>
        </w:tc>
        <w:tc>
          <w:tcPr>
            <w:tcW w:w="12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4D4D4F"/>
              </w:rPr>
              <w:t>299,400</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13,920</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675,071</w:t>
            </w:r>
          </w:p>
        </w:tc>
      </w:tr>
      <w:tr>
        <w:trPr>
          <w:trHeight w:val="156"/>
        </w:trPr>
        <w:tc>
          <w:tcPr>
            <w:tcW w:w="4200" w:type="dxa"/>
            <w:vAlign w:val="bottom"/>
          </w:tcPr>
          <w:p>
            <w:pPr>
              <w:spacing w:after="0" w:line="157" w:lineRule="exact"/>
              <w:rPr>
                <w:sz w:val="20"/>
                <w:szCs w:val="20"/>
                <w:color w:val="auto"/>
              </w:rPr>
            </w:pPr>
            <w:r>
              <w:rPr>
                <w:rFonts w:ascii="Arial" w:cs="Arial" w:eastAsia="Arial" w:hAnsi="Arial"/>
                <w:sz w:val="14"/>
                <w:szCs w:val="14"/>
                <w:color w:val="4D4D4F"/>
              </w:rPr>
              <w:t>Jian Wang</w:t>
            </w:r>
          </w:p>
        </w:tc>
        <w:tc>
          <w:tcPr>
            <w:tcW w:w="860" w:type="dxa"/>
            <w:vAlign w:val="bottom"/>
          </w:tcPr>
          <w:p>
            <w:pPr>
              <w:ind w:left="320"/>
              <w:spacing w:after="0" w:line="157" w:lineRule="exact"/>
              <w:rPr>
                <w:sz w:val="20"/>
                <w:szCs w:val="20"/>
                <w:color w:val="auto"/>
              </w:rPr>
            </w:pPr>
            <w:r>
              <w:rPr>
                <w:rFonts w:ascii="Arial" w:cs="Arial" w:eastAsia="Arial" w:hAnsi="Arial"/>
                <w:sz w:val="14"/>
                <w:szCs w:val="14"/>
                <w:color w:val="4D4D4F"/>
              </w:rPr>
              <w:t>2020</w:t>
            </w:r>
          </w:p>
        </w:tc>
        <w:tc>
          <w:tcPr>
            <w:tcW w:w="1180" w:type="dxa"/>
            <w:vAlign w:val="bottom"/>
          </w:tcPr>
          <w:p>
            <w:pPr>
              <w:jc w:val="right"/>
              <w:ind w:right="108"/>
              <w:spacing w:after="0" w:line="157" w:lineRule="exact"/>
              <w:rPr>
                <w:sz w:val="20"/>
                <w:szCs w:val="20"/>
                <w:color w:val="auto"/>
              </w:rPr>
            </w:pPr>
            <w:r>
              <w:rPr>
                <w:rFonts w:ascii="Arial" w:cs="Arial" w:eastAsia="Arial" w:hAnsi="Arial"/>
                <w:sz w:val="14"/>
                <w:szCs w:val="14"/>
                <w:color w:val="4D4D4F"/>
              </w:rPr>
              <w:t>162,492</w:t>
            </w:r>
          </w:p>
        </w:tc>
        <w:tc>
          <w:tcPr>
            <w:tcW w:w="1240" w:type="dxa"/>
            <w:vAlign w:val="bottom"/>
          </w:tcPr>
          <w:p>
            <w:pPr>
              <w:jc w:val="right"/>
              <w:ind w:right="168"/>
              <w:spacing w:after="0" w:line="157" w:lineRule="exact"/>
              <w:rPr>
                <w:sz w:val="20"/>
                <w:szCs w:val="20"/>
                <w:color w:val="auto"/>
              </w:rPr>
            </w:pPr>
            <w:r>
              <w:rPr>
                <w:rFonts w:ascii="Arial" w:cs="Arial" w:eastAsia="Arial" w:hAnsi="Arial"/>
                <w:sz w:val="14"/>
                <w:szCs w:val="14"/>
                <w:color w:val="4D4D4F"/>
              </w:rPr>
              <w:t>55,100</w:t>
            </w:r>
          </w:p>
        </w:tc>
        <w:tc>
          <w:tcPr>
            <w:tcW w:w="1260" w:type="dxa"/>
            <w:vAlign w:val="bottom"/>
          </w:tcPr>
          <w:p>
            <w:pPr>
              <w:jc w:val="right"/>
              <w:ind w:right="128"/>
              <w:spacing w:after="0" w:line="157" w:lineRule="exact"/>
              <w:rPr>
                <w:sz w:val="20"/>
                <w:szCs w:val="20"/>
                <w:color w:val="auto"/>
              </w:rPr>
            </w:pPr>
            <w:r>
              <w:rPr>
                <w:rFonts w:ascii="Arial" w:cs="Arial" w:eastAsia="Arial" w:hAnsi="Arial"/>
                <w:sz w:val="14"/>
                <w:szCs w:val="14"/>
                <w:color w:val="4D4D4F"/>
              </w:rPr>
              <w:t>67,728</w:t>
            </w:r>
          </w:p>
        </w:tc>
        <w:tc>
          <w:tcPr>
            <w:tcW w:w="1400" w:type="dxa"/>
            <w:vAlign w:val="bottom"/>
          </w:tcPr>
          <w:p>
            <w:pPr>
              <w:jc w:val="right"/>
              <w:ind w:right="68"/>
              <w:spacing w:after="0" w:line="157" w:lineRule="exact"/>
              <w:rPr>
                <w:sz w:val="20"/>
                <w:szCs w:val="20"/>
                <w:color w:val="auto"/>
              </w:rPr>
            </w:pPr>
            <w:r>
              <w:rPr>
                <w:rFonts w:ascii="Arial" w:cs="Arial" w:eastAsia="Arial" w:hAnsi="Arial"/>
                <w:sz w:val="14"/>
                <w:szCs w:val="14"/>
                <w:color w:val="4D4D4F"/>
              </w:rPr>
              <w:t>15,660</w:t>
            </w:r>
          </w:p>
        </w:tc>
        <w:tc>
          <w:tcPr>
            <w:tcW w:w="1100" w:type="dxa"/>
            <w:vAlign w:val="bottom"/>
          </w:tcPr>
          <w:p>
            <w:pPr>
              <w:jc w:val="right"/>
              <w:ind w:right="68"/>
              <w:spacing w:after="0" w:line="157" w:lineRule="exact"/>
              <w:rPr>
                <w:sz w:val="20"/>
                <w:szCs w:val="20"/>
                <w:color w:val="auto"/>
              </w:rPr>
            </w:pPr>
            <w:r>
              <w:rPr>
                <w:rFonts w:ascii="Arial" w:cs="Arial" w:eastAsia="Arial" w:hAnsi="Arial"/>
                <w:sz w:val="14"/>
                <w:szCs w:val="14"/>
                <w:color w:val="4D4D4F"/>
              </w:rPr>
              <w:t>300,980</w:t>
            </w:r>
          </w:p>
        </w:tc>
      </w:tr>
      <w:tr>
        <w:trPr>
          <w:trHeight w:val="189"/>
        </w:trPr>
        <w:tc>
          <w:tcPr>
            <w:tcW w:w="4200" w:type="dxa"/>
            <w:vAlign w:val="bottom"/>
          </w:tcPr>
          <w:p>
            <w:pPr>
              <w:spacing w:after="0"/>
              <w:rPr>
                <w:sz w:val="20"/>
                <w:szCs w:val="20"/>
                <w:color w:val="auto"/>
              </w:rPr>
            </w:pPr>
            <w:r>
              <w:rPr>
                <w:rFonts w:ascii="Arial" w:cs="Arial" w:eastAsia="Arial" w:hAnsi="Arial"/>
                <w:sz w:val="14"/>
                <w:szCs w:val="14"/>
                <w:i w:val="1"/>
                <w:iCs w:val="1"/>
                <w:color w:val="4D4D4F"/>
              </w:rPr>
              <w:t>Chief Executive Oﬃcer and President,</w:t>
            </w:r>
          </w:p>
        </w:tc>
        <w:tc>
          <w:tcPr>
            <w:tcW w:w="860" w:type="dxa"/>
            <w:vAlign w:val="bottom"/>
          </w:tcPr>
          <w:p>
            <w:pPr>
              <w:ind w:left="320"/>
              <w:spacing w:after="0"/>
              <w:rPr>
                <w:sz w:val="20"/>
                <w:szCs w:val="20"/>
                <w:color w:val="auto"/>
              </w:rPr>
            </w:pPr>
            <w:r>
              <w:rPr>
                <w:rFonts w:ascii="Arial" w:cs="Arial" w:eastAsia="Arial" w:hAnsi="Arial"/>
                <w:sz w:val="14"/>
                <w:szCs w:val="14"/>
                <w:color w:val="4D4D4F"/>
              </w:rPr>
              <w:t>2019</w:t>
            </w:r>
          </w:p>
        </w:tc>
        <w:tc>
          <w:tcPr>
            <w:tcW w:w="1180" w:type="dxa"/>
            <w:vAlign w:val="bottom"/>
          </w:tcPr>
          <w:p>
            <w:pPr>
              <w:jc w:val="right"/>
              <w:ind w:right="108"/>
              <w:spacing w:after="0"/>
              <w:rPr>
                <w:sz w:val="20"/>
                <w:szCs w:val="20"/>
                <w:color w:val="auto"/>
              </w:rPr>
            </w:pPr>
            <w:r>
              <w:rPr>
                <w:rFonts w:ascii="Arial" w:cs="Arial" w:eastAsia="Arial" w:hAnsi="Arial"/>
                <w:sz w:val="14"/>
                <w:szCs w:val="14"/>
                <w:color w:val="4D4D4F"/>
              </w:rPr>
              <w:t>139,241</w:t>
            </w:r>
          </w:p>
        </w:tc>
        <w:tc>
          <w:tcPr>
            <w:tcW w:w="1240" w:type="dxa"/>
            <w:vAlign w:val="bottom"/>
          </w:tcPr>
          <w:p>
            <w:pPr>
              <w:jc w:val="right"/>
              <w:ind w:right="168"/>
              <w:spacing w:after="0"/>
              <w:rPr>
                <w:sz w:val="20"/>
                <w:szCs w:val="20"/>
                <w:color w:val="auto"/>
              </w:rPr>
            </w:pPr>
            <w:r>
              <w:rPr>
                <w:rFonts w:ascii="Arial" w:cs="Arial" w:eastAsia="Arial" w:hAnsi="Arial"/>
                <w:sz w:val="14"/>
                <w:szCs w:val="14"/>
                <w:color w:val="4D4D4F"/>
              </w:rPr>
              <w:t>49,126</w:t>
            </w:r>
          </w:p>
        </w:tc>
        <w:tc>
          <w:tcPr>
            <w:tcW w:w="1260" w:type="dxa"/>
            <w:vAlign w:val="bottom"/>
          </w:tcPr>
          <w:p>
            <w:pPr>
              <w:jc w:val="right"/>
              <w:ind w:right="128"/>
              <w:spacing w:after="0"/>
              <w:rPr>
                <w:sz w:val="20"/>
                <w:szCs w:val="20"/>
                <w:color w:val="auto"/>
              </w:rPr>
            </w:pPr>
            <w:r>
              <w:rPr>
                <w:rFonts w:ascii="Arial" w:cs="Arial" w:eastAsia="Arial" w:hAnsi="Arial"/>
                <w:sz w:val="14"/>
                <w:szCs w:val="14"/>
                <w:color w:val="4D4D4F"/>
              </w:rPr>
              <w:t>183,594</w:t>
            </w:r>
          </w:p>
        </w:tc>
        <w:tc>
          <w:tcPr>
            <w:tcW w:w="1400" w:type="dxa"/>
            <w:vAlign w:val="bottom"/>
          </w:tcPr>
          <w:p>
            <w:pPr>
              <w:jc w:val="right"/>
              <w:ind w:right="68"/>
              <w:spacing w:after="0"/>
              <w:rPr>
                <w:sz w:val="20"/>
                <w:szCs w:val="20"/>
                <w:color w:val="auto"/>
              </w:rPr>
            </w:pPr>
            <w:r>
              <w:rPr>
                <w:rFonts w:ascii="Arial" w:cs="Arial" w:eastAsia="Arial" w:hAnsi="Arial"/>
                <w:sz w:val="14"/>
                <w:szCs w:val="14"/>
                <w:color w:val="4D4D4F"/>
              </w:rPr>
              <w:t>13,920</w:t>
            </w:r>
          </w:p>
        </w:tc>
        <w:tc>
          <w:tcPr>
            <w:tcW w:w="1100" w:type="dxa"/>
            <w:vAlign w:val="bottom"/>
          </w:tcPr>
          <w:p>
            <w:pPr>
              <w:jc w:val="right"/>
              <w:ind w:right="68"/>
              <w:spacing w:after="0"/>
              <w:rPr>
                <w:sz w:val="20"/>
                <w:szCs w:val="20"/>
                <w:color w:val="auto"/>
              </w:rPr>
            </w:pPr>
            <w:r>
              <w:rPr>
                <w:rFonts w:ascii="Arial" w:cs="Arial" w:eastAsia="Arial" w:hAnsi="Arial"/>
                <w:sz w:val="14"/>
                <w:szCs w:val="14"/>
                <w:color w:val="4D4D4F"/>
              </w:rPr>
              <w:t>385,881</w:t>
            </w:r>
          </w:p>
        </w:tc>
      </w:tr>
      <w:tr>
        <w:trPr>
          <w:trHeight w:val="222"/>
        </w:trPr>
        <w:tc>
          <w:tcPr>
            <w:tcW w:w="4200" w:type="dxa"/>
            <w:vAlign w:val="bottom"/>
          </w:tcPr>
          <w:p>
            <w:pPr>
              <w:spacing w:after="0"/>
              <w:rPr>
                <w:sz w:val="20"/>
                <w:szCs w:val="20"/>
                <w:color w:val="auto"/>
              </w:rPr>
            </w:pPr>
            <w:r>
              <w:rPr>
                <w:rFonts w:ascii="Arial" w:cs="Arial" w:eastAsia="Arial" w:hAnsi="Arial"/>
                <w:sz w:val="14"/>
                <w:szCs w:val="14"/>
                <w:i w:val="1"/>
                <w:iCs w:val="1"/>
                <w:color w:val="4D4D4F"/>
              </w:rPr>
              <w:t>ACM Research (Shanghai), Inc.</w:t>
            </w:r>
          </w:p>
        </w:tc>
        <w:tc>
          <w:tcPr>
            <w:tcW w:w="860" w:type="dxa"/>
            <w:vAlign w:val="bottom"/>
          </w:tcPr>
          <w:p>
            <w:pPr>
              <w:ind w:left="320"/>
              <w:spacing w:after="0"/>
              <w:rPr>
                <w:sz w:val="20"/>
                <w:szCs w:val="20"/>
                <w:color w:val="auto"/>
              </w:rPr>
            </w:pPr>
            <w:r>
              <w:rPr>
                <w:rFonts w:ascii="Arial" w:cs="Arial" w:eastAsia="Arial" w:hAnsi="Arial"/>
                <w:sz w:val="14"/>
                <w:szCs w:val="14"/>
                <w:color w:val="4D4D4F"/>
              </w:rPr>
              <w:t>2018</w:t>
            </w:r>
          </w:p>
        </w:tc>
        <w:tc>
          <w:tcPr>
            <w:tcW w:w="1180" w:type="dxa"/>
            <w:vAlign w:val="bottom"/>
          </w:tcPr>
          <w:p>
            <w:pPr>
              <w:jc w:val="right"/>
              <w:ind w:right="108"/>
              <w:spacing w:after="0"/>
              <w:rPr>
                <w:sz w:val="20"/>
                <w:szCs w:val="20"/>
                <w:color w:val="auto"/>
              </w:rPr>
            </w:pPr>
            <w:r>
              <w:rPr>
                <w:rFonts w:ascii="Arial" w:cs="Arial" w:eastAsia="Arial" w:hAnsi="Arial"/>
                <w:sz w:val="14"/>
                <w:szCs w:val="14"/>
                <w:color w:val="4D4D4F"/>
              </w:rPr>
              <w:t>140,059</w:t>
            </w:r>
          </w:p>
        </w:tc>
        <w:tc>
          <w:tcPr>
            <w:tcW w:w="1240" w:type="dxa"/>
            <w:vAlign w:val="bottom"/>
          </w:tcPr>
          <w:p>
            <w:pPr>
              <w:jc w:val="right"/>
              <w:ind w:right="168"/>
              <w:spacing w:after="0"/>
              <w:rPr>
                <w:sz w:val="20"/>
                <w:szCs w:val="20"/>
                <w:color w:val="auto"/>
              </w:rPr>
            </w:pPr>
            <w:r>
              <w:rPr>
                <w:rFonts w:ascii="Arial" w:cs="Arial" w:eastAsia="Arial" w:hAnsi="Arial"/>
                <w:sz w:val="14"/>
                <w:szCs w:val="14"/>
                <w:color w:val="4D4D4F"/>
              </w:rPr>
              <w:t>16,296</w:t>
            </w:r>
          </w:p>
        </w:tc>
        <w:tc>
          <w:tcPr>
            <w:tcW w:w="1260" w:type="dxa"/>
            <w:vAlign w:val="bottom"/>
          </w:tcPr>
          <w:p>
            <w:pPr>
              <w:jc w:val="right"/>
              <w:ind w:right="128"/>
              <w:spacing w:after="0"/>
              <w:rPr>
                <w:sz w:val="20"/>
                <w:szCs w:val="20"/>
                <w:color w:val="auto"/>
              </w:rPr>
            </w:pPr>
            <w:r>
              <w:rPr>
                <w:rFonts w:ascii="Arial" w:cs="Arial" w:eastAsia="Arial" w:hAnsi="Arial"/>
                <w:sz w:val="14"/>
                <w:szCs w:val="14"/>
                <w:color w:val="4D4D4F"/>
              </w:rPr>
              <w:t>257,032</w:t>
            </w:r>
          </w:p>
        </w:tc>
        <w:tc>
          <w:tcPr>
            <w:tcW w:w="1400" w:type="dxa"/>
            <w:vAlign w:val="bottom"/>
          </w:tcPr>
          <w:p>
            <w:pPr>
              <w:jc w:val="right"/>
              <w:ind w:right="68"/>
              <w:spacing w:after="0"/>
              <w:rPr>
                <w:sz w:val="20"/>
                <w:szCs w:val="20"/>
                <w:color w:val="auto"/>
              </w:rPr>
            </w:pPr>
            <w:r>
              <w:rPr>
                <w:rFonts w:ascii="Arial" w:cs="Arial" w:eastAsia="Arial" w:hAnsi="Arial"/>
                <w:sz w:val="14"/>
                <w:szCs w:val="14"/>
                <w:color w:val="4D4D4F"/>
              </w:rPr>
              <w:t>10,667</w:t>
            </w:r>
          </w:p>
        </w:tc>
        <w:tc>
          <w:tcPr>
            <w:tcW w:w="1100" w:type="dxa"/>
            <w:vAlign w:val="bottom"/>
          </w:tcPr>
          <w:p>
            <w:pPr>
              <w:jc w:val="right"/>
              <w:ind w:right="68"/>
              <w:spacing w:after="0"/>
              <w:rPr>
                <w:sz w:val="20"/>
                <w:szCs w:val="20"/>
                <w:color w:val="auto"/>
              </w:rPr>
            </w:pPr>
            <w:r>
              <w:rPr>
                <w:rFonts w:ascii="Arial" w:cs="Arial" w:eastAsia="Arial" w:hAnsi="Arial"/>
                <w:sz w:val="14"/>
                <w:szCs w:val="14"/>
                <w:color w:val="4D4D4F"/>
              </w:rPr>
              <w:t>424,054</w:t>
            </w: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4D4D4F"/>
              </w:rPr>
              <w:t>Lisa Feng</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4D4D4F"/>
              </w:rPr>
              <w:t>2020</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4D4D4F"/>
              </w:rPr>
              <w:t>169,172</w:t>
            </w:r>
          </w:p>
        </w:tc>
        <w:tc>
          <w:tcPr>
            <w:tcW w:w="12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43,500</w:t>
            </w:r>
          </w:p>
        </w:tc>
        <w:tc>
          <w:tcPr>
            <w:tcW w:w="12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4D4D4F"/>
              </w:rPr>
              <w:t>225,809</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13,616</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452,097</w:t>
            </w: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4"/>
                <w:szCs w:val="14"/>
                <w:i w:val="1"/>
                <w:iCs w:val="1"/>
                <w:color w:val="4D4D4F"/>
              </w:rPr>
              <w:t>Chief Financial Officer, ACM Research (Shanghai), Inc.</w:t>
            </w:r>
          </w:p>
        </w:tc>
        <w:tc>
          <w:tcPr>
            <w:tcW w:w="860" w:type="dxa"/>
            <w:vAlign w:val="bottom"/>
            <w:shd w:val="clear" w:color="auto" w:fill="CCEEFF"/>
          </w:tcPr>
          <w:p>
            <w:pPr>
              <w:ind w:left="320"/>
              <w:spacing w:after="0"/>
              <w:rPr>
                <w:sz w:val="20"/>
                <w:szCs w:val="20"/>
                <w:color w:val="auto"/>
              </w:rPr>
            </w:pPr>
            <w:r>
              <w:rPr>
                <w:rFonts w:ascii="Arial" w:cs="Arial" w:eastAsia="Arial" w:hAnsi="Arial"/>
                <w:sz w:val="14"/>
                <w:szCs w:val="14"/>
                <w:color w:val="4D4D4F"/>
              </w:rPr>
              <w:t>2019</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4D4D4F"/>
              </w:rPr>
              <w:t>159,673</w:t>
            </w:r>
          </w:p>
        </w:tc>
        <w:tc>
          <w:tcPr>
            <w:tcW w:w="12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41,354</w:t>
            </w:r>
          </w:p>
        </w:tc>
        <w:tc>
          <w:tcPr>
            <w:tcW w:w="12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4D4D4F"/>
              </w:rPr>
              <w:t>214,700</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10,133</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425,860</w:t>
            </w:r>
          </w:p>
        </w:tc>
      </w:tr>
      <w:tr>
        <w:trPr>
          <w:trHeight w:val="156"/>
        </w:trPr>
        <w:tc>
          <w:tcPr>
            <w:tcW w:w="4200" w:type="dxa"/>
            <w:vAlign w:val="bottom"/>
          </w:tcPr>
          <w:p>
            <w:pPr>
              <w:spacing w:after="0" w:line="157" w:lineRule="exact"/>
              <w:rPr>
                <w:sz w:val="20"/>
                <w:szCs w:val="20"/>
                <w:color w:val="auto"/>
              </w:rPr>
            </w:pPr>
            <w:r>
              <w:rPr>
                <w:rFonts w:ascii="Arial" w:cs="Arial" w:eastAsia="Arial" w:hAnsi="Arial"/>
                <w:sz w:val="14"/>
                <w:szCs w:val="14"/>
                <w:color w:val="4D4D4F"/>
              </w:rPr>
              <w:t>Fuping Chen</w:t>
            </w:r>
          </w:p>
        </w:tc>
        <w:tc>
          <w:tcPr>
            <w:tcW w:w="860" w:type="dxa"/>
            <w:vAlign w:val="bottom"/>
          </w:tcPr>
          <w:p>
            <w:pPr>
              <w:ind w:left="320"/>
              <w:spacing w:after="0" w:line="157" w:lineRule="exact"/>
              <w:rPr>
                <w:sz w:val="20"/>
                <w:szCs w:val="20"/>
                <w:color w:val="auto"/>
              </w:rPr>
            </w:pPr>
            <w:r>
              <w:rPr>
                <w:rFonts w:ascii="Arial" w:cs="Arial" w:eastAsia="Arial" w:hAnsi="Arial"/>
                <w:sz w:val="14"/>
                <w:szCs w:val="14"/>
                <w:color w:val="4D4D4F"/>
              </w:rPr>
              <w:t>2020</w:t>
            </w:r>
          </w:p>
        </w:tc>
        <w:tc>
          <w:tcPr>
            <w:tcW w:w="1180" w:type="dxa"/>
            <w:vAlign w:val="bottom"/>
          </w:tcPr>
          <w:p>
            <w:pPr>
              <w:jc w:val="right"/>
              <w:ind w:right="108"/>
              <w:spacing w:after="0" w:line="157" w:lineRule="exact"/>
              <w:rPr>
                <w:sz w:val="20"/>
                <w:szCs w:val="20"/>
                <w:color w:val="auto"/>
              </w:rPr>
            </w:pPr>
            <w:r>
              <w:rPr>
                <w:rFonts w:ascii="Arial" w:cs="Arial" w:eastAsia="Arial" w:hAnsi="Arial"/>
                <w:sz w:val="14"/>
                <w:szCs w:val="14"/>
                <w:color w:val="4D4D4F"/>
              </w:rPr>
              <w:t>103,871</w:t>
            </w:r>
          </w:p>
        </w:tc>
        <w:tc>
          <w:tcPr>
            <w:tcW w:w="1240" w:type="dxa"/>
            <w:vAlign w:val="bottom"/>
          </w:tcPr>
          <w:p>
            <w:pPr>
              <w:jc w:val="right"/>
              <w:ind w:right="168"/>
              <w:spacing w:after="0" w:line="157" w:lineRule="exact"/>
              <w:rPr>
                <w:sz w:val="20"/>
                <w:szCs w:val="20"/>
                <w:color w:val="auto"/>
              </w:rPr>
            </w:pPr>
            <w:r>
              <w:rPr>
                <w:rFonts w:ascii="Arial" w:cs="Arial" w:eastAsia="Arial" w:hAnsi="Arial"/>
                <w:sz w:val="14"/>
                <w:szCs w:val="14"/>
                <w:color w:val="4D4D4F"/>
              </w:rPr>
              <w:t>95,700</w:t>
            </w:r>
          </w:p>
        </w:tc>
        <w:tc>
          <w:tcPr>
            <w:tcW w:w="1260" w:type="dxa"/>
            <w:vAlign w:val="bottom"/>
          </w:tcPr>
          <w:p>
            <w:pPr>
              <w:jc w:val="right"/>
              <w:ind w:right="128"/>
              <w:spacing w:after="0" w:line="157" w:lineRule="exact"/>
              <w:rPr>
                <w:sz w:val="20"/>
                <w:szCs w:val="20"/>
                <w:color w:val="auto"/>
              </w:rPr>
            </w:pPr>
            <w:r>
              <w:rPr>
                <w:rFonts w:ascii="Arial" w:cs="Arial" w:eastAsia="Arial" w:hAnsi="Arial"/>
                <w:sz w:val="14"/>
                <w:szCs w:val="14"/>
                <w:color w:val="4D4D4F"/>
              </w:rPr>
              <w:t>793,157</w:t>
            </w:r>
          </w:p>
        </w:tc>
        <w:tc>
          <w:tcPr>
            <w:tcW w:w="1400" w:type="dxa"/>
            <w:vAlign w:val="bottom"/>
          </w:tcPr>
          <w:p>
            <w:pPr>
              <w:jc w:val="right"/>
              <w:ind w:right="68"/>
              <w:spacing w:after="0" w:line="157" w:lineRule="exact"/>
              <w:rPr>
                <w:sz w:val="20"/>
                <w:szCs w:val="20"/>
                <w:color w:val="auto"/>
              </w:rPr>
            </w:pPr>
            <w:r>
              <w:rPr>
                <w:rFonts w:ascii="Arial" w:cs="Arial" w:eastAsia="Arial" w:hAnsi="Arial"/>
                <w:sz w:val="14"/>
                <w:szCs w:val="14"/>
                <w:color w:val="4D4D4F"/>
              </w:rPr>
              <w:t>15,660</w:t>
            </w:r>
          </w:p>
        </w:tc>
        <w:tc>
          <w:tcPr>
            <w:tcW w:w="1100" w:type="dxa"/>
            <w:vAlign w:val="bottom"/>
          </w:tcPr>
          <w:p>
            <w:pPr>
              <w:jc w:val="right"/>
              <w:ind w:right="68"/>
              <w:spacing w:after="0" w:line="157" w:lineRule="exact"/>
              <w:rPr>
                <w:sz w:val="20"/>
                <w:szCs w:val="20"/>
                <w:color w:val="auto"/>
              </w:rPr>
            </w:pPr>
            <w:r>
              <w:rPr>
                <w:rFonts w:ascii="Arial" w:cs="Arial" w:eastAsia="Arial" w:hAnsi="Arial"/>
                <w:sz w:val="14"/>
                <w:szCs w:val="14"/>
                <w:color w:val="4D4D4F"/>
              </w:rPr>
              <w:t>1,008,388</w:t>
            </w:r>
          </w:p>
        </w:tc>
      </w:tr>
      <w:tr>
        <w:trPr>
          <w:trHeight w:val="189"/>
        </w:trPr>
        <w:tc>
          <w:tcPr>
            <w:tcW w:w="4200" w:type="dxa"/>
            <w:vAlign w:val="bottom"/>
          </w:tcPr>
          <w:p>
            <w:pPr>
              <w:spacing w:after="0"/>
              <w:rPr>
                <w:sz w:val="20"/>
                <w:szCs w:val="20"/>
                <w:color w:val="auto"/>
              </w:rPr>
            </w:pPr>
            <w:r>
              <w:rPr>
                <w:rFonts w:ascii="Arial" w:cs="Arial" w:eastAsia="Arial" w:hAnsi="Arial"/>
                <w:sz w:val="14"/>
                <w:szCs w:val="14"/>
                <w:i w:val="1"/>
                <w:iCs w:val="1"/>
                <w:color w:val="4D4D4F"/>
              </w:rPr>
              <w:t>Vice President, Sales—China, ACM Research (Shanghai), Inc.</w:t>
            </w:r>
          </w:p>
        </w:tc>
        <w:tc>
          <w:tcPr>
            <w:tcW w:w="860" w:type="dxa"/>
            <w:vAlign w:val="bottom"/>
          </w:tcPr>
          <w:p>
            <w:pPr>
              <w:ind w:left="320"/>
              <w:spacing w:after="0"/>
              <w:rPr>
                <w:sz w:val="20"/>
                <w:szCs w:val="20"/>
                <w:color w:val="auto"/>
              </w:rPr>
            </w:pPr>
            <w:r>
              <w:rPr>
                <w:rFonts w:ascii="Arial" w:cs="Arial" w:eastAsia="Arial" w:hAnsi="Arial"/>
                <w:sz w:val="14"/>
                <w:szCs w:val="14"/>
                <w:color w:val="4D4D4F"/>
              </w:rPr>
              <w:t>2019</w:t>
            </w:r>
          </w:p>
        </w:tc>
        <w:tc>
          <w:tcPr>
            <w:tcW w:w="1180" w:type="dxa"/>
            <w:vAlign w:val="bottom"/>
          </w:tcPr>
          <w:p>
            <w:pPr>
              <w:jc w:val="right"/>
              <w:ind w:right="108"/>
              <w:spacing w:after="0"/>
              <w:rPr>
                <w:sz w:val="20"/>
                <w:szCs w:val="20"/>
                <w:color w:val="auto"/>
              </w:rPr>
            </w:pPr>
            <w:r>
              <w:rPr>
                <w:rFonts w:ascii="Arial" w:cs="Arial" w:eastAsia="Arial" w:hAnsi="Arial"/>
                <w:sz w:val="14"/>
                <w:szCs w:val="14"/>
                <w:color w:val="4D4D4F"/>
              </w:rPr>
              <w:t>90,603</w:t>
            </w:r>
          </w:p>
        </w:tc>
        <w:tc>
          <w:tcPr>
            <w:tcW w:w="1240" w:type="dxa"/>
            <w:vAlign w:val="bottom"/>
          </w:tcPr>
          <w:p>
            <w:pPr>
              <w:jc w:val="right"/>
              <w:ind w:right="168"/>
              <w:spacing w:after="0"/>
              <w:rPr>
                <w:sz w:val="20"/>
                <w:szCs w:val="20"/>
                <w:color w:val="auto"/>
              </w:rPr>
            </w:pPr>
            <w:r>
              <w:rPr>
                <w:rFonts w:ascii="Arial" w:cs="Arial" w:eastAsia="Arial" w:hAnsi="Arial"/>
                <w:sz w:val="14"/>
                <w:szCs w:val="14"/>
                <w:color w:val="4D4D4F"/>
              </w:rPr>
              <w:t>113,129</w:t>
            </w:r>
          </w:p>
        </w:tc>
        <w:tc>
          <w:tcPr>
            <w:tcW w:w="1260" w:type="dxa"/>
            <w:vAlign w:val="bottom"/>
          </w:tcPr>
          <w:p>
            <w:pPr>
              <w:jc w:val="right"/>
              <w:ind w:right="128"/>
              <w:spacing w:after="0"/>
              <w:rPr>
                <w:sz w:val="20"/>
                <w:szCs w:val="20"/>
                <w:color w:val="auto"/>
              </w:rPr>
            </w:pPr>
            <w:r>
              <w:rPr>
                <w:rFonts w:ascii="Arial" w:cs="Arial" w:eastAsia="Arial" w:hAnsi="Arial"/>
                <w:sz w:val="14"/>
                <w:szCs w:val="14"/>
                <w:color w:val="4D4D4F"/>
              </w:rPr>
              <w:t>61,198</w:t>
            </w:r>
          </w:p>
        </w:tc>
        <w:tc>
          <w:tcPr>
            <w:tcW w:w="1400" w:type="dxa"/>
            <w:vAlign w:val="bottom"/>
          </w:tcPr>
          <w:p>
            <w:pPr>
              <w:jc w:val="right"/>
              <w:ind w:right="68"/>
              <w:spacing w:after="0"/>
              <w:rPr>
                <w:sz w:val="20"/>
                <w:szCs w:val="20"/>
                <w:color w:val="auto"/>
              </w:rPr>
            </w:pPr>
            <w:r>
              <w:rPr>
                <w:rFonts w:ascii="Arial" w:cs="Arial" w:eastAsia="Arial" w:hAnsi="Arial"/>
                <w:sz w:val="14"/>
                <w:szCs w:val="14"/>
                <w:color w:val="4D4D4F"/>
              </w:rPr>
              <w:t>13,920</w:t>
            </w:r>
          </w:p>
        </w:tc>
        <w:tc>
          <w:tcPr>
            <w:tcW w:w="1100" w:type="dxa"/>
            <w:vAlign w:val="bottom"/>
          </w:tcPr>
          <w:p>
            <w:pPr>
              <w:jc w:val="right"/>
              <w:ind w:right="68"/>
              <w:spacing w:after="0"/>
              <w:rPr>
                <w:sz w:val="20"/>
                <w:szCs w:val="20"/>
                <w:color w:val="auto"/>
              </w:rPr>
            </w:pPr>
            <w:r>
              <w:rPr>
                <w:rFonts w:ascii="Arial" w:cs="Arial" w:eastAsia="Arial" w:hAnsi="Arial"/>
                <w:sz w:val="14"/>
                <w:szCs w:val="14"/>
                <w:color w:val="4D4D4F"/>
              </w:rPr>
              <w:t>278,850</w:t>
            </w:r>
          </w:p>
        </w:tc>
      </w:tr>
      <w:tr>
        <w:trPr>
          <w:trHeight w:val="239"/>
        </w:trPr>
        <w:tc>
          <w:tcPr>
            <w:tcW w:w="420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Arial" w:cs="Arial" w:eastAsia="Arial" w:hAnsi="Arial"/>
                <w:sz w:val="14"/>
                <w:szCs w:val="14"/>
                <w:color w:val="4D4D4F"/>
              </w:rPr>
              <w:t>2018</w:t>
            </w:r>
          </w:p>
        </w:tc>
        <w:tc>
          <w:tcPr>
            <w:tcW w:w="1180" w:type="dxa"/>
            <w:vAlign w:val="bottom"/>
          </w:tcPr>
          <w:p>
            <w:pPr>
              <w:jc w:val="right"/>
              <w:ind w:right="108"/>
              <w:spacing w:after="0"/>
              <w:rPr>
                <w:sz w:val="20"/>
                <w:szCs w:val="20"/>
                <w:color w:val="auto"/>
              </w:rPr>
            </w:pPr>
            <w:r>
              <w:rPr>
                <w:rFonts w:ascii="Arial" w:cs="Arial" w:eastAsia="Arial" w:hAnsi="Arial"/>
                <w:sz w:val="14"/>
                <w:szCs w:val="14"/>
                <w:color w:val="4D4D4F"/>
              </w:rPr>
              <w:t>90,348</w:t>
            </w:r>
          </w:p>
        </w:tc>
        <w:tc>
          <w:tcPr>
            <w:tcW w:w="1240" w:type="dxa"/>
            <w:vAlign w:val="bottom"/>
          </w:tcPr>
          <w:p>
            <w:pPr>
              <w:jc w:val="right"/>
              <w:ind w:right="168"/>
              <w:spacing w:after="0"/>
              <w:rPr>
                <w:sz w:val="20"/>
                <w:szCs w:val="20"/>
                <w:color w:val="auto"/>
              </w:rPr>
            </w:pPr>
            <w:r>
              <w:rPr>
                <w:rFonts w:ascii="Arial" w:cs="Arial" w:eastAsia="Arial" w:hAnsi="Arial"/>
                <w:sz w:val="14"/>
                <w:szCs w:val="14"/>
                <w:color w:val="4D4D4F"/>
              </w:rPr>
              <w:t>35,259</w:t>
            </w:r>
          </w:p>
        </w:tc>
        <w:tc>
          <w:tcPr>
            <w:tcW w:w="1260" w:type="dxa"/>
            <w:vAlign w:val="bottom"/>
          </w:tcPr>
          <w:p>
            <w:pPr>
              <w:jc w:val="right"/>
              <w:ind w:right="128"/>
              <w:spacing w:after="0"/>
              <w:rPr>
                <w:sz w:val="20"/>
                <w:szCs w:val="20"/>
                <w:color w:val="auto"/>
              </w:rPr>
            </w:pPr>
            <w:r>
              <w:rPr>
                <w:rFonts w:ascii="Arial" w:cs="Arial" w:eastAsia="Arial" w:hAnsi="Arial"/>
                <w:sz w:val="14"/>
                <w:szCs w:val="14"/>
                <w:color w:val="4D4D4F"/>
              </w:rPr>
              <w:t>112,995</w:t>
            </w:r>
          </w:p>
        </w:tc>
        <w:tc>
          <w:tcPr>
            <w:tcW w:w="1400" w:type="dxa"/>
            <w:vAlign w:val="bottom"/>
          </w:tcPr>
          <w:p>
            <w:pPr>
              <w:jc w:val="right"/>
              <w:ind w:right="68"/>
              <w:spacing w:after="0"/>
              <w:rPr>
                <w:sz w:val="20"/>
                <w:szCs w:val="20"/>
                <w:color w:val="auto"/>
              </w:rPr>
            </w:pPr>
            <w:r>
              <w:rPr>
                <w:rFonts w:ascii="Arial" w:cs="Arial" w:eastAsia="Arial" w:hAnsi="Arial"/>
                <w:sz w:val="14"/>
                <w:szCs w:val="14"/>
                <w:color w:val="4D4D4F"/>
              </w:rPr>
              <w:t>10,667</w:t>
            </w:r>
          </w:p>
        </w:tc>
        <w:tc>
          <w:tcPr>
            <w:tcW w:w="1100" w:type="dxa"/>
            <w:vAlign w:val="bottom"/>
          </w:tcPr>
          <w:p>
            <w:pPr>
              <w:jc w:val="right"/>
              <w:ind w:right="68"/>
              <w:spacing w:after="0"/>
              <w:rPr>
                <w:sz w:val="20"/>
                <w:szCs w:val="20"/>
                <w:color w:val="auto"/>
              </w:rPr>
            </w:pPr>
            <w:r>
              <w:rPr>
                <w:rFonts w:ascii="Arial" w:cs="Arial" w:eastAsia="Arial" w:hAnsi="Arial"/>
                <w:sz w:val="14"/>
                <w:szCs w:val="14"/>
                <w:color w:val="4D4D4F"/>
              </w:rPr>
              <w:t>249,269</w:t>
            </w:r>
          </w:p>
        </w:tc>
      </w:tr>
    </w:tbl>
    <w:p>
      <w:pPr>
        <w:spacing w:after="0" w:line="41" w:lineRule="exact"/>
        <w:rPr>
          <w:sz w:val="20"/>
          <w:szCs w:val="20"/>
          <w:color w:val="auto"/>
        </w:rPr>
      </w:pPr>
    </w:p>
    <w:p>
      <w:pPr>
        <w:ind w:left="340" w:right="20" w:hanging="332"/>
        <w:spacing w:after="0" w:line="249" w:lineRule="auto"/>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Compensation amounts paid in RMB have been converted, for purposes of the table, to U.S. dollars at the average RMB per U.S. dollar exchange rate for the applicable years.</w:t>
      </w:r>
    </w:p>
    <w:p>
      <w:pPr>
        <w:spacing w:after="0" w:line="210" w:lineRule="exact"/>
        <w:rPr>
          <w:rFonts w:ascii="Arial" w:cs="Arial" w:eastAsia="Arial" w:hAnsi="Arial"/>
          <w:sz w:val="14"/>
          <w:szCs w:val="14"/>
          <w:color w:val="4D4D4F"/>
        </w:rPr>
      </w:pPr>
    </w:p>
    <w:p>
      <w:pPr>
        <w:jc w:val="both"/>
        <w:ind w:left="340" w:hanging="332"/>
        <w:spacing w:after="0" w:line="247" w:lineRule="auto"/>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 xml:space="preserve">Amounts shown represent the aggregate grant date fair value of option awards granted in accordance with Financial Accounting Standards Board Accounting Standards Codification Topic 718, </w:t>
      </w:r>
      <w:r>
        <w:rPr>
          <w:rFonts w:ascii="Arial" w:cs="Arial" w:eastAsia="Arial" w:hAnsi="Arial"/>
          <w:sz w:val="14"/>
          <w:szCs w:val="14"/>
          <w:i w:val="1"/>
          <w:iCs w:val="1"/>
          <w:color w:val="4D4D4F"/>
        </w:rPr>
        <w:t>Compensation—Stock Compensation</w:t>
      </w:r>
      <w:r>
        <w:rPr>
          <w:rFonts w:ascii="Arial" w:cs="Arial" w:eastAsia="Arial" w:hAnsi="Arial"/>
          <w:sz w:val="14"/>
          <w:szCs w:val="14"/>
          <w:color w:val="4D4D4F"/>
        </w:rPr>
        <w:t>. These amounts do not necessarily correspond to the actual amounts that will be earned by the NEOs. For assumptions made in valuing these awards and related information with respect to options awards exercisable for Class A common stock, see note 2 to our consolidated financial statements included in our Annual Report on Form 10-K for the fiscal year ended December 31, 2020.</w:t>
      </w:r>
    </w:p>
    <w:p>
      <w:pPr>
        <w:spacing w:after="0" w:line="39"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Consists of (a) option awards exercisable for Class A common stock and (b) with respect to Dr. Wang, Mr. Wang, Ms. Feng and Mr. Chen in 2020, option awards exercisable for shares of ACM Research (Shanghai), Inc. See “—Grants of Plan-Based Awards” table below.</w:t>
      </w:r>
    </w:p>
    <w:p>
      <w:pPr>
        <w:spacing w:after="0" w:line="31" w:lineRule="exact"/>
        <w:rPr>
          <w:rFonts w:ascii="Arial" w:cs="Arial" w:eastAsia="Arial" w:hAnsi="Arial"/>
          <w:sz w:val="14"/>
          <w:szCs w:val="14"/>
          <w:color w:val="4D4D4F"/>
        </w:rPr>
      </w:pPr>
    </w:p>
    <w:p>
      <w:pPr>
        <w:ind w:left="340" w:hanging="332"/>
        <w:spacing w:after="0"/>
        <w:tabs>
          <w:tab w:leader="none" w:pos="340" w:val="left"/>
        </w:tabs>
        <w:numPr>
          <w:ilvl w:val="0"/>
          <w:numId w:val="54"/>
        </w:numPr>
        <w:rPr>
          <w:rFonts w:ascii="Arial" w:cs="Arial" w:eastAsia="Arial" w:hAnsi="Arial"/>
          <w:sz w:val="14"/>
          <w:szCs w:val="14"/>
          <w:color w:val="4D4D4F"/>
        </w:rPr>
      </w:pPr>
      <w:r>
        <w:rPr>
          <w:rFonts w:ascii="Arial" w:cs="Arial" w:eastAsia="Arial" w:hAnsi="Arial"/>
          <w:sz w:val="14"/>
          <w:szCs w:val="14"/>
          <w:color w:val="4D4D4F"/>
        </w:rPr>
        <w:t>The amounts shown consist of housing subsidies.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Narrative Explanation of the Summary Compensation Table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4D4D4F"/>
        </w:rPr>
        <w:t>The compensation paid to our NEOs consists of the following components:</w:t>
      </w:r>
    </w:p>
    <w:p>
      <w:pPr>
        <w:spacing w:after="0" w:line="50"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4D4D4F"/>
        </w:rPr>
      </w:pPr>
      <w:r>
        <w:rPr>
          <w:rFonts w:ascii="Arial" w:cs="Arial" w:eastAsia="Arial" w:hAnsi="Arial"/>
          <w:sz w:val="18"/>
          <w:szCs w:val="18"/>
          <w:color w:val="4D4D4F"/>
        </w:rPr>
        <w:t>base salary;</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55"/>
        </w:numPr>
        <w:rPr>
          <w:rFonts w:ascii="Arial" w:cs="Arial" w:eastAsia="Arial" w:hAnsi="Arial"/>
          <w:sz w:val="18"/>
          <w:szCs w:val="18"/>
          <w:color w:val="4D4D4F"/>
        </w:rPr>
      </w:pPr>
      <w:r>
        <w:rPr>
          <w:rFonts w:ascii="Arial" w:cs="Arial" w:eastAsia="Arial" w:hAnsi="Arial"/>
          <w:sz w:val="18"/>
          <w:szCs w:val="18"/>
          <w:color w:val="4D4D4F"/>
        </w:rPr>
        <w:t>discretionary-based cash bonuses;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55"/>
        </w:numPr>
        <w:rPr>
          <w:rFonts w:ascii="Arial" w:cs="Arial" w:eastAsia="Arial" w:hAnsi="Arial"/>
          <w:sz w:val="18"/>
          <w:szCs w:val="18"/>
          <w:color w:val="4D4D4F"/>
        </w:rPr>
      </w:pPr>
      <w:r>
        <w:rPr>
          <w:rFonts w:ascii="Arial" w:cs="Arial" w:eastAsia="Arial" w:hAnsi="Arial"/>
          <w:sz w:val="18"/>
          <w:szCs w:val="18"/>
          <w:color w:val="4D4D4F"/>
        </w:rPr>
        <w:t>long-term incentive compensation in the form of stock options;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55"/>
        </w:numPr>
        <w:rPr>
          <w:rFonts w:ascii="Arial" w:cs="Arial" w:eastAsia="Arial" w:hAnsi="Arial"/>
          <w:sz w:val="18"/>
          <w:szCs w:val="18"/>
          <w:color w:val="4D4D4F"/>
        </w:rPr>
      </w:pPr>
      <w:r>
        <w:rPr>
          <w:rFonts w:ascii="Arial" w:cs="Arial" w:eastAsia="Arial" w:hAnsi="Arial"/>
          <w:sz w:val="18"/>
          <w:szCs w:val="18"/>
          <w:color w:val="4D4D4F"/>
        </w:rPr>
        <w:t>benefits consisting principally of housing subsidies.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Annual base salaries of our NEOs in 2020 were as follows: David Wang, $294,054; Mark McKechnie, $243,906; Jian Wang, $162,492; Lisa Feng, $169,172; and Fuping Chen, $103,871.</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enter into employment agreements with our employees located principally in the PRC, including each of our NEOs, other than U.S.-based Mark McKechnie, that contain an employment term and other statutorily required terms and conditions, but do not include compensatory terms. In addition, ACM Shanghai was a party to an employment agreement with Lisa Feng that was entered into as of January 8, 2018 and extended through January 7, 2021. This agreement contained provisions with respect to base salary, annual bonus eligibility and certain severance payments.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We do not have an established bonus policy for our NEOs. The compensation committee may decide, in its sole discretion, to reward NEOs with annual cash bonuses based on the achievement of individual NEO performance, our business performance (including revenues and profits, without specified targets), and development generally.</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Historically, we have not typically granted stock options to NEOs on an annual basis. From time to time, however, we grant stock options, when appropriate, as the long-term incentive component of our compensation program. Our stock options allow our employees to purchase covered shares at a price equal to the fair market value on the date of grant. In some cases, we attach performance criteria to the vesting of the stock options. For 2020, the compensation committee approved option grants as discussed on page 33.</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Grants of Plan-Based Awards</w:t>
      </w:r>
    </w:p>
    <w:p>
      <w:pPr>
        <w:spacing w:after="0" w:line="2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following table sets forth each grant of equity award made to the NEOs during the year ended December 31, 2020. All such equity awards were granted under our 2016 Omnibus Incentive Plan and vest over a three-year period commencing on the first anniversary of the grant date, except for performance-based equity awards which vest as described below in the footnotes to the Grant of Plan-Based Awards table.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shd w:val="clear" w:color="auto" w:fill="003E64"/>
          </w:tcPr>
          <w:p>
            <w:pPr>
              <w:spacing w:after="0"/>
              <w:rPr>
                <w:sz w:val="14"/>
                <w:szCs w:val="14"/>
                <w:color w:val="auto"/>
              </w:rPr>
            </w:pPr>
          </w:p>
        </w:tc>
        <w:tc>
          <w:tcPr>
            <w:tcW w:w="1720" w:type="dxa"/>
            <w:vAlign w:val="bottom"/>
            <w:shd w:val="clear" w:color="auto" w:fill="003E64"/>
          </w:tcPr>
          <w:p>
            <w:pPr>
              <w:spacing w:after="0"/>
              <w:rPr>
                <w:sz w:val="14"/>
                <w:szCs w:val="14"/>
                <w:color w:val="auto"/>
              </w:rPr>
            </w:pPr>
          </w:p>
        </w:tc>
        <w:tc>
          <w:tcPr>
            <w:tcW w:w="1000" w:type="dxa"/>
            <w:vAlign w:val="bottom"/>
            <w:shd w:val="clear" w:color="auto" w:fill="003E64"/>
          </w:tcPr>
          <w:p>
            <w:pPr>
              <w:spacing w:after="0"/>
              <w:rPr>
                <w:sz w:val="14"/>
                <w:szCs w:val="14"/>
                <w:color w:val="auto"/>
              </w:rPr>
            </w:pPr>
          </w:p>
        </w:tc>
        <w:tc>
          <w:tcPr>
            <w:tcW w:w="940" w:type="dxa"/>
            <w:vAlign w:val="bottom"/>
            <w:shd w:val="clear" w:color="auto" w:fill="003E64"/>
          </w:tcPr>
          <w:p>
            <w:pPr>
              <w:spacing w:after="0"/>
              <w:rPr>
                <w:sz w:val="14"/>
                <w:szCs w:val="14"/>
                <w:color w:val="auto"/>
              </w:rPr>
            </w:pPr>
          </w:p>
        </w:tc>
        <w:tc>
          <w:tcPr>
            <w:tcW w:w="1300" w:type="dxa"/>
            <w:vAlign w:val="bottom"/>
            <w:shd w:val="clear" w:color="auto" w:fill="003E64"/>
          </w:tcPr>
          <w:p>
            <w:pPr>
              <w:spacing w:after="0"/>
              <w:rPr>
                <w:sz w:val="14"/>
                <w:szCs w:val="14"/>
                <w:color w:val="auto"/>
              </w:rPr>
            </w:pP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All Other Option</w:t>
            </w:r>
          </w:p>
        </w:tc>
        <w:tc>
          <w:tcPr>
            <w:tcW w:w="1380" w:type="dxa"/>
            <w:vAlign w:val="bottom"/>
            <w:shd w:val="clear" w:color="auto" w:fill="003E64"/>
          </w:tcPr>
          <w:p>
            <w:pPr>
              <w:jc w:val="center"/>
              <w:ind w:left="88"/>
              <w:spacing w:after="0"/>
              <w:rPr>
                <w:sz w:val="20"/>
                <w:szCs w:val="20"/>
                <w:color w:val="auto"/>
              </w:rPr>
            </w:pPr>
            <w:r>
              <w:rPr>
                <w:rFonts w:ascii="Arial" w:cs="Arial" w:eastAsia="Arial" w:hAnsi="Arial"/>
                <w:sz w:val="14"/>
                <w:szCs w:val="14"/>
                <w:b w:val="1"/>
                <w:bCs w:val="1"/>
                <w:color w:val="FFFFFF"/>
              </w:rPr>
              <w:t>Exercise or</w:t>
            </w:r>
          </w:p>
        </w:tc>
        <w:tc>
          <w:tcPr>
            <w:tcW w:w="1600" w:type="dxa"/>
            <w:vAlign w:val="bottom"/>
            <w:shd w:val="clear" w:color="auto" w:fill="003E64"/>
          </w:tcPr>
          <w:p>
            <w:pPr>
              <w:spacing w:after="0"/>
              <w:rPr>
                <w:sz w:val="14"/>
                <w:szCs w:val="14"/>
                <w:color w:val="auto"/>
              </w:rPr>
            </w:pPr>
          </w:p>
        </w:tc>
      </w:tr>
      <w:tr>
        <w:trPr>
          <w:trHeight w:val="162"/>
        </w:trPr>
        <w:tc>
          <w:tcPr>
            <w:tcW w:w="1560" w:type="dxa"/>
            <w:vAlign w:val="bottom"/>
            <w:shd w:val="clear" w:color="auto" w:fill="003E64"/>
          </w:tcPr>
          <w:p>
            <w:pPr>
              <w:spacing w:after="0"/>
              <w:rPr>
                <w:sz w:val="14"/>
                <w:szCs w:val="14"/>
                <w:color w:val="auto"/>
              </w:rPr>
            </w:pPr>
          </w:p>
        </w:tc>
        <w:tc>
          <w:tcPr>
            <w:tcW w:w="1720" w:type="dxa"/>
            <w:vAlign w:val="bottom"/>
            <w:shd w:val="clear" w:color="auto" w:fill="003E64"/>
          </w:tcPr>
          <w:p>
            <w:pPr>
              <w:spacing w:after="0"/>
              <w:rPr>
                <w:sz w:val="14"/>
                <w:szCs w:val="14"/>
                <w:color w:val="auto"/>
              </w:rPr>
            </w:pPr>
          </w:p>
        </w:tc>
        <w:tc>
          <w:tcPr>
            <w:tcW w:w="3240" w:type="dxa"/>
            <w:vAlign w:val="bottom"/>
            <w:gridSpan w:val="3"/>
            <w:shd w:val="clear" w:color="auto" w:fill="003E64"/>
          </w:tcPr>
          <w:p>
            <w:pPr>
              <w:jc w:val="right"/>
              <w:ind w:right="488"/>
              <w:spacing w:after="0"/>
              <w:rPr>
                <w:sz w:val="20"/>
                <w:szCs w:val="20"/>
                <w:color w:val="auto"/>
              </w:rPr>
            </w:pPr>
            <w:r>
              <w:rPr>
                <w:rFonts w:ascii="Arial" w:cs="Arial" w:eastAsia="Arial" w:hAnsi="Arial"/>
                <w:sz w:val="14"/>
                <w:szCs w:val="14"/>
                <w:b w:val="1"/>
                <w:bCs w:val="1"/>
                <w:color w:val="FFFFFF"/>
              </w:rPr>
              <w:t>Estimated Future Payouts Under</w:t>
            </w: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Awards: Number</w:t>
            </w:r>
          </w:p>
        </w:tc>
        <w:tc>
          <w:tcPr>
            <w:tcW w:w="1380" w:type="dxa"/>
            <w:vAlign w:val="bottom"/>
            <w:shd w:val="clear" w:color="auto" w:fill="003E64"/>
          </w:tcPr>
          <w:p>
            <w:pPr>
              <w:jc w:val="center"/>
              <w:ind w:left="88"/>
              <w:spacing w:after="0"/>
              <w:rPr>
                <w:sz w:val="20"/>
                <w:szCs w:val="20"/>
                <w:color w:val="auto"/>
              </w:rPr>
            </w:pPr>
            <w:r>
              <w:rPr>
                <w:rFonts w:ascii="Arial" w:cs="Arial" w:eastAsia="Arial" w:hAnsi="Arial"/>
                <w:sz w:val="14"/>
                <w:szCs w:val="14"/>
                <w:b w:val="1"/>
                <w:bCs w:val="1"/>
                <w:color w:val="FFFFFF"/>
              </w:rPr>
              <w:t>Base Price of</w:t>
            </w:r>
          </w:p>
        </w:tc>
        <w:tc>
          <w:tcPr>
            <w:tcW w:w="1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Grant Date Fair</w:t>
            </w:r>
          </w:p>
        </w:tc>
      </w:tr>
      <w:tr>
        <w:trPr>
          <w:trHeight w:val="189"/>
        </w:trPr>
        <w:tc>
          <w:tcPr>
            <w:tcW w:w="1560" w:type="dxa"/>
            <w:vAlign w:val="bottom"/>
            <w:shd w:val="clear" w:color="auto" w:fill="003E64"/>
          </w:tcPr>
          <w:p>
            <w:pPr>
              <w:spacing w:after="0"/>
              <w:rPr>
                <w:sz w:val="16"/>
                <w:szCs w:val="16"/>
                <w:color w:val="auto"/>
              </w:rPr>
            </w:pPr>
          </w:p>
        </w:tc>
        <w:tc>
          <w:tcPr>
            <w:tcW w:w="1720" w:type="dxa"/>
            <w:vAlign w:val="bottom"/>
            <w:shd w:val="clear" w:color="auto" w:fill="003E64"/>
          </w:tcPr>
          <w:p>
            <w:pPr>
              <w:spacing w:after="0"/>
              <w:rPr>
                <w:sz w:val="16"/>
                <w:szCs w:val="16"/>
                <w:color w:val="auto"/>
              </w:rPr>
            </w:pPr>
          </w:p>
        </w:tc>
        <w:tc>
          <w:tcPr>
            <w:tcW w:w="3240" w:type="dxa"/>
            <w:vAlign w:val="bottom"/>
            <w:gridSpan w:val="3"/>
            <w:shd w:val="clear" w:color="auto" w:fill="003E64"/>
          </w:tcPr>
          <w:p>
            <w:pPr>
              <w:jc w:val="right"/>
              <w:ind w:right="608"/>
              <w:spacing w:after="0"/>
              <w:rPr>
                <w:sz w:val="20"/>
                <w:szCs w:val="20"/>
                <w:color w:val="auto"/>
              </w:rPr>
            </w:pPr>
            <w:r>
              <w:rPr>
                <w:rFonts w:ascii="Arial" w:cs="Arial" w:eastAsia="Arial" w:hAnsi="Arial"/>
                <w:sz w:val="14"/>
                <w:szCs w:val="14"/>
                <w:b w:val="1"/>
                <w:bCs w:val="1"/>
                <w:color w:val="FFFFFF"/>
              </w:rPr>
              <w:t>Equity Incentive Plan Awards</w:t>
            </w: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of Securities</w:t>
            </w:r>
          </w:p>
        </w:tc>
        <w:tc>
          <w:tcPr>
            <w:tcW w:w="1380" w:type="dxa"/>
            <w:vAlign w:val="bottom"/>
            <w:shd w:val="clear" w:color="auto" w:fill="003E64"/>
          </w:tcPr>
          <w:p>
            <w:pPr>
              <w:jc w:val="center"/>
              <w:ind w:left="88"/>
              <w:spacing w:after="0"/>
              <w:rPr>
                <w:sz w:val="20"/>
                <w:szCs w:val="20"/>
                <w:color w:val="auto"/>
              </w:rPr>
            </w:pPr>
            <w:r>
              <w:rPr>
                <w:rFonts w:ascii="Arial" w:cs="Arial" w:eastAsia="Arial" w:hAnsi="Arial"/>
                <w:sz w:val="14"/>
                <w:szCs w:val="14"/>
                <w:b w:val="1"/>
                <w:bCs w:val="1"/>
                <w:color w:val="FFFFFF"/>
              </w:rPr>
              <w:t>Option</w:t>
            </w:r>
          </w:p>
        </w:tc>
        <w:tc>
          <w:tcPr>
            <w:tcW w:w="1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Value of Stock and</w:t>
            </w:r>
          </w:p>
        </w:tc>
      </w:tr>
      <w:tr>
        <w:trPr>
          <w:trHeight w:val="162"/>
        </w:trPr>
        <w:tc>
          <w:tcPr>
            <w:tcW w:w="1560" w:type="dxa"/>
            <w:vAlign w:val="bottom"/>
            <w:shd w:val="clear" w:color="auto" w:fill="003E64"/>
          </w:tcPr>
          <w:p>
            <w:pPr>
              <w:spacing w:after="0"/>
              <w:rPr>
                <w:sz w:val="14"/>
                <w:szCs w:val="14"/>
                <w:color w:val="auto"/>
              </w:rPr>
            </w:pPr>
          </w:p>
        </w:tc>
        <w:tc>
          <w:tcPr>
            <w:tcW w:w="1720" w:type="dxa"/>
            <w:vAlign w:val="bottom"/>
            <w:shd w:val="clear" w:color="auto" w:fill="003E64"/>
          </w:tcPr>
          <w:p>
            <w:pPr>
              <w:spacing w:after="0"/>
              <w:rPr>
                <w:sz w:val="14"/>
                <w:szCs w:val="14"/>
                <w:color w:val="auto"/>
              </w:rPr>
            </w:pPr>
          </w:p>
        </w:tc>
        <w:tc>
          <w:tcPr>
            <w:tcW w:w="1000" w:type="dxa"/>
            <w:vAlign w:val="bottom"/>
            <w:shd w:val="clear" w:color="auto" w:fill="003E64"/>
          </w:tcPr>
          <w:p>
            <w:pPr>
              <w:jc w:val="right"/>
              <w:ind w:right="88"/>
              <w:spacing w:after="0"/>
              <w:rPr>
                <w:sz w:val="20"/>
                <w:szCs w:val="20"/>
                <w:color w:val="auto"/>
              </w:rPr>
            </w:pPr>
            <w:r>
              <w:rPr>
                <w:rFonts w:ascii="Arial" w:cs="Arial" w:eastAsia="Arial" w:hAnsi="Arial"/>
                <w:sz w:val="14"/>
                <w:szCs w:val="14"/>
                <w:b w:val="1"/>
                <w:bCs w:val="1"/>
                <w:color w:val="FFFFFF"/>
              </w:rPr>
              <w:t>Threshold</w:t>
            </w:r>
          </w:p>
        </w:tc>
        <w:tc>
          <w:tcPr>
            <w:tcW w:w="940" w:type="dxa"/>
            <w:vAlign w:val="bottom"/>
            <w:shd w:val="clear" w:color="auto" w:fill="003E64"/>
          </w:tcPr>
          <w:p>
            <w:pPr>
              <w:spacing w:after="0"/>
              <w:rPr>
                <w:sz w:val="14"/>
                <w:szCs w:val="14"/>
                <w:color w:val="auto"/>
              </w:rPr>
            </w:pPr>
          </w:p>
        </w:tc>
        <w:tc>
          <w:tcPr>
            <w:tcW w:w="1300" w:type="dxa"/>
            <w:vAlign w:val="bottom"/>
            <w:shd w:val="clear" w:color="auto" w:fill="003E64"/>
          </w:tcPr>
          <w:p>
            <w:pPr>
              <w:spacing w:after="0"/>
              <w:rPr>
                <w:sz w:val="14"/>
                <w:szCs w:val="14"/>
                <w:color w:val="auto"/>
              </w:rPr>
            </w:pP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Underlying</w:t>
            </w:r>
          </w:p>
        </w:tc>
        <w:tc>
          <w:tcPr>
            <w:tcW w:w="1380" w:type="dxa"/>
            <w:vAlign w:val="bottom"/>
            <w:shd w:val="clear" w:color="auto" w:fill="003E64"/>
          </w:tcPr>
          <w:p>
            <w:pPr>
              <w:jc w:val="center"/>
              <w:ind w:left="108"/>
              <w:spacing w:after="0"/>
              <w:rPr>
                <w:sz w:val="20"/>
                <w:szCs w:val="20"/>
                <w:color w:val="auto"/>
              </w:rPr>
            </w:pPr>
            <w:r>
              <w:rPr>
                <w:rFonts w:ascii="Arial" w:cs="Arial" w:eastAsia="Arial" w:hAnsi="Arial"/>
                <w:sz w:val="14"/>
                <w:szCs w:val="14"/>
                <w:b w:val="1"/>
                <w:bCs w:val="1"/>
                <w:color w:val="FFFFFF"/>
              </w:rPr>
              <w:t>Awards</w:t>
            </w:r>
          </w:p>
        </w:tc>
        <w:tc>
          <w:tcPr>
            <w:tcW w:w="1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175"/>
        </w:trPr>
        <w:tc>
          <w:tcPr>
            <w:tcW w:w="156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w:t>
            </w:r>
          </w:p>
        </w:tc>
        <w:tc>
          <w:tcPr>
            <w:tcW w:w="17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Grant Date</w:t>
            </w:r>
          </w:p>
        </w:tc>
        <w:tc>
          <w:tcPr>
            <w:tcW w:w="1000" w:type="dxa"/>
            <w:vAlign w:val="bottom"/>
            <w:shd w:val="clear" w:color="auto" w:fill="003E64"/>
          </w:tcPr>
          <w:p>
            <w:pPr>
              <w:jc w:val="right"/>
              <w:ind w:right="348"/>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003E64"/>
          </w:tcPr>
          <w:p>
            <w:pPr>
              <w:jc w:val="right"/>
              <w:ind w:right="88"/>
              <w:spacing w:after="0"/>
              <w:rPr>
                <w:sz w:val="20"/>
                <w:szCs w:val="20"/>
                <w:color w:val="auto"/>
              </w:rPr>
            </w:pPr>
            <w:r>
              <w:rPr>
                <w:rFonts w:ascii="Arial" w:cs="Arial" w:eastAsia="Arial" w:hAnsi="Arial"/>
                <w:sz w:val="14"/>
                <w:szCs w:val="14"/>
                <w:b w:val="1"/>
                <w:bCs w:val="1"/>
                <w:color w:val="FFFFFF"/>
              </w:rPr>
              <w:t>Target (#)</w:t>
            </w:r>
          </w:p>
        </w:tc>
        <w:tc>
          <w:tcPr>
            <w:tcW w:w="1300" w:type="dxa"/>
            <w:vAlign w:val="bottom"/>
            <w:shd w:val="clear" w:color="auto" w:fill="003E64"/>
          </w:tcPr>
          <w:p>
            <w:pPr>
              <w:jc w:val="right"/>
              <w:ind w:right="208"/>
              <w:spacing w:after="0"/>
              <w:rPr>
                <w:sz w:val="20"/>
                <w:szCs w:val="20"/>
                <w:color w:val="auto"/>
              </w:rPr>
            </w:pPr>
            <w:r>
              <w:rPr>
                <w:rFonts w:ascii="Arial" w:cs="Arial" w:eastAsia="Arial" w:hAnsi="Arial"/>
                <w:sz w:val="14"/>
                <w:szCs w:val="14"/>
                <w:b w:val="1"/>
                <w:bCs w:val="1"/>
                <w:color w:val="FFFFFF"/>
              </w:rPr>
              <w:t>Maximum (#)</w:t>
            </w:r>
          </w:p>
        </w:tc>
        <w:tc>
          <w:tcPr>
            <w:tcW w:w="17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Options (#)</w:t>
            </w:r>
          </w:p>
        </w:tc>
        <w:tc>
          <w:tcPr>
            <w:tcW w:w="1380" w:type="dxa"/>
            <w:vAlign w:val="bottom"/>
            <w:shd w:val="clear" w:color="auto" w:fill="003E64"/>
          </w:tcPr>
          <w:p>
            <w:pPr>
              <w:jc w:val="center"/>
              <w:ind w:left="88"/>
              <w:spacing w:after="0"/>
              <w:rPr>
                <w:sz w:val="20"/>
                <w:szCs w:val="20"/>
                <w:color w:val="auto"/>
              </w:rPr>
            </w:pPr>
            <w:r>
              <w:rPr>
                <w:rFonts w:ascii="Arial" w:cs="Arial" w:eastAsia="Arial" w:hAnsi="Arial"/>
                <w:sz w:val="14"/>
                <w:szCs w:val="14"/>
                <w:b w:val="1"/>
                <w:bCs w:val="1"/>
                <w:color w:val="FFFFFF"/>
              </w:rPr>
              <w:t>($/Sh) (1)</w:t>
            </w:r>
          </w:p>
        </w:tc>
        <w:tc>
          <w:tcPr>
            <w:tcW w:w="1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Awards(2)</w:t>
            </w:r>
          </w:p>
        </w:tc>
      </w:tr>
      <w:tr>
        <w:trPr>
          <w:trHeight w:val="156"/>
        </w:trPr>
        <w:tc>
          <w:tcPr>
            <w:tcW w:w="1560" w:type="dxa"/>
            <w:vAlign w:val="bottom"/>
          </w:tcPr>
          <w:p>
            <w:pPr>
              <w:spacing w:after="0" w:line="157" w:lineRule="exact"/>
              <w:rPr>
                <w:sz w:val="20"/>
                <w:szCs w:val="20"/>
                <w:color w:val="auto"/>
              </w:rPr>
            </w:pPr>
            <w:r>
              <w:rPr>
                <w:rFonts w:ascii="Arial" w:cs="Arial" w:eastAsia="Arial" w:hAnsi="Arial"/>
                <w:sz w:val="14"/>
                <w:szCs w:val="14"/>
                <w:color w:val="4D4D4F"/>
              </w:rPr>
              <w:t>David H. Wang</w:t>
            </w:r>
          </w:p>
        </w:tc>
        <w:tc>
          <w:tcPr>
            <w:tcW w:w="1720" w:type="dxa"/>
            <w:vAlign w:val="bottom"/>
          </w:tcPr>
          <w:p>
            <w:pPr>
              <w:jc w:val="center"/>
              <w:spacing w:after="0" w:line="157" w:lineRule="exact"/>
              <w:rPr>
                <w:sz w:val="20"/>
                <w:szCs w:val="20"/>
                <w:color w:val="auto"/>
              </w:rPr>
            </w:pPr>
            <w:r>
              <w:rPr>
                <w:rFonts w:ascii="Arial" w:cs="Arial" w:eastAsia="Arial" w:hAnsi="Arial"/>
                <w:sz w:val="14"/>
                <w:szCs w:val="14"/>
                <w:color w:val="4D4D4F"/>
              </w:rPr>
              <w:t>January 1, 2020(3)</w:t>
            </w:r>
          </w:p>
        </w:tc>
        <w:tc>
          <w:tcPr>
            <w:tcW w:w="1000" w:type="dxa"/>
            <w:vAlign w:val="bottom"/>
          </w:tcPr>
          <w:p>
            <w:pPr>
              <w:jc w:val="right"/>
              <w:ind w:right="128"/>
              <w:spacing w:after="0" w:line="157" w:lineRule="exact"/>
              <w:rPr>
                <w:sz w:val="20"/>
                <w:szCs w:val="20"/>
                <w:color w:val="auto"/>
              </w:rPr>
            </w:pPr>
            <w:r>
              <w:rPr>
                <w:rFonts w:ascii="Arial" w:cs="Arial" w:eastAsia="Arial" w:hAnsi="Arial"/>
                <w:sz w:val="14"/>
                <w:szCs w:val="14"/>
                <w:color w:val="4D4D4F"/>
              </w:rPr>
              <w:t>161,538</w:t>
            </w:r>
          </w:p>
        </w:tc>
        <w:tc>
          <w:tcPr>
            <w:tcW w:w="940" w:type="dxa"/>
            <w:vAlign w:val="bottom"/>
          </w:tcPr>
          <w:p>
            <w:pPr>
              <w:jc w:val="right"/>
              <w:ind w:right="108"/>
              <w:spacing w:after="0" w:line="157" w:lineRule="exact"/>
              <w:rPr>
                <w:sz w:val="20"/>
                <w:szCs w:val="20"/>
                <w:color w:val="auto"/>
              </w:rPr>
            </w:pPr>
            <w:r>
              <w:rPr>
                <w:rFonts w:ascii="Arial" w:cs="Arial" w:eastAsia="Arial" w:hAnsi="Arial"/>
                <w:sz w:val="14"/>
                <w:szCs w:val="14"/>
                <w:color w:val="4D4D4F"/>
              </w:rPr>
              <w:t>161,538</w:t>
            </w:r>
          </w:p>
        </w:tc>
        <w:tc>
          <w:tcPr>
            <w:tcW w:w="1300" w:type="dxa"/>
            <w:vAlign w:val="bottom"/>
          </w:tcPr>
          <w:p>
            <w:pPr>
              <w:jc w:val="right"/>
              <w:ind w:right="228"/>
              <w:spacing w:after="0" w:line="157" w:lineRule="exact"/>
              <w:rPr>
                <w:sz w:val="20"/>
                <w:szCs w:val="20"/>
                <w:color w:val="auto"/>
              </w:rPr>
            </w:pPr>
            <w:r>
              <w:rPr>
                <w:rFonts w:ascii="Arial" w:cs="Arial" w:eastAsia="Arial" w:hAnsi="Arial"/>
                <w:sz w:val="14"/>
                <w:szCs w:val="14"/>
                <w:color w:val="4D4D4F"/>
              </w:rPr>
              <w:t>538,462</w:t>
            </w:r>
          </w:p>
        </w:tc>
        <w:tc>
          <w:tcPr>
            <w:tcW w:w="1740" w:type="dxa"/>
            <w:vAlign w:val="bottom"/>
          </w:tcPr>
          <w:p>
            <w:pPr>
              <w:jc w:val="right"/>
              <w:ind w:right="248"/>
              <w:spacing w:after="0" w:line="157" w:lineRule="exact"/>
              <w:rPr>
                <w:sz w:val="20"/>
                <w:szCs w:val="20"/>
                <w:color w:val="auto"/>
              </w:rPr>
            </w:pPr>
            <w:r>
              <w:rPr>
                <w:rFonts w:ascii="Arial" w:cs="Arial" w:eastAsia="Arial" w:hAnsi="Arial"/>
                <w:sz w:val="14"/>
                <w:szCs w:val="14"/>
                <w:color w:val="4D4D4F"/>
              </w:rPr>
              <w:t>—</w:t>
            </w:r>
          </w:p>
        </w:tc>
        <w:tc>
          <w:tcPr>
            <w:tcW w:w="1380" w:type="dxa"/>
            <w:vAlign w:val="bottom"/>
          </w:tcPr>
          <w:p>
            <w:pPr>
              <w:jc w:val="right"/>
              <w:ind w:right="88"/>
              <w:spacing w:after="0" w:line="157" w:lineRule="exact"/>
              <w:rPr>
                <w:sz w:val="20"/>
                <w:szCs w:val="20"/>
                <w:color w:val="auto"/>
              </w:rPr>
            </w:pPr>
            <w:r>
              <w:rPr>
                <w:rFonts w:ascii="Arial" w:cs="Arial" w:eastAsia="Arial" w:hAnsi="Arial"/>
                <w:sz w:val="14"/>
                <w:szCs w:val="14"/>
                <w:color w:val="4D4D4F"/>
              </w:rPr>
              <w:t>$1.89</w:t>
            </w:r>
          </w:p>
        </w:tc>
        <w:tc>
          <w:tcPr>
            <w:tcW w:w="1600" w:type="dxa"/>
            <w:vAlign w:val="bottom"/>
          </w:tcPr>
          <w:p>
            <w:pPr>
              <w:jc w:val="right"/>
              <w:ind w:right="68"/>
              <w:spacing w:after="0" w:line="157" w:lineRule="exact"/>
              <w:rPr>
                <w:sz w:val="20"/>
                <w:szCs w:val="20"/>
                <w:color w:val="auto"/>
              </w:rPr>
            </w:pPr>
            <w:r>
              <w:rPr>
                <w:rFonts w:ascii="Arial" w:cs="Arial" w:eastAsia="Arial" w:hAnsi="Arial"/>
                <w:sz w:val="14"/>
                <w:szCs w:val="14"/>
                <w:color w:val="4D4D4F"/>
              </w:rPr>
              <w:t>$122,190</w:t>
            </w:r>
          </w:p>
        </w:tc>
      </w:tr>
      <w:tr>
        <w:trPr>
          <w:trHeight w:val="222"/>
        </w:trPr>
        <w:tc>
          <w:tcPr>
            <w:tcW w:w="15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4D4D4F"/>
              </w:rPr>
              <w:t>March 20, 2020(4)(5)</w:t>
            </w:r>
          </w:p>
        </w:tc>
        <w:tc>
          <w:tcPr>
            <w:tcW w:w="1000" w:type="dxa"/>
            <w:vAlign w:val="bottom"/>
          </w:tcPr>
          <w:p>
            <w:pPr>
              <w:jc w:val="right"/>
              <w:ind w:right="128"/>
              <w:spacing w:after="0"/>
              <w:rPr>
                <w:sz w:val="20"/>
                <w:szCs w:val="20"/>
                <w:color w:val="auto"/>
              </w:rPr>
            </w:pPr>
            <w:r>
              <w:rPr>
                <w:rFonts w:ascii="Arial" w:cs="Arial" w:eastAsia="Arial" w:hAnsi="Arial"/>
                <w:sz w:val="14"/>
                <w:szCs w:val="14"/>
                <w:color w:val="4D4D4F"/>
              </w:rPr>
              <w:t>181,799</w:t>
            </w:r>
          </w:p>
        </w:tc>
        <w:tc>
          <w:tcPr>
            <w:tcW w:w="940" w:type="dxa"/>
            <w:vAlign w:val="bottom"/>
          </w:tcPr>
          <w:p>
            <w:pPr>
              <w:jc w:val="right"/>
              <w:ind w:right="108"/>
              <w:spacing w:after="0"/>
              <w:rPr>
                <w:sz w:val="20"/>
                <w:szCs w:val="20"/>
                <w:color w:val="auto"/>
              </w:rPr>
            </w:pPr>
            <w:r>
              <w:rPr>
                <w:rFonts w:ascii="Arial" w:cs="Arial" w:eastAsia="Arial" w:hAnsi="Arial"/>
                <w:sz w:val="14"/>
                <w:szCs w:val="14"/>
                <w:color w:val="4D4D4F"/>
              </w:rPr>
              <w:t>363,599</w:t>
            </w:r>
          </w:p>
        </w:tc>
        <w:tc>
          <w:tcPr>
            <w:tcW w:w="1300" w:type="dxa"/>
            <w:vAlign w:val="bottom"/>
          </w:tcPr>
          <w:p>
            <w:pPr>
              <w:jc w:val="right"/>
              <w:ind w:right="228"/>
              <w:spacing w:after="0"/>
              <w:rPr>
                <w:sz w:val="20"/>
                <w:szCs w:val="20"/>
                <w:color w:val="auto"/>
              </w:rPr>
            </w:pPr>
            <w:r>
              <w:rPr>
                <w:rFonts w:ascii="Arial" w:cs="Arial" w:eastAsia="Arial" w:hAnsi="Arial"/>
                <w:sz w:val="14"/>
                <w:szCs w:val="14"/>
                <w:color w:val="4D4D4F"/>
              </w:rPr>
              <w:t>545,399</w:t>
            </w:r>
          </w:p>
        </w:tc>
        <w:tc>
          <w:tcPr>
            <w:tcW w:w="1740" w:type="dxa"/>
            <w:vAlign w:val="bottom"/>
          </w:tcPr>
          <w:p>
            <w:pPr>
              <w:jc w:val="right"/>
              <w:ind w:right="248"/>
              <w:spacing w:after="0"/>
              <w:rPr>
                <w:sz w:val="20"/>
                <w:szCs w:val="20"/>
                <w:color w:val="auto"/>
              </w:rPr>
            </w:pPr>
            <w:r>
              <w:rPr>
                <w:rFonts w:ascii="Arial" w:cs="Arial" w:eastAsia="Arial" w:hAnsi="Arial"/>
                <w:sz w:val="14"/>
                <w:szCs w:val="14"/>
                <w:color w:val="4D4D4F"/>
              </w:rPr>
              <w:t>545,399</w:t>
            </w:r>
          </w:p>
        </w:tc>
        <w:tc>
          <w:tcPr>
            <w:tcW w:w="1380" w:type="dxa"/>
            <w:vAlign w:val="bottom"/>
          </w:tcPr>
          <w:p>
            <w:pPr>
              <w:jc w:val="right"/>
              <w:ind w:right="88"/>
              <w:spacing w:after="0"/>
              <w:rPr>
                <w:sz w:val="20"/>
                <w:szCs w:val="20"/>
                <w:color w:val="auto"/>
              </w:rPr>
            </w:pPr>
            <w:r>
              <w:rPr>
                <w:rFonts w:ascii="Arial" w:cs="Arial" w:eastAsia="Arial" w:hAnsi="Arial"/>
                <w:sz w:val="14"/>
                <w:szCs w:val="14"/>
                <w:color w:val="4D4D4F"/>
              </w:rPr>
              <w:t>22.07</w:t>
            </w:r>
          </w:p>
        </w:tc>
        <w:tc>
          <w:tcPr>
            <w:tcW w:w="1600" w:type="dxa"/>
            <w:vAlign w:val="bottom"/>
          </w:tcPr>
          <w:p>
            <w:pPr>
              <w:jc w:val="right"/>
              <w:ind w:right="68"/>
              <w:spacing w:after="0"/>
              <w:rPr>
                <w:sz w:val="20"/>
                <w:szCs w:val="20"/>
                <w:color w:val="auto"/>
              </w:rPr>
            </w:pPr>
            <w:r>
              <w:rPr>
                <w:rFonts w:ascii="Arial" w:cs="Arial" w:eastAsia="Arial" w:hAnsi="Arial"/>
                <w:sz w:val="14"/>
                <w:szCs w:val="14"/>
                <w:color w:val="4D4D4F"/>
              </w:rPr>
              <w:t>4,841,485</w:t>
            </w:r>
          </w:p>
        </w:tc>
      </w:tr>
      <w:tr>
        <w:trPr>
          <w:trHeight w:val="189"/>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4D4D4F"/>
              </w:rPr>
              <w:t>Mark McKechnie</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4D4D4F"/>
                <w:w w:val="99"/>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4D4D4F"/>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4D4D4F"/>
              </w:rPr>
              <w:t>—</w:t>
            </w: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w:t>
            </w:r>
          </w:p>
        </w:tc>
        <w:tc>
          <w:tcPr>
            <w:tcW w:w="17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w:t>
            </w:r>
          </w:p>
        </w:tc>
      </w:tr>
      <w:tr>
        <w:trPr>
          <w:trHeight w:val="189"/>
        </w:trPr>
        <w:tc>
          <w:tcPr>
            <w:tcW w:w="1560" w:type="dxa"/>
            <w:vAlign w:val="bottom"/>
          </w:tcPr>
          <w:p>
            <w:pPr>
              <w:spacing w:after="0"/>
              <w:rPr>
                <w:sz w:val="20"/>
                <w:szCs w:val="20"/>
                <w:color w:val="auto"/>
              </w:rPr>
            </w:pPr>
            <w:r>
              <w:rPr>
                <w:rFonts w:ascii="Arial" w:cs="Arial" w:eastAsia="Arial" w:hAnsi="Arial"/>
                <w:sz w:val="14"/>
                <w:szCs w:val="14"/>
                <w:color w:val="4D4D4F"/>
              </w:rPr>
              <w:t>Jian Wang</w:t>
            </w:r>
          </w:p>
        </w:tc>
        <w:tc>
          <w:tcPr>
            <w:tcW w:w="1720" w:type="dxa"/>
            <w:vAlign w:val="bottom"/>
          </w:tcPr>
          <w:p>
            <w:pPr>
              <w:jc w:val="center"/>
              <w:spacing w:after="0"/>
              <w:rPr>
                <w:sz w:val="20"/>
                <w:szCs w:val="20"/>
                <w:color w:val="auto"/>
              </w:rPr>
            </w:pPr>
            <w:r>
              <w:rPr>
                <w:rFonts w:ascii="Arial" w:cs="Arial" w:eastAsia="Arial" w:hAnsi="Arial"/>
                <w:sz w:val="14"/>
                <w:szCs w:val="14"/>
                <w:color w:val="4D4D4F"/>
              </w:rPr>
              <w:t>January 1, 2020(3)</w:t>
            </w:r>
          </w:p>
        </w:tc>
        <w:tc>
          <w:tcPr>
            <w:tcW w:w="1000" w:type="dxa"/>
            <w:vAlign w:val="bottom"/>
          </w:tcPr>
          <w:p>
            <w:pPr>
              <w:jc w:val="right"/>
              <w:ind w:right="128"/>
              <w:spacing w:after="0"/>
              <w:rPr>
                <w:sz w:val="20"/>
                <w:szCs w:val="20"/>
                <w:color w:val="auto"/>
              </w:rPr>
            </w:pPr>
            <w:r>
              <w:rPr>
                <w:rFonts w:ascii="Arial" w:cs="Arial" w:eastAsia="Arial" w:hAnsi="Arial"/>
                <w:sz w:val="14"/>
                <w:szCs w:val="14"/>
                <w:color w:val="4D4D4F"/>
              </w:rPr>
              <w:t>89,538</w:t>
            </w:r>
          </w:p>
        </w:tc>
        <w:tc>
          <w:tcPr>
            <w:tcW w:w="940" w:type="dxa"/>
            <w:vAlign w:val="bottom"/>
          </w:tcPr>
          <w:p>
            <w:pPr>
              <w:jc w:val="right"/>
              <w:ind w:right="108"/>
              <w:spacing w:after="0"/>
              <w:rPr>
                <w:sz w:val="20"/>
                <w:szCs w:val="20"/>
                <w:color w:val="auto"/>
              </w:rPr>
            </w:pPr>
            <w:r>
              <w:rPr>
                <w:rFonts w:ascii="Arial" w:cs="Arial" w:eastAsia="Arial" w:hAnsi="Arial"/>
                <w:sz w:val="14"/>
                <w:szCs w:val="14"/>
                <w:color w:val="4D4D4F"/>
              </w:rPr>
              <w:t>89,538</w:t>
            </w:r>
          </w:p>
        </w:tc>
        <w:tc>
          <w:tcPr>
            <w:tcW w:w="1300" w:type="dxa"/>
            <w:vAlign w:val="bottom"/>
          </w:tcPr>
          <w:p>
            <w:pPr>
              <w:jc w:val="right"/>
              <w:ind w:right="228"/>
              <w:spacing w:after="0"/>
              <w:rPr>
                <w:sz w:val="20"/>
                <w:szCs w:val="20"/>
                <w:color w:val="auto"/>
              </w:rPr>
            </w:pPr>
            <w:r>
              <w:rPr>
                <w:rFonts w:ascii="Arial" w:cs="Arial" w:eastAsia="Arial" w:hAnsi="Arial"/>
                <w:sz w:val="14"/>
                <w:szCs w:val="14"/>
                <w:color w:val="4D4D4F"/>
              </w:rPr>
              <w:t>298,462</w:t>
            </w:r>
          </w:p>
        </w:tc>
        <w:tc>
          <w:tcPr>
            <w:tcW w:w="1740" w:type="dxa"/>
            <w:vAlign w:val="bottom"/>
          </w:tcPr>
          <w:p>
            <w:pPr>
              <w:jc w:val="right"/>
              <w:ind w:right="248"/>
              <w:spacing w:after="0"/>
              <w:rPr>
                <w:sz w:val="20"/>
                <w:szCs w:val="20"/>
                <w:color w:val="auto"/>
              </w:rPr>
            </w:pPr>
            <w:r>
              <w:rPr>
                <w:rFonts w:ascii="Arial" w:cs="Arial" w:eastAsia="Arial" w:hAnsi="Arial"/>
                <w:sz w:val="14"/>
                <w:szCs w:val="14"/>
                <w:color w:val="4D4D4F"/>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4D4D4F"/>
              </w:rPr>
              <w:t>1.89</w:t>
            </w:r>
          </w:p>
        </w:tc>
        <w:tc>
          <w:tcPr>
            <w:tcW w:w="1600" w:type="dxa"/>
            <w:vAlign w:val="bottom"/>
          </w:tcPr>
          <w:p>
            <w:pPr>
              <w:jc w:val="right"/>
              <w:ind w:right="68"/>
              <w:spacing w:after="0"/>
              <w:rPr>
                <w:sz w:val="20"/>
                <w:szCs w:val="20"/>
                <w:color w:val="auto"/>
              </w:rPr>
            </w:pPr>
            <w:r>
              <w:rPr>
                <w:rFonts w:ascii="Arial" w:cs="Arial" w:eastAsia="Arial" w:hAnsi="Arial"/>
                <w:sz w:val="14"/>
                <w:szCs w:val="14"/>
                <w:color w:val="4D4D4F"/>
              </w:rPr>
              <w:t>67,728</w:t>
            </w:r>
          </w:p>
        </w:tc>
      </w:tr>
      <w:tr>
        <w:trPr>
          <w:trHeight w:val="189"/>
        </w:trPr>
        <w:tc>
          <w:tcPr>
            <w:tcW w:w="1560" w:type="dxa"/>
            <w:vAlign w:val="bottom"/>
            <w:shd w:val="clear" w:color="auto" w:fill="CCEEFF"/>
          </w:tcPr>
          <w:p>
            <w:pPr>
              <w:spacing w:after="0"/>
              <w:rPr>
                <w:sz w:val="20"/>
                <w:szCs w:val="20"/>
                <w:color w:val="auto"/>
              </w:rPr>
            </w:pPr>
            <w:r>
              <w:rPr>
                <w:rFonts w:ascii="Arial" w:cs="Arial" w:eastAsia="Arial" w:hAnsi="Arial"/>
                <w:sz w:val="14"/>
                <w:szCs w:val="14"/>
                <w:color w:val="4D4D4F"/>
              </w:rPr>
              <w:t>Lisa Feng</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January 1, 2020(3)</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4D4D4F"/>
              </w:rPr>
              <w:t>78,000</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4D4D4F"/>
              </w:rPr>
              <w:t>78,000</w:t>
            </w: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260,000</w:t>
            </w:r>
          </w:p>
        </w:tc>
        <w:tc>
          <w:tcPr>
            <w:tcW w:w="17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4D4D4F"/>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1.89</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59,001</w:t>
            </w:r>
          </w:p>
        </w:tc>
      </w:tr>
      <w:tr>
        <w:trPr>
          <w:trHeight w:val="189"/>
        </w:trPr>
        <w:tc>
          <w:tcPr>
            <w:tcW w:w="156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4D4D4F"/>
              </w:rPr>
              <w:t>April 28, 2020(4)</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4D4D4F"/>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4D4D4F"/>
              </w:rPr>
              <w:t>—</w:t>
            </w:r>
          </w:p>
        </w:tc>
        <w:tc>
          <w:tcPr>
            <w:tcW w:w="13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w:t>
            </w:r>
          </w:p>
        </w:tc>
        <w:tc>
          <w:tcPr>
            <w:tcW w:w="17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4D4D4F"/>
              </w:rPr>
              <w:t>10,000</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4D4D4F"/>
              </w:rPr>
              <w:t>38.26</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166,808</w:t>
            </w:r>
          </w:p>
        </w:tc>
      </w:tr>
      <w:tr>
        <w:trPr>
          <w:trHeight w:val="156"/>
        </w:trPr>
        <w:tc>
          <w:tcPr>
            <w:tcW w:w="1560" w:type="dxa"/>
            <w:vAlign w:val="bottom"/>
          </w:tcPr>
          <w:p>
            <w:pPr>
              <w:spacing w:after="0" w:line="157" w:lineRule="exact"/>
              <w:rPr>
                <w:sz w:val="20"/>
                <w:szCs w:val="20"/>
                <w:color w:val="auto"/>
              </w:rPr>
            </w:pPr>
            <w:r>
              <w:rPr>
                <w:rFonts w:ascii="Arial" w:cs="Arial" w:eastAsia="Arial" w:hAnsi="Arial"/>
                <w:sz w:val="14"/>
                <w:szCs w:val="14"/>
                <w:color w:val="4D4D4F"/>
              </w:rPr>
              <w:t>Fuping Chen</w:t>
            </w:r>
          </w:p>
        </w:tc>
        <w:tc>
          <w:tcPr>
            <w:tcW w:w="1720" w:type="dxa"/>
            <w:vAlign w:val="bottom"/>
          </w:tcPr>
          <w:p>
            <w:pPr>
              <w:jc w:val="center"/>
              <w:spacing w:after="0" w:line="157" w:lineRule="exact"/>
              <w:rPr>
                <w:sz w:val="20"/>
                <w:szCs w:val="20"/>
                <w:color w:val="auto"/>
              </w:rPr>
            </w:pPr>
            <w:r>
              <w:rPr>
                <w:rFonts w:ascii="Arial" w:cs="Arial" w:eastAsia="Arial" w:hAnsi="Arial"/>
                <w:sz w:val="14"/>
                <w:szCs w:val="14"/>
                <w:color w:val="4D4D4F"/>
              </w:rPr>
              <w:t>January 1, 2020(3)</w:t>
            </w:r>
          </w:p>
        </w:tc>
        <w:tc>
          <w:tcPr>
            <w:tcW w:w="1000" w:type="dxa"/>
            <w:vAlign w:val="bottom"/>
          </w:tcPr>
          <w:p>
            <w:pPr>
              <w:jc w:val="right"/>
              <w:ind w:right="128"/>
              <w:spacing w:after="0" w:line="157" w:lineRule="exact"/>
              <w:rPr>
                <w:sz w:val="20"/>
                <w:szCs w:val="20"/>
                <w:color w:val="auto"/>
              </w:rPr>
            </w:pPr>
            <w:r>
              <w:rPr>
                <w:rFonts w:ascii="Arial" w:cs="Arial" w:eastAsia="Arial" w:hAnsi="Arial"/>
                <w:sz w:val="14"/>
                <w:szCs w:val="14"/>
                <w:color w:val="4D4D4F"/>
              </w:rPr>
              <w:t>78,000</w:t>
            </w:r>
          </w:p>
        </w:tc>
        <w:tc>
          <w:tcPr>
            <w:tcW w:w="940" w:type="dxa"/>
            <w:vAlign w:val="bottom"/>
          </w:tcPr>
          <w:p>
            <w:pPr>
              <w:jc w:val="right"/>
              <w:ind w:right="108"/>
              <w:spacing w:after="0" w:line="157" w:lineRule="exact"/>
              <w:rPr>
                <w:sz w:val="20"/>
                <w:szCs w:val="20"/>
                <w:color w:val="auto"/>
              </w:rPr>
            </w:pPr>
            <w:r>
              <w:rPr>
                <w:rFonts w:ascii="Arial" w:cs="Arial" w:eastAsia="Arial" w:hAnsi="Arial"/>
                <w:sz w:val="14"/>
                <w:szCs w:val="14"/>
                <w:color w:val="4D4D4F"/>
              </w:rPr>
              <w:t>78,000</w:t>
            </w:r>
          </w:p>
        </w:tc>
        <w:tc>
          <w:tcPr>
            <w:tcW w:w="1300" w:type="dxa"/>
            <w:vAlign w:val="bottom"/>
          </w:tcPr>
          <w:p>
            <w:pPr>
              <w:jc w:val="right"/>
              <w:ind w:right="228"/>
              <w:spacing w:after="0" w:line="157" w:lineRule="exact"/>
              <w:rPr>
                <w:sz w:val="20"/>
                <w:szCs w:val="20"/>
                <w:color w:val="auto"/>
              </w:rPr>
            </w:pPr>
            <w:r>
              <w:rPr>
                <w:rFonts w:ascii="Arial" w:cs="Arial" w:eastAsia="Arial" w:hAnsi="Arial"/>
                <w:sz w:val="14"/>
                <w:szCs w:val="14"/>
                <w:color w:val="4D4D4F"/>
              </w:rPr>
              <w:t>260,000</w:t>
            </w:r>
          </w:p>
        </w:tc>
        <w:tc>
          <w:tcPr>
            <w:tcW w:w="1740" w:type="dxa"/>
            <w:vAlign w:val="bottom"/>
          </w:tcPr>
          <w:p>
            <w:pPr>
              <w:jc w:val="right"/>
              <w:ind w:right="248"/>
              <w:spacing w:after="0" w:line="157" w:lineRule="exact"/>
              <w:rPr>
                <w:sz w:val="20"/>
                <w:szCs w:val="20"/>
                <w:color w:val="auto"/>
              </w:rPr>
            </w:pPr>
            <w:r>
              <w:rPr>
                <w:rFonts w:ascii="Arial" w:cs="Arial" w:eastAsia="Arial" w:hAnsi="Arial"/>
                <w:sz w:val="14"/>
                <w:szCs w:val="14"/>
                <w:color w:val="4D4D4F"/>
              </w:rPr>
              <w:t>—</w:t>
            </w:r>
          </w:p>
        </w:tc>
        <w:tc>
          <w:tcPr>
            <w:tcW w:w="1380" w:type="dxa"/>
            <w:vAlign w:val="bottom"/>
          </w:tcPr>
          <w:p>
            <w:pPr>
              <w:jc w:val="right"/>
              <w:ind w:right="88"/>
              <w:spacing w:after="0" w:line="157" w:lineRule="exact"/>
              <w:rPr>
                <w:sz w:val="20"/>
                <w:szCs w:val="20"/>
                <w:color w:val="auto"/>
              </w:rPr>
            </w:pPr>
            <w:r>
              <w:rPr>
                <w:rFonts w:ascii="Arial" w:cs="Arial" w:eastAsia="Arial" w:hAnsi="Arial"/>
                <w:sz w:val="14"/>
                <w:szCs w:val="14"/>
                <w:color w:val="4D4D4F"/>
              </w:rPr>
              <w:t>1.89</w:t>
            </w:r>
          </w:p>
        </w:tc>
        <w:tc>
          <w:tcPr>
            <w:tcW w:w="1600" w:type="dxa"/>
            <w:vAlign w:val="bottom"/>
          </w:tcPr>
          <w:p>
            <w:pPr>
              <w:jc w:val="right"/>
              <w:ind w:right="68"/>
              <w:spacing w:after="0" w:line="157" w:lineRule="exact"/>
              <w:rPr>
                <w:sz w:val="20"/>
                <w:szCs w:val="20"/>
                <w:color w:val="auto"/>
              </w:rPr>
            </w:pPr>
            <w:r>
              <w:rPr>
                <w:rFonts w:ascii="Arial" w:cs="Arial" w:eastAsia="Arial" w:hAnsi="Arial"/>
                <w:sz w:val="14"/>
                <w:szCs w:val="14"/>
                <w:color w:val="4D4D4F"/>
              </w:rPr>
              <w:t>59,001</w:t>
            </w:r>
          </w:p>
        </w:tc>
      </w:tr>
      <w:tr>
        <w:trPr>
          <w:trHeight w:val="226"/>
        </w:trPr>
        <w:tc>
          <w:tcPr>
            <w:tcW w:w="15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4D4D4F"/>
              </w:rPr>
              <w:t>July 28, 2020(4)(6)</w:t>
            </w:r>
          </w:p>
        </w:tc>
        <w:tc>
          <w:tcPr>
            <w:tcW w:w="1000" w:type="dxa"/>
            <w:vAlign w:val="bottom"/>
          </w:tcPr>
          <w:p>
            <w:pPr>
              <w:jc w:val="right"/>
              <w:ind w:right="128"/>
              <w:spacing w:after="0"/>
              <w:rPr>
                <w:sz w:val="20"/>
                <w:szCs w:val="20"/>
                <w:color w:val="auto"/>
              </w:rPr>
            </w:pPr>
            <w:r>
              <w:rPr>
                <w:rFonts w:ascii="Arial" w:cs="Arial" w:eastAsia="Arial" w:hAnsi="Arial"/>
                <w:sz w:val="14"/>
                <w:szCs w:val="14"/>
                <w:color w:val="4D4D4F"/>
              </w:rPr>
              <w:t>10,000</w:t>
            </w:r>
          </w:p>
        </w:tc>
        <w:tc>
          <w:tcPr>
            <w:tcW w:w="940" w:type="dxa"/>
            <w:vAlign w:val="bottom"/>
          </w:tcPr>
          <w:p>
            <w:pPr>
              <w:jc w:val="right"/>
              <w:ind w:right="108"/>
              <w:spacing w:after="0"/>
              <w:rPr>
                <w:sz w:val="20"/>
                <w:szCs w:val="20"/>
                <w:color w:val="auto"/>
              </w:rPr>
            </w:pPr>
            <w:r>
              <w:rPr>
                <w:rFonts w:ascii="Arial" w:cs="Arial" w:eastAsia="Arial" w:hAnsi="Arial"/>
                <w:sz w:val="14"/>
                <w:szCs w:val="14"/>
                <w:color w:val="4D4D4F"/>
              </w:rPr>
              <w:t>20,000</w:t>
            </w:r>
          </w:p>
        </w:tc>
        <w:tc>
          <w:tcPr>
            <w:tcW w:w="1300" w:type="dxa"/>
            <w:vAlign w:val="bottom"/>
          </w:tcPr>
          <w:p>
            <w:pPr>
              <w:jc w:val="right"/>
              <w:ind w:right="228"/>
              <w:spacing w:after="0"/>
              <w:rPr>
                <w:sz w:val="20"/>
                <w:szCs w:val="20"/>
                <w:color w:val="auto"/>
              </w:rPr>
            </w:pPr>
            <w:r>
              <w:rPr>
                <w:rFonts w:ascii="Arial" w:cs="Arial" w:eastAsia="Arial" w:hAnsi="Arial"/>
                <w:sz w:val="14"/>
                <w:szCs w:val="14"/>
                <w:color w:val="4D4D4F"/>
              </w:rPr>
              <w:t>20,000</w:t>
            </w:r>
          </w:p>
        </w:tc>
        <w:tc>
          <w:tcPr>
            <w:tcW w:w="1740" w:type="dxa"/>
            <w:vAlign w:val="bottom"/>
          </w:tcPr>
          <w:p>
            <w:pPr>
              <w:jc w:val="right"/>
              <w:ind w:right="248"/>
              <w:spacing w:after="0"/>
              <w:rPr>
                <w:sz w:val="20"/>
                <w:szCs w:val="20"/>
                <w:color w:val="auto"/>
              </w:rPr>
            </w:pPr>
            <w:r>
              <w:rPr>
                <w:rFonts w:ascii="Arial" w:cs="Arial" w:eastAsia="Arial" w:hAnsi="Arial"/>
                <w:sz w:val="14"/>
                <w:szCs w:val="14"/>
                <w:color w:val="4D4D4F"/>
              </w:rPr>
              <w:t>20,000</w:t>
            </w:r>
          </w:p>
        </w:tc>
        <w:tc>
          <w:tcPr>
            <w:tcW w:w="1380" w:type="dxa"/>
            <w:vAlign w:val="bottom"/>
          </w:tcPr>
          <w:p>
            <w:pPr>
              <w:jc w:val="right"/>
              <w:ind w:right="88"/>
              <w:spacing w:after="0"/>
              <w:rPr>
                <w:sz w:val="20"/>
                <w:szCs w:val="20"/>
                <w:color w:val="auto"/>
              </w:rPr>
            </w:pPr>
            <w:r>
              <w:rPr>
                <w:rFonts w:ascii="Arial" w:cs="Arial" w:eastAsia="Arial" w:hAnsi="Arial"/>
                <w:sz w:val="14"/>
                <w:szCs w:val="14"/>
                <w:color w:val="4D4D4F"/>
              </w:rPr>
              <w:t>85.27</w:t>
            </w:r>
          </w:p>
        </w:tc>
        <w:tc>
          <w:tcPr>
            <w:tcW w:w="1600" w:type="dxa"/>
            <w:vAlign w:val="bottom"/>
          </w:tcPr>
          <w:p>
            <w:pPr>
              <w:jc w:val="right"/>
              <w:ind w:right="68"/>
              <w:spacing w:after="0"/>
              <w:rPr>
                <w:sz w:val="20"/>
                <w:szCs w:val="20"/>
                <w:color w:val="auto"/>
              </w:rPr>
            </w:pPr>
            <w:r>
              <w:rPr>
                <w:rFonts w:ascii="Arial" w:cs="Arial" w:eastAsia="Arial" w:hAnsi="Arial"/>
                <w:sz w:val="14"/>
                <w:szCs w:val="14"/>
                <w:color w:val="4D4D4F"/>
              </w:rPr>
              <w:t>734,156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-1176020</wp:posOffset>
            </wp:positionV>
            <wp:extent cx="19113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78" w:lineRule="exact"/>
        <w:rPr>
          <w:sz w:val="20"/>
          <w:szCs w:val="20"/>
          <w:color w:val="auto"/>
        </w:rPr>
      </w:pPr>
    </w:p>
    <w:p>
      <w:pPr>
        <w:ind w:left="340" w:right="80" w:hanging="332"/>
        <w:spacing w:after="0" w:line="247" w:lineRule="auto"/>
        <w:tabs>
          <w:tab w:leader="none" w:pos="340" w:val="left"/>
        </w:tabs>
        <w:numPr>
          <w:ilvl w:val="0"/>
          <w:numId w:val="56"/>
        </w:numPr>
        <w:rPr>
          <w:rFonts w:ascii="Arial" w:cs="Arial" w:eastAsia="Arial" w:hAnsi="Arial"/>
          <w:sz w:val="14"/>
          <w:szCs w:val="14"/>
          <w:color w:val="4D4D4F"/>
        </w:rPr>
      </w:pPr>
      <w:r>
        <w:rPr>
          <w:rFonts w:ascii="Arial" w:cs="Arial" w:eastAsia="Arial" w:hAnsi="Arial"/>
          <w:sz w:val="14"/>
          <w:szCs w:val="14"/>
          <w:color w:val="4D4D4F"/>
        </w:rPr>
        <w:t>The exercise price of each option equals (a) with respect to each award for Class A common stock, the grant date closing stock price, as reported on the NASDAQ stock exchange, and (b) with respect to each award for shares of ACM Research (Shanghai), Inc., the estimated fair market value determined by the board of directors of ACM Research (Shanghai), Inc., based on the purchase price of RMB 13 per share paid by private equity investors for shares of ACM Research (Shanghai), Inc. in 2019, which at the time reflected a significant premium to the market capitalization of stock of ACM Research, Inc.</w:t>
      </w:r>
    </w:p>
    <w:p>
      <w:pPr>
        <w:spacing w:after="0" w:line="39" w:lineRule="exact"/>
        <w:rPr>
          <w:rFonts w:ascii="Arial" w:cs="Arial" w:eastAsia="Arial" w:hAnsi="Arial"/>
          <w:sz w:val="14"/>
          <w:szCs w:val="14"/>
          <w:color w:val="4D4D4F"/>
        </w:rPr>
      </w:pPr>
    </w:p>
    <w:p>
      <w:pPr>
        <w:ind w:left="340" w:right="60" w:hanging="332"/>
        <w:spacing w:after="0" w:line="247" w:lineRule="auto"/>
        <w:tabs>
          <w:tab w:leader="none" w:pos="340" w:val="left"/>
        </w:tabs>
        <w:numPr>
          <w:ilvl w:val="0"/>
          <w:numId w:val="56"/>
        </w:numPr>
        <w:rPr>
          <w:rFonts w:ascii="Arial" w:cs="Arial" w:eastAsia="Arial" w:hAnsi="Arial"/>
          <w:sz w:val="14"/>
          <w:szCs w:val="14"/>
          <w:color w:val="4D4D4F"/>
        </w:rPr>
      </w:pPr>
      <w:r>
        <w:rPr>
          <w:rFonts w:ascii="Arial" w:cs="Arial" w:eastAsia="Arial" w:hAnsi="Arial"/>
          <w:sz w:val="14"/>
          <w:szCs w:val="14"/>
          <w:color w:val="4D4D4F"/>
        </w:rPr>
        <w:t>This column represents the full grant date fair value of stock options under ASC 718 granted to each of the NEOs in the fiscal year ended December 31, 2020. Generally, the full grant date fair market value is the amount that we will expense in our financial statements over the award’s vesting period. Fair market value was calculated using the Black-Scholes value on the grant date. See the information appearing in Note 2 to our consolidated financial statements included as part of our Annual Report on Form 10-K for the year ended December 31, 2020 for certain assumptions made in the valuation of these awards for Class A common stock.</w:t>
      </w:r>
    </w:p>
    <w:p>
      <w:pPr>
        <w:spacing w:after="0" w:line="39" w:lineRule="exact"/>
        <w:rPr>
          <w:rFonts w:ascii="Arial" w:cs="Arial" w:eastAsia="Arial" w:hAnsi="Arial"/>
          <w:sz w:val="14"/>
          <w:szCs w:val="14"/>
          <w:color w:val="4D4D4F"/>
        </w:rPr>
      </w:pPr>
    </w:p>
    <w:p>
      <w:pPr>
        <w:jc w:val="both"/>
        <w:ind w:left="340" w:hanging="332"/>
        <w:spacing w:after="0" w:line="244" w:lineRule="auto"/>
        <w:tabs>
          <w:tab w:leader="none" w:pos="340" w:val="left"/>
        </w:tabs>
        <w:numPr>
          <w:ilvl w:val="0"/>
          <w:numId w:val="56"/>
        </w:numPr>
        <w:rPr>
          <w:rFonts w:ascii="Arial" w:cs="Arial" w:eastAsia="Arial" w:hAnsi="Arial"/>
          <w:sz w:val="14"/>
          <w:szCs w:val="14"/>
          <w:color w:val="4D4D4F"/>
        </w:rPr>
      </w:pPr>
      <w:r>
        <w:rPr>
          <w:rFonts w:ascii="Arial" w:cs="Arial" w:eastAsia="Arial" w:hAnsi="Arial"/>
          <w:sz w:val="14"/>
          <w:szCs w:val="14"/>
          <w:color w:val="4D4D4F"/>
        </w:rPr>
        <w:t>Option award for shares of ACM Research (Shanghai), Inc. Option exercisable, subject to vesting, to acquire shares of ACM Research (Shanghai), Inc. One-half of the option vests on January 1, 2023, generally subject to continued service and key financial metrics. The remaining half of the option vests on January 1, 2024, generally subject to continued service and key financial metrics. In each case, vesting is also contingent on the applicable NEO’s performance rating for the year prior to the applicable time-based vesting date, such that 100% of the option that would otherwise vest pursuant to the foregoing two sentences will vest if such performance rating is “excellent” or “good,” 80% if such performance rating is “medium,” 60% if such performance rating is “pass,” and 0% if such performance rating is below “pass.” All such options accelerate vesting upon a defined change in control of ACM.</w:t>
      </w:r>
    </w:p>
    <w:p>
      <w:pPr>
        <w:spacing w:after="0" w:line="43" w:lineRule="exact"/>
        <w:rPr>
          <w:rFonts w:ascii="Arial" w:cs="Arial" w:eastAsia="Arial" w:hAnsi="Arial"/>
          <w:sz w:val="14"/>
          <w:szCs w:val="14"/>
          <w:color w:val="4D4D4F"/>
        </w:rPr>
      </w:pPr>
    </w:p>
    <w:p>
      <w:pPr>
        <w:ind w:left="340" w:hanging="332"/>
        <w:spacing w:after="0"/>
        <w:tabs>
          <w:tab w:leader="none" w:pos="340" w:val="left"/>
        </w:tabs>
        <w:numPr>
          <w:ilvl w:val="0"/>
          <w:numId w:val="56"/>
        </w:numPr>
        <w:rPr>
          <w:rFonts w:ascii="Arial" w:cs="Arial" w:eastAsia="Arial" w:hAnsi="Arial"/>
          <w:sz w:val="14"/>
          <w:szCs w:val="14"/>
          <w:color w:val="4D4D4F"/>
        </w:rPr>
      </w:pPr>
      <w:r>
        <w:rPr>
          <w:rFonts w:ascii="Arial" w:cs="Arial" w:eastAsia="Arial" w:hAnsi="Arial"/>
          <w:sz w:val="14"/>
          <w:szCs w:val="14"/>
          <w:color w:val="4D4D4F"/>
        </w:rPr>
        <w:t>Option award for shares of Class A common stock.</w:t>
      </w:r>
    </w:p>
    <w:p>
      <w:pPr>
        <w:spacing w:after="0" w:line="55" w:lineRule="exact"/>
        <w:rPr>
          <w:rFonts w:ascii="Arial" w:cs="Arial" w:eastAsia="Arial" w:hAnsi="Arial"/>
          <w:sz w:val="14"/>
          <w:szCs w:val="14"/>
          <w:color w:val="4D4D4F"/>
        </w:rPr>
      </w:pPr>
    </w:p>
    <w:p>
      <w:pPr>
        <w:ind w:left="340" w:right="20" w:hanging="332"/>
        <w:spacing w:after="0" w:line="245" w:lineRule="auto"/>
        <w:tabs>
          <w:tab w:leader="none" w:pos="340" w:val="left"/>
        </w:tabs>
        <w:numPr>
          <w:ilvl w:val="0"/>
          <w:numId w:val="56"/>
        </w:numPr>
        <w:rPr>
          <w:rFonts w:ascii="Arial" w:cs="Arial" w:eastAsia="Arial" w:hAnsi="Arial"/>
          <w:sz w:val="14"/>
          <w:szCs w:val="14"/>
          <w:color w:val="4D4D4F"/>
        </w:rPr>
      </w:pPr>
      <w:r>
        <w:rPr>
          <w:rFonts w:ascii="Arial" w:cs="Arial" w:eastAsia="Arial" w:hAnsi="Arial"/>
          <w:sz w:val="14"/>
          <w:szCs w:val="14"/>
          <w:color w:val="4D4D4F"/>
        </w:rPr>
        <w:t>Performance-based option award pursuant to which one-third of the shares subject to the award vests and becomes exercisable upon an increase in our market capitalization of $1.0 billion, $2.0 billion and $3.0 billion, respectively, from the market capitalization of $553,383,586 on the grant date. An initial 181,799 shares vested and became exercisable on August 5, 2020, which was the first trading day as of which our market capitalization equaled or exceeded $1,553,383,586. The remaining shares will vest and become exercisable in two equal installments upon the first trading days, if any, on which our market capitalization equals or exceeds $2,553,383,586 and $3,553,383,586, respectively.</w:t>
      </w:r>
    </w:p>
    <w:p>
      <w:pPr>
        <w:spacing w:after="0" w:line="42"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56"/>
        </w:numPr>
        <w:rPr>
          <w:rFonts w:ascii="Arial" w:cs="Arial" w:eastAsia="Arial" w:hAnsi="Arial"/>
          <w:sz w:val="14"/>
          <w:szCs w:val="14"/>
          <w:color w:val="4D4D4F"/>
        </w:rPr>
      </w:pPr>
      <w:r>
        <w:rPr>
          <w:rFonts w:ascii="Arial" w:cs="Arial" w:eastAsia="Arial" w:hAnsi="Arial"/>
          <w:sz w:val="14"/>
          <w:szCs w:val="14"/>
          <w:color w:val="4D4D4F"/>
        </w:rPr>
        <w:t>Performance-based option award pursuant to which one-half of the shares subject to the award vests and becomes exercisable upon our receipt of our first demo tool order from a specified semiconductor company and the other half vests and becomes exercisable upon the qualification of our first demo tool for such semiconductor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Outstanding Equity Awards at December 31,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4D4D4F"/>
        </w:rPr>
        <w:t>The following table sets forth information regarding each unexercised option held by each of our NEOs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57785</wp:posOffset>
            </wp:positionV>
            <wp:extent cx="52463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shd w:val="clear" w:color="auto" w:fill="003E64"/>
          </w:tcPr>
          <w:p>
            <w:pPr>
              <w:spacing w:after="0"/>
              <w:rPr>
                <w:sz w:val="16"/>
                <w:szCs w:val="16"/>
                <w:color w:val="auto"/>
              </w:rPr>
            </w:pPr>
          </w:p>
        </w:tc>
        <w:tc>
          <w:tcPr>
            <w:tcW w:w="880" w:type="dxa"/>
            <w:vAlign w:val="bottom"/>
            <w:shd w:val="clear" w:color="auto" w:fill="003E64"/>
          </w:tcPr>
          <w:p>
            <w:pPr>
              <w:spacing w:after="0"/>
              <w:rPr>
                <w:sz w:val="16"/>
                <w:szCs w:val="16"/>
                <w:color w:val="auto"/>
              </w:rPr>
            </w:pPr>
          </w:p>
        </w:tc>
        <w:tc>
          <w:tcPr>
            <w:tcW w:w="1340" w:type="dxa"/>
            <w:vAlign w:val="bottom"/>
            <w:shd w:val="clear" w:color="auto" w:fill="003E64"/>
          </w:tcPr>
          <w:p>
            <w:pPr>
              <w:spacing w:after="0"/>
              <w:rPr>
                <w:sz w:val="16"/>
                <w:szCs w:val="16"/>
                <w:color w:val="auto"/>
              </w:rPr>
            </w:pPr>
          </w:p>
        </w:tc>
        <w:tc>
          <w:tcPr>
            <w:tcW w:w="1680" w:type="dxa"/>
            <w:vAlign w:val="bottom"/>
            <w:shd w:val="clear" w:color="auto" w:fill="003E64"/>
          </w:tcPr>
          <w:p>
            <w:pPr>
              <w:spacing w:after="0"/>
              <w:rPr>
                <w:sz w:val="16"/>
                <w:szCs w:val="16"/>
                <w:color w:val="auto"/>
              </w:rPr>
            </w:pPr>
          </w:p>
        </w:tc>
        <w:tc>
          <w:tcPr>
            <w:tcW w:w="1880" w:type="dxa"/>
            <w:vAlign w:val="bottom"/>
            <w:shd w:val="clear" w:color="auto" w:fill="003E64"/>
          </w:tcPr>
          <w:p>
            <w:pPr>
              <w:jc w:val="right"/>
              <w:ind w:right="188"/>
              <w:spacing w:after="0"/>
              <w:rPr>
                <w:sz w:val="20"/>
                <w:szCs w:val="20"/>
                <w:color w:val="auto"/>
              </w:rPr>
            </w:pPr>
            <w:r>
              <w:rPr>
                <w:rFonts w:ascii="Arial" w:cs="Arial" w:eastAsia="Arial" w:hAnsi="Arial"/>
                <w:sz w:val="14"/>
                <w:szCs w:val="14"/>
                <w:b w:val="1"/>
                <w:bCs w:val="1"/>
                <w:color w:val="FFFFFF"/>
              </w:rPr>
              <w:t>Option Awards</w:t>
            </w:r>
          </w:p>
        </w:tc>
        <w:tc>
          <w:tcPr>
            <w:tcW w:w="1620" w:type="dxa"/>
            <w:vAlign w:val="bottom"/>
            <w:shd w:val="clear" w:color="auto" w:fill="003E64"/>
          </w:tcPr>
          <w:p>
            <w:pPr>
              <w:spacing w:after="0"/>
              <w:rPr>
                <w:sz w:val="16"/>
                <w:szCs w:val="16"/>
                <w:color w:val="auto"/>
              </w:rPr>
            </w:pPr>
          </w:p>
        </w:tc>
        <w:tc>
          <w:tcPr>
            <w:tcW w:w="1740" w:type="dxa"/>
            <w:vAlign w:val="bottom"/>
            <w:shd w:val="clear" w:color="auto" w:fill="003E64"/>
          </w:tcPr>
          <w:p>
            <w:pPr>
              <w:spacing w:after="0"/>
              <w:rPr>
                <w:sz w:val="16"/>
                <w:szCs w:val="16"/>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spacing w:after="0"/>
              <w:rPr>
                <w:sz w:val="14"/>
                <w:szCs w:val="14"/>
                <w:color w:val="auto"/>
              </w:rPr>
            </w:pPr>
          </w:p>
        </w:tc>
        <w:tc>
          <w:tcPr>
            <w:tcW w:w="1680" w:type="dxa"/>
            <w:vAlign w:val="bottom"/>
            <w:shd w:val="clear" w:color="auto" w:fill="003E64"/>
          </w:tcPr>
          <w:p>
            <w:pPr>
              <w:spacing w:after="0"/>
              <w:rPr>
                <w:sz w:val="14"/>
                <w:szCs w:val="14"/>
                <w:color w:val="auto"/>
              </w:rPr>
            </w:pP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Equity Incentive</w:t>
            </w:r>
          </w:p>
        </w:tc>
        <w:tc>
          <w:tcPr>
            <w:tcW w:w="1620" w:type="dxa"/>
            <w:vAlign w:val="bottom"/>
            <w:shd w:val="clear" w:color="auto" w:fill="003E64"/>
          </w:tcPr>
          <w:p>
            <w:pPr>
              <w:spacing w:after="0"/>
              <w:rPr>
                <w:sz w:val="14"/>
                <w:szCs w:val="14"/>
                <w:color w:val="auto"/>
              </w:rPr>
            </w:pPr>
          </w:p>
        </w:tc>
        <w:tc>
          <w:tcPr>
            <w:tcW w:w="1740" w:type="dxa"/>
            <w:vAlign w:val="bottom"/>
            <w:shd w:val="clear" w:color="auto" w:fill="003E64"/>
          </w:tcPr>
          <w:p>
            <w:pPr>
              <w:spacing w:after="0"/>
              <w:rPr>
                <w:sz w:val="14"/>
                <w:szCs w:val="14"/>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Number of</w:t>
            </w:r>
          </w:p>
        </w:tc>
        <w:tc>
          <w:tcPr>
            <w:tcW w:w="168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Number of</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Plan Awards:</w:t>
            </w:r>
          </w:p>
        </w:tc>
        <w:tc>
          <w:tcPr>
            <w:tcW w:w="1620" w:type="dxa"/>
            <w:vAlign w:val="bottom"/>
            <w:shd w:val="clear" w:color="auto" w:fill="003E64"/>
          </w:tcPr>
          <w:p>
            <w:pPr>
              <w:spacing w:after="0"/>
              <w:rPr>
                <w:sz w:val="14"/>
                <w:szCs w:val="14"/>
                <w:color w:val="auto"/>
              </w:rPr>
            </w:pPr>
          </w:p>
        </w:tc>
        <w:tc>
          <w:tcPr>
            <w:tcW w:w="1740" w:type="dxa"/>
            <w:vAlign w:val="bottom"/>
            <w:shd w:val="clear" w:color="auto" w:fill="003E64"/>
          </w:tcPr>
          <w:p>
            <w:pPr>
              <w:spacing w:after="0"/>
              <w:rPr>
                <w:sz w:val="14"/>
                <w:szCs w:val="14"/>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Securities</w:t>
            </w:r>
          </w:p>
        </w:tc>
        <w:tc>
          <w:tcPr>
            <w:tcW w:w="168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Securities</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Number of</w:t>
            </w:r>
          </w:p>
        </w:tc>
        <w:tc>
          <w:tcPr>
            <w:tcW w:w="1620" w:type="dxa"/>
            <w:vAlign w:val="bottom"/>
            <w:shd w:val="clear" w:color="auto" w:fill="003E64"/>
          </w:tcPr>
          <w:p>
            <w:pPr>
              <w:spacing w:after="0"/>
              <w:rPr>
                <w:sz w:val="14"/>
                <w:szCs w:val="14"/>
                <w:color w:val="auto"/>
              </w:rPr>
            </w:pPr>
          </w:p>
        </w:tc>
        <w:tc>
          <w:tcPr>
            <w:tcW w:w="1740" w:type="dxa"/>
            <w:vAlign w:val="bottom"/>
            <w:shd w:val="clear" w:color="auto" w:fill="003E64"/>
          </w:tcPr>
          <w:p>
            <w:pPr>
              <w:spacing w:after="0"/>
              <w:rPr>
                <w:sz w:val="14"/>
                <w:szCs w:val="14"/>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Underlying</w:t>
            </w:r>
          </w:p>
        </w:tc>
        <w:tc>
          <w:tcPr>
            <w:tcW w:w="168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Underlying</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Securities</w:t>
            </w:r>
          </w:p>
        </w:tc>
        <w:tc>
          <w:tcPr>
            <w:tcW w:w="1620" w:type="dxa"/>
            <w:vAlign w:val="bottom"/>
            <w:shd w:val="clear" w:color="auto" w:fill="003E64"/>
          </w:tcPr>
          <w:p>
            <w:pPr>
              <w:spacing w:after="0"/>
              <w:rPr>
                <w:sz w:val="14"/>
                <w:szCs w:val="14"/>
                <w:color w:val="auto"/>
              </w:rPr>
            </w:pPr>
          </w:p>
        </w:tc>
        <w:tc>
          <w:tcPr>
            <w:tcW w:w="1740" w:type="dxa"/>
            <w:vAlign w:val="bottom"/>
            <w:shd w:val="clear" w:color="auto" w:fill="003E64"/>
          </w:tcPr>
          <w:p>
            <w:pPr>
              <w:spacing w:after="0"/>
              <w:rPr>
                <w:sz w:val="14"/>
                <w:szCs w:val="14"/>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Unexercised</w:t>
            </w:r>
          </w:p>
        </w:tc>
        <w:tc>
          <w:tcPr>
            <w:tcW w:w="1680" w:type="dxa"/>
            <w:vAlign w:val="bottom"/>
            <w:shd w:val="clear" w:color="auto" w:fill="003E64"/>
          </w:tcPr>
          <w:p>
            <w:pPr>
              <w:jc w:val="center"/>
              <w:ind w:left="28"/>
              <w:spacing w:after="0"/>
              <w:rPr>
                <w:sz w:val="20"/>
                <w:szCs w:val="20"/>
                <w:color w:val="auto"/>
              </w:rPr>
            </w:pPr>
            <w:r>
              <w:rPr>
                <w:rFonts w:ascii="Arial" w:cs="Arial" w:eastAsia="Arial" w:hAnsi="Arial"/>
                <w:sz w:val="14"/>
                <w:szCs w:val="14"/>
                <w:b w:val="1"/>
                <w:bCs w:val="1"/>
                <w:color w:val="FFFFFF"/>
              </w:rPr>
              <w:t>Unexercised</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Underlying</w:t>
            </w:r>
          </w:p>
        </w:tc>
        <w:tc>
          <w:tcPr>
            <w:tcW w:w="1620" w:type="dxa"/>
            <w:vAlign w:val="bottom"/>
            <w:shd w:val="clear" w:color="auto" w:fill="003E64"/>
          </w:tcPr>
          <w:p>
            <w:pPr>
              <w:spacing w:after="0"/>
              <w:rPr>
                <w:sz w:val="14"/>
                <w:szCs w:val="14"/>
                <w:color w:val="auto"/>
              </w:rPr>
            </w:pPr>
          </w:p>
        </w:tc>
        <w:tc>
          <w:tcPr>
            <w:tcW w:w="1740" w:type="dxa"/>
            <w:vAlign w:val="bottom"/>
            <w:shd w:val="clear" w:color="auto" w:fill="003E64"/>
          </w:tcPr>
          <w:p>
            <w:pPr>
              <w:spacing w:after="0"/>
              <w:rPr>
                <w:sz w:val="14"/>
                <w:szCs w:val="14"/>
                <w:color w:val="auto"/>
              </w:rPr>
            </w:pPr>
          </w:p>
        </w:tc>
      </w:tr>
      <w:tr>
        <w:trPr>
          <w:trHeight w:val="162"/>
        </w:trPr>
        <w:tc>
          <w:tcPr>
            <w:tcW w:w="2100" w:type="dxa"/>
            <w:vAlign w:val="bottom"/>
            <w:shd w:val="clear" w:color="auto" w:fill="003E64"/>
          </w:tcPr>
          <w:p>
            <w:pPr>
              <w:spacing w:after="0"/>
              <w:rPr>
                <w:sz w:val="14"/>
                <w:szCs w:val="14"/>
                <w:color w:val="auto"/>
              </w:rPr>
            </w:pPr>
          </w:p>
        </w:tc>
        <w:tc>
          <w:tcPr>
            <w:tcW w:w="880" w:type="dxa"/>
            <w:vAlign w:val="bottom"/>
            <w:shd w:val="clear" w:color="auto" w:fill="003E64"/>
          </w:tcPr>
          <w:p>
            <w:pPr>
              <w:spacing w:after="0"/>
              <w:rPr>
                <w:sz w:val="14"/>
                <w:szCs w:val="14"/>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Options</w:t>
            </w:r>
          </w:p>
        </w:tc>
        <w:tc>
          <w:tcPr>
            <w:tcW w:w="1680" w:type="dxa"/>
            <w:vAlign w:val="bottom"/>
            <w:shd w:val="clear" w:color="auto" w:fill="003E64"/>
          </w:tcPr>
          <w:p>
            <w:pPr>
              <w:jc w:val="center"/>
              <w:ind w:left="28"/>
              <w:spacing w:after="0"/>
              <w:rPr>
                <w:sz w:val="20"/>
                <w:szCs w:val="20"/>
                <w:color w:val="auto"/>
              </w:rPr>
            </w:pPr>
            <w:r>
              <w:rPr>
                <w:rFonts w:ascii="Arial" w:cs="Arial" w:eastAsia="Arial" w:hAnsi="Arial"/>
                <w:sz w:val="14"/>
                <w:szCs w:val="14"/>
                <w:b w:val="1"/>
                <w:bCs w:val="1"/>
                <w:color w:val="FFFFFF"/>
              </w:rPr>
              <w:t>Options</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Unexercised</w:t>
            </w:r>
          </w:p>
        </w:tc>
        <w:tc>
          <w:tcPr>
            <w:tcW w:w="1620" w:type="dxa"/>
            <w:vAlign w:val="bottom"/>
            <w:shd w:val="clear" w:color="auto" w:fill="003E64"/>
          </w:tcPr>
          <w:p>
            <w:pPr>
              <w:jc w:val="right"/>
              <w:ind w:right="228"/>
              <w:spacing w:after="0"/>
              <w:rPr>
                <w:sz w:val="20"/>
                <w:szCs w:val="20"/>
                <w:color w:val="auto"/>
              </w:rPr>
            </w:pPr>
            <w:r>
              <w:rPr>
                <w:rFonts w:ascii="Arial" w:cs="Arial" w:eastAsia="Arial" w:hAnsi="Arial"/>
                <w:sz w:val="14"/>
                <w:szCs w:val="14"/>
                <w:b w:val="1"/>
                <w:bCs w:val="1"/>
                <w:color w:val="FFFFFF"/>
              </w:rPr>
              <w:t>Option Exercise</w:t>
            </w:r>
          </w:p>
        </w:tc>
        <w:tc>
          <w:tcPr>
            <w:tcW w:w="1740" w:type="dxa"/>
            <w:vAlign w:val="bottom"/>
            <w:shd w:val="clear" w:color="auto" w:fill="003E64"/>
          </w:tcPr>
          <w:p>
            <w:pPr>
              <w:jc w:val="right"/>
              <w:ind w:right="168"/>
              <w:spacing w:after="0"/>
              <w:rPr>
                <w:sz w:val="20"/>
                <w:szCs w:val="20"/>
                <w:color w:val="auto"/>
              </w:rPr>
            </w:pPr>
            <w:r>
              <w:rPr>
                <w:rFonts w:ascii="Arial" w:cs="Arial" w:eastAsia="Arial" w:hAnsi="Arial"/>
                <w:sz w:val="14"/>
                <w:szCs w:val="14"/>
                <w:b w:val="1"/>
                <w:bCs w:val="1"/>
                <w:color w:val="FFFFFF"/>
              </w:rPr>
              <w:t>Option Expiration</w:t>
            </w:r>
          </w:p>
        </w:tc>
      </w:tr>
      <w:tr>
        <w:trPr>
          <w:trHeight w:val="175"/>
        </w:trPr>
        <w:tc>
          <w:tcPr>
            <w:tcW w:w="2100" w:type="dxa"/>
            <w:vAlign w:val="bottom"/>
            <w:shd w:val="clear" w:color="auto" w:fill="003E64"/>
          </w:tcPr>
          <w:p>
            <w:pPr>
              <w:ind w:left="860"/>
              <w:spacing w:after="0"/>
              <w:rPr>
                <w:sz w:val="20"/>
                <w:szCs w:val="20"/>
                <w:color w:val="auto"/>
              </w:rPr>
            </w:pPr>
            <w:r>
              <w:rPr>
                <w:rFonts w:ascii="Arial" w:cs="Arial" w:eastAsia="Arial" w:hAnsi="Arial"/>
                <w:sz w:val="14"/>
                <w:szCs w:val="14"/>
                <w:b w:val="1"/>
                <w:bCs w:val="1"/>
                <w:color w:val="FFFFFF"/>
              </w:rPr>
              <w:t>Name</w:t>
            </w:r>
          </w:p>
        </w:tc>
        <w:tc>
          <w:tcPr>
            <w:tcW w:w="880" w:type="dxa"/>
            <w:vAlign w:val="bottom"/>
            <w:shd w:val="clear" w:color="auto" w:fill="003E64"/>
          </w:tcPr>
          <w:p>
            <w:pPr>
              <w:spacing w:after="0"/>
              <w:rPr>
                <w:sz w:val="15"/>
                <w:szCs w:val="15"/>
                <w:color w:val="auto"/>
              </w:rPr>
            </w:pPr>
          </w:p>
        </w:tc>
        <w:tc>
          <w:tcPr>
            <w:tcW w:w="134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 Exercisable</w:t>
            </w:r>
          </w:p>
        </w:tc>
        <w:tc>
          <w:tcPr>
            <w:tcW w:w="1680" w:type="dxa"/>
            <w:vAlign w:val="bottom"/>
            <w:shd w:val="clear" w:color="auto" w:fill="003E64"/>
          </w:tcPr>
          <w:p>
            <w:pPr>
              <w:jc w:val="center"/>
              <w:ind w:left="8"/>
              <w:spacing w:after="0"/>
              <w:rPr>
                <w:sz w:val="20"/>
                <w:szCs w:val="20"/>
                <w:color w:val="auto"/>
              </w:rPr>
            </w:pPr>
            <w:r>
              <w:rPr>
                <w:rFonts w:ascii="Arial" w:cs="Arial" w:eastAsia="Arial" w:hAnsi="Arial"/>
                <w:sz w:val="14"/>
                <w:szCs w:val="14"/>
                <w:b w:val="1"/>
                <w:bCs w:val="1"/>
                <w:color w:val="FFFFFF"/>
              </w:rPr>
              <w:t>(#) Unexercisable</w:t>
            </w:r>
          </w:p>
        </w:tc>
        <w:tc>
          <w:tcPr>
            <w:tcW w:w="18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Unearned Options (#)</w:t>
            </w:r>
          </w:p>
        </w:tc>
        <w:tc>
          <w:tcPr>
            <w:tcW w:w="1620" w:type="dxa"/>
            <w:vAlign w:val="bottom"/>
            <w:shd w:val="clear" w:color="auto" w:fill="003E64"/>
          </w:tcPr>
          <w:p>
            <w:pPr>
              <w:jc w:val="right"/>
              <w:ind w:right="508"/>
              <w:spacing w:after="0"/>
              <w:rPr>
                <w:sz w:val="20"/>
                <w:szCs w:val="20"/>
                <w:color w:val="auto"/>
              </w:rPr>
            </w:pPr>
            <w:r>
              <w:rPr>
                <w:rFonts w:ascii="Arial" w:cs="Arial" w:eastAsia="Arial" w:hAnsi="Arial"/>
                <w:sz w:val="14"/>
                <w:szCs w:val="14"/>
                <w:b w:val="1"/>
                <w:bCs w:val="1"/>
                <w:color w:val="FFFFFF"/>
              </w:rPr>
              <w:t>Price($)</w:t>
            </w:r>
          </w:p>
        </w:tc>
        <w:tc>
          <w:tcPr>
            <w:tcW w:w="1740" w:type="dxa"/>
            <w:vAlign w:val="bottom"/>
            <w:shd w:val="clear" w:color="auto" w:fill="003E64"/>
          </w:tcPr>
          <w:p>
            <w:pPr>
              <w:jc w:val="right"/>
              <w:ind w:right="608"/>
              <w:spacing w:after="0"/>
              <w:rPr>
                <w:sz w:val="20"/>
                <w:szCs w:val="20"/>
                <w:color w:val="auto"/>
              </w:rPr>
            </w:pPr>
            <w:r>
              <w:rPr>
                <w:rFonts w:ascii="Arial" w:cs="Arial" w:eastAsia="Arial" w:hAnsi="Arial"/>
                <w:sz w:val="14"/>
                <w:szCs w:val="14"/>
                <w:b w:val="1"/>
                <w:bCs w:val="1"/>
                <w:color w:val="FFFFFF"/>
              </w:rPr>
              <w:t>Date</w:t>
            </w:r>
          </w:p>
        </w:tc>
      </w:tr>
      <w:tr>
        <w:trPr>
          <w:trHeight w:val="143"/>
        </w:trPr>
        <w:tc>
          <w:tcPr>
            <w:tcW w:w="2100" w:type="dxa"/>
            <w:vAlign w:val="bottom"/>
          </w:tcPr>
          <w:p>
            <w:pPr>
              <w:spacing w:after="0" w:line="143" w:lineRule="exact"/>
              <w:rPr>
                <w:sz w:val="20"/>
                <w:szCs w:val="20"/>
                <w:color w:val="auto"/>
              </w:rPr>
            </w:pPr>
            <w:r>
              <w:rPr>
                <w:rFonts w:ascii="Arial" w:cs="Arial" w:eastAsia="Arial" w:hAnsi="Arial"/>
                <w:sz w:val="14"/>
                <w:szCs w:val="14"/>
                <w:color w:val="4D4D4F"/>
              </w:rPr>
              <w:t>David H. Wang</w:t>
            </w:r>
          </w:p>
        </w:tc>
        <w:tc>
          <w:tcPr>
            <w:tcW w:w="880" w:type="dxa"/>
            <w:vAlign w:val="bottom"/>
          </w:tcPr>
          <w:p>
            <w:pPr>
              <w:jc w:val="center"/>
              <w:ind w:left="148"/>
              <w:spacing w:after="0" w:line="143" w:lineRule="exact"/>
              <w:rPr>
                <w:sz w:val="20"/>
                <w:szCs w:val="20"/>
                <w:color w:val="auto"/>
              </w:rPr>
            </w:pPr>
            <w:r>
              <w:rPr>
                <w:rFonts w:ascii="Arial" w:cs="Arial" w:eastAsia="Arial" w:hAnsi="Arial"/>
                <w:sz w:val="14"/>
                <w:szCs w:val="14"/>
                <w:color w:val="4D4D4F"/>
              </w:rPr>
              <w:t>(1)(3)</w:t>
            </w:r>
          </w:p>
        </w:tc>
        <w:tc>
          <w:tcPr>
            <w:tcW w:w="1340" w:type="dxa"/>
            <w:vAlign w:val="bottom"/>
          </w:tcPr>
          <w:p>
            <w:pPr>
              <w:jc w:val="right"/>
              <w:ind w:right="68"/>
              <w:spacing w:after="0" w:line="143" w:lineRule="exact"/>
              <w:rPr>
                <w:sz w:val="20"/>
                <w:szCs w:val="20"/>
                <w:color w:val="auto"/>
              </w:rPr>
            </w:pPr>
            <w:r>
              <w:rPr>
                <w:rFonts w:ascii="Arial" w:cs="Arial" w:eastAsia="Arial" w:hAnsi="Arial"/>
                <w:sz w:val="14"/>
                <w:szCs w:val="14"/>
                <w:color w:val="4D4D4F"/>
              </w:rPr>
              <w:t>100,001</w:t>
            </w:r>
          </w:p>
        </w:tc>
        <w:tc>
          <w:tcPr>
            <w:tcW w:w="1680" w:type="dxa"/>
            <w:vAlign w:val="bottom"/>
          </w:tcPr>
          <w:p>
            <w:pPr>
              <w:jc w:val="right"/>
              <w:ind w:right="188"/>
              <w:spacing w:after="0" w:line="143" w:lineRule="exact"/>
              <w:rPr>
                <w:sz w:val="20"/>
                <w:szCs w:val="20"/>
                <w:color w:val="auto"/>
              </w:rPr>
            </w:pPr>
            <w:r>
              <w:rPr>
                <w:rFonts w:ascii="Arial" w:cs="Arial" w:eastAsia="Arial" w:hAnsi="Arial"/>
                <w:sz w:val="14"/>
                <w:szCs w:val="14"/>
                <w:color w:val="4D4D4F"/>
              </w:rPr>
              <w:t>—</w:t>
            </w:r>
          </w:p>
        </w:tc>
        <w:tc>
          <w:tcPr>
            <w:tcW w:w="1880" w:type="dxa"/>
            <w:vAlign w:val="bottom"/>
          </w:tcPr>
          <w:p>
            <w:pPr>
              <w:jc w:val="right"/>
              <w:ind w:right="168"/>
              <w:spacing w:after="0" w:line="143" w:lineRule="exact"/>
              <w:rPr>
                <w:sz w:val="20"/>
                <w:szCs w:val="20"/>
                <w:color w:val="auto"/>
              </w:rPr>
            </w:pPr>
            <w:r>
              <w:rPr>
                <w:rFonts w:ascii="Arial" w:cs="Arial" w:eastAsia="Arial" w:hAnsi="Arial"/>
                <w:sz w:val="14"/>
                <w:szCs w:val="14"/>
                <w:color w:val="4D4D4F"/>
              </w:rPr>
              <w:t>—</w:t>
            </w:r>
          </w:p>
        </w:tc>
        <w:tc>
          <w:tcPr>
            <w:tcW w:w="1620" w:type="dxa"/>
            <w:vAlign w:val="bottom"/>
          </w:tcPr>
          <w:p>
            <w:pPr>
              <w:jc w:val="right"/>
              <w:ind w:right="228"/>
              <w:spacing w:after="0" w:line="143" w:lineRule="exact"/>
              <w:rPr>
                <w:sz w:val="20"/>
                <w:szCs w:val="20"/>
                <w:color w:val="auto"/>
              </w:rPr>
            </w:pPr>
            <w:r>
              <w:rPr>
                <w:rFonts w:ascii="Arial" w:cs="Arial" w:eastAsia="Arial" w:hAnsi="Arial"/>
                <w:sz w:val="14"/>
                <w:szCs w:val="14"/>
                <w:color w:val="4D4D4F"/>
              </w:rPr>
              <w:t>$0.75</w:t>
            </w:r>
          </w:p>
        </w:tc>
        <w:tc>
          <w:tcPr>
            <w:tcW w:w="1740" w:type="dxa"/>
            <w:vAlign w:val="bottom"/>
          </w:tcPr>
          <w:p>
            <w:pPr>
              <w:jc w:val="right"/>
              <w:ind w:right="68"/>
              <w:spacing w:after="0" w:line="143" w:lineRule="exact"/>
              <w:rPr>
                <w:sz w:val="20"/>
                <w:szCs w:val="20"/>
                <w:color w:val="auto"/>
              </w:rPr>
            </w:pPr>
            <w:r>
              <w:rPr>
                <w:rFonts w:ascii="Arial" w:cs="Arial" w:eastAsia="Arial" w:hAnsi="Arial"/>
                <w:sz w:val="14"/>
                <w:szCs w:val="14"/>
                <w:color w:val="4D4D4F"/>
              </w:rPr>
              <w:t>4/30/2021</w:t>
            </w:r>
          </w:p>
        </w:tc>
      </w:tr>
      <w:tr>
        <w:trPr>
          <w:trHeight w:val="175"/>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(1)(4)</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400,000</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1.50</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4/30/2025</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(1)(5)</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326,397</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6,937</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3.00</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12/27/2026</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(1)(6)</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20,833</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29,167</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16.81</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4/22/2029</w:t>
            </w:r>
          </w:p>
        </w:tc>
      </w:tr>
      <w:tr>
        <w:trPr>
          <w:trHeight w:val="175"/>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(1)(7)</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181,799</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363,598</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22.07</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3/19/2030</w:t>
            </w:r>
          </w:p>
        </w:tc>
      </w:tr>
      <w:tr>
        <w:trPr>
          <w:trHeight w:val="208"/>
        </w:trPr>
        <w:tc>
          <w:tcPr>
            <w:tcW w:w="2100" w:type="dxa"/>
            <w:vAlign w:val="bottom"/>
          </w:tcPr>
          <w:p>
            <w:pPr>
              <w:spacing w:after="0"/>
              <w:rPr>
                <w:sz w:val="18"/>
                <w:szCs w:val="18"/>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(2)(8)</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538,462</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1.89</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12/31/2024</w:t>
            </w:r>
          </w:p>
        </w:tc>
      </w:tr>
      <w:tr>
        <w:trPr>
          <w:trHeight w:val="175"/>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4D4D4F"/>
              </w:rPr>
              <w:t>Mark McKechnie</w:t>
            </w: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(1)(9)</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13,333</w:t>
            </w:r>
          </w:p>
        </w:tc>
        <w:tc>
          <w:tcPr>
            <w:tcW w:w="1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4D4D4F"/>
              </w:rPr>
              <w:t>16,667</w:t>
            </w:r>
          </w:p>
        </w:tc>
        <w:tc>
          <w:tcPr>
            <w:tcW w:w="1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13.85</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07/31/2028</w:t>
            </w:r>
          </w:p>
        </w:tc>
      </w:tr>
      <w:tr>
        <w:trPr>
          <w:trHeight w:val="176"/>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(1)(6)</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5,000</w:t>
            </w:r>
          </w:p>
        </w:tc>
        <w:tc>
          <w:tcPr>
            <w:tcW w:w="1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4D4D4F"/>
              </w:rPr>
              <w:t>17,500</w:t>
            </w:r>
          </w:p>
        </w:tc>
        <w:tc>
          <w:tcPr>
            <w:tcW w:w="1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16.81</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04/22/2029</w:t>
            </w:r>
          </w:p>
        </w:tc>
      </w:tr>
      <w:tr>
        <w:trPr>
          <w:trHeight w:val="175"/>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(1)(10)</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5,416</w:t>
            </w:r>
          </w:p>
        </w:tc>
        <w:tc>
          <w:tcPr>
            <w:tcW w:w="1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4D4D4F"/>
              </w:rPr>
              <w:t>14,584</w:t>
            </w:r>
          </w:p>
        </w:tc>
        <w:tc>
          <w:tcPr>
            <w:tcW w:w="1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13.64</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11/03/2029</w:t>
            </w:r>
          </w:p>
        </w:tc>
      </w:tr>
      <w:tr>
        <w:trPr>
          <w:trHeight w:val="143"/>
        </w:trPr>
        <w:tc>
          <w:tcPr>
            <w:tcW w:w="2100" w:type="dxa"/>
            <w:vAlign w:val="bottom"/>
          </w:tcPr>
          <w:p>
            <w:pPr>
              <w:spacing w:after="0" w:line="143" w:lineRule="exact"/>
              <w:rPr>
                <w:sz w:val="20"/>
                <w:szCs w:val="20"/>
                <w:color w:val="auto"/>
              </w:rPr>
            </w:pPr>
            <w:r>
              <w:rPr>
                <w:rFonts w:ascii="Arial" w:cs="Arial" w:eastAsia="Arial" w:hAnsi="Arial"/>
                <w:sz w:val="14"/>
                <w:szCs w:val="14"/>
                <w:color w:val="4D4D4F"/>
              </w:rPr>
              <w:t>Jian Wang</w:t>
            </w:r>
          </w:p>
        </w:tc>
        <w:tc>
          <w:tcPr>
            <w:tcW w:w="880" w:type="dxa"/>
            <w:vAlign w:val="bottom"/>
          </w:tcPr>
          <w:p>
            <w:pPr>
              <w:jc w:val="center"/>
              <w:ind w:left="148"/>
              <w:spacing w:after="0" w:line="143" w:lineRule="exact"/>
              <w:rPr>
                <w:sz w:val="20"/>
                <w:szCs w:val="20"/>
                <w:color w:val="auto"/>
              </w:rPr>
            </w:pPr>
            <w:r>
              <w:rPr>
                <w:rFonts w:ascii="Arial" w:cs="Arial" w:eastAsia="Arial" w:hAnsi="Arial"/>
                <w:sz w:val="14"/>
                <w:szCs w:val="14"/>
                <w:color w:val="4D4D4F"/>
              </w:rPr>
              <w:t>(1)( 9 )</w:t>
            </w:r>
          </w:p>
        </w:tc>
        <w:tc>
          <w:tcPr>
            <w:tcW w:w="1340" w:type="dxa"/>
            <w:vAlign w:val="bottom"/>
          </w:tcPr>
          <w:p>
            <w:pPr>
              <w:jc w:val="right"/>
              <w:ind w:right="68"/>
              <w:spacing w:after="0" w:line="143" w:lineRule="exact"/>
              <w:rPr>
                <w:sz w:val="20"/>
                <w:szCs w:val="20"/>
                <w:color w:val="auto"/>
              </w:rPr>
            </w:pPr>
            <w:r>
              <w:rPr>
                <w:rFonts w:ascii="Arial" w:cs="Arial" w:eastAsia="Arial" w:hAnsi="Arial"/>
                <w:sz w:val="14"/>
                <w:szCs w:val="14"/>
                <w:color w:val="4D4D4F"/>
              </w:rPr>
              <w:t>23,333</w:t>
            </w:r>
          </w:p>
        </w:tc>
        <w:tc>
          <w:tcPr>
            <w:tcW w:w="1680" w:type="dxa"/>
            <w:vAlign w:val="bottom"/>
          </w:tcPr>
          <w:p>
            <w:pPr>
              <w:jc w:val="right"/>
              <w:ind w:right="188"/>
              <w:spacing w:after="0" w:line="143" w:lineRule="exact"/>
              <w:rPr>
                <w:sz w:val="20"/>
                <w:szCs w:val="20"/>
                <w:color w:val="auto"/>
              </w:rPr>
            </w:pPr>
            <w:r>
              <w:rPr>
                <w:rFonts w:ascii="Arial" w:cs="Arial" w:eastAsia="Arial" w:hAnsi="Arial"/>
                <w:sz w:val="14"/>
                <w:szCs w:val="14"/>
                <w:color w:val="4D4D4F"/>
              </w:rPr>
              <w:t>16,667</w:t>
            </w:r>
          </w:p>
        </w:tc>
        <w:tc>
          <w:tcPr>
            <w:tcW w:w="1880" w:type="dxa"/>
            <w:vAlign w:val="bottom"/>
          </w:tcPr>
          <w:p>
            <w:pPr>
              <w:jc w:val="right"/>
              <w:ind w:right="168"/>
              <w:spacing w:after="0" w:line="143" w:lineRule="exact"/>
              <w:rPr>
                <w:sz w:val="20"/>
                <w:szCs w:val="20"/>
                <w:color w:val="auto"/>
              </w:rPr>
            </w:pPr>
            <w:r>
              <w:rPr>
                <w:rFonts w:ascii="Arial" w:cs="Arial" w:eastAsia="Arial" w:hAnsi="Arial"/>
                <w:sz w:val="14"/>
                <w:szCs w:val="14"/>
                <w:color w:val="4D4D4F"/>
              </w:rPr>
              <w:t>—</w:t>
            </w:r>
          </w:p>
        </w:tc>
        <w:tc>
          <w:tcPr>
            <w:tcW w:w="1620" w:type="dxa"/>
            <w:vAlign w:val="bottom"/>
          </w:tcPr>
          <w:p>
            <w:pPr>
              <w:jc w:val="right"/>
              <w:ind w:right="228"/>
              <w:spacing w:after="0" w:line="143" w:lineRule="exact"/>
              <w:rPr>
                <w:sz w:val="20"/>
                <w:szCs w:val="20"/>
                <w:color w:val="auto"/>
              </w:rPr>
            </w:pPr>
            <w:r>
              <w:rPr>
                <w:rFonts w:ascii="Arial" w:cs="Arial" w:eastAsia="Arial" w:hAnsi="Arial"/>
                <w:sz w:val="14"/>
                <w:szCs w:val="14"/>
                <w:color w:val="4D4D4F"/>
              </w:rPr>
              <w:t>13.85</w:t>
            </w:r>
          </w:p>
        </w:tc>
        <w:tc>
          <w:tcPr>
            <w:tcW w:w="1740" w:type="dxa"/>
            <w:vAlign w:val="bottom"/>
          </w:tcPr>
          <w:p>
            <w:pPr>
              <w:jc w:val="right"/>
              <w:ind w:right="68"/>
              <w:spacing w:after="0" w:line="143" w:lineRule="exact"/>
              <w:rPr>
                <w:sz w:val="20"/>
                <w:szCs w:val="20"/>
                <w:color w:val="auto"/>
              </w:rPr>
            </w:pPr>
            <w:r>
              <w:rPr>
                <w:rFonts w:ascii="Arial" w:cs="Arial" w:eastAsia="Arial" w:hAnsi="Arial"/>
                <w:sz w:val="14"/>
                <w:szCs w:val="14"/>
                <w:color w:val="4D4D4F"/>
              </w:rPr>
              <w:t>7/31/2028</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(1)(6)</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12,500</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17,500</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16.81</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4/22/2029</w:t>
            </w:r>
          </w:p>
        </w:tc>
      </w:tr>
      <w:tr>
        <w:trPr>
          <w:trHeight w:val="208"/>
        </w:trPr>
        <w:tc>
          <w:tcPr>
            <w:tcW w:w="2100" w:type="dxa"/>
            <w:vAlign w:val="bottom"/>
          </w:tcPr>
          <w:p>
            <w:pPr>
              <w:spacing w:after="0"/>
              <w:rPr>
                <w:sz w:val="18"/>
                <w:szCs w:val="18"/>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(2)(8)</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298,462</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1.89</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12/31/2024</w:t>
            </w:r>
          </w:p>
        </w:tc>
      </w:tr>
      <w:tr>
        <w:trPr>
          <w:trHeight w:val="176"/>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4D4D4F"/>
              </w:rPr>
              <w:t>Lisa Feng</w:t>
            </w: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(1)(11)</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3,123</w:t>
            </w:r>
          </w:p>
        </w:tc>
        <w:tc>
          <w:tcPr>
            <w:tcW w:w="1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4D4D4F"/>
              </w:rPr>
              <w:t>2,784</w:t>
            </w:r>
          </w:p>
        </w:tc>
        <w:tc>
          <w:tcPr>
            <w:tcW w:w="1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5.60</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11/1/2027</w:t>
            </w:r>
          </w:p>
        </w:tc>
      </w:tr>
      <w:tr>
        <w:trPr>
          <w:trHeight w:val="175"/>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(1)(12)</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6,875</w:t>
            </w:r>
          </w:p>
        </w:tc>
        <w:tc>
          <w:tcPr>
            <w:tcW w:w="1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4D4D4F"/>
              </w:rPr>
              <w:t>8,125</w:t>
            </w:r>
          </w:p>
        </w:tc>
        <w:tc>
          <w:tcPr>
            <w:tcW w:w="1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5.31</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1/24/2028</w:t>
            </w:r>
          </w:p>
        </w:tc>
      </w:tr>
      <w:tr>
        <w:trPr>
          <w:trHeight w:val="176"/>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(1)(6)</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10,416</w:t>
            </w:r>
          </w:p>
        </w:tc>
        <w:tc>
          <w:tcPr>
            <w:tcW w:w="1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4D4D4F"/>
              </w:rPr>
              <w:t>14,584</w:t>
            </w:r>
          </w:p>
        </w:tc>
        <w:tc>
          <w:tcPr>
            <w:tcW w:w="1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16.81</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4/22/2029</w:t>
            </w:r>
          </w:p>
        </w:tc>
      </w:tr>
      <w:tr>
        <w:trPr>
          <w:trHeight w:val="175"/>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(1)(10)</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2,708</w:t>
            </w:r>
          </w:p>
        </w:tc>
        <w:tc>
          <w:tcPr>
            <w:tcW w:w="1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4D4D4F"/>
              </w:rPr>
              <w:t>7,292</w:t>
            </w:r>
          </w:p>
        </w:tc>
        <w:tc>
          <w:tcPr>
            <w:tcW w:w="1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13.64</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11/3/2029</w:t>
            </w:r>
          </w:p>
        </w:tc>
      </w:tr>
      <w:tr>
        <w:trPr>
          <w:trHeight w:val="176"/>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(1)(13)</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w:t>
            </w:r>
          </w:p>
        </w:tc>
        <w:tc>
          <w:tcPr>
            <w:tcW w:w="1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4D4D4F"/>
              </w:rPr>
              <w:t>10,000</w:t>
            </w:r>
          </w:p>
        </w:tc>
        <w:tc>
          <w:tcPr>
            <w:tcW w:w="1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38.26</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4/27/2030</w:t>
            </w:r>
          </w:p>
        </w:tc>
      </w:tr>
      <w:tr>
        <w:trPr>
          <w:trHeight w:val="176"/>
        </w:trPr>
        <w:tc>
          <w:tcPr>
            <w:tcW w:w="2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4D4D4F"/>
              </w:rPr>
              <w:t>(2)(8)</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w:t>
            </w:r>
          </w:p>
        </w:tc>
        <w:tc>
          <w:tcPr>
            <w:tcW w:w="16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4D4D4F"/>
              </w:rPr>
              <w:t>—</w:t>
            </w:r>
          </w:p>
        </w:tc>
        <w:tc>
          <w:tcPr>
            <w:tcW w:w="18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260,000</w:t>
            </w: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1.89</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12/31/2024</w:t>
            </w:r>
          </w:p>
        </w:tc>
      </w:tr>
      <w:tr>
        <w:trPr>
          <w:trHeight w:val="143"/>
        </w:trPr>
        <w:tc>
          <w:tcPr>
            <w:tcW w:w="2100" w:type="dxa"/>
            <w:vAlign w:val="bottom"/>
          </w:tcPr>
          <w:p>
            <w:pPr>
              <w:spacing w:after="0" w:line="143" w:lineRule="exact"/>
              <w:rPr>
                <w:sz w:val="20"/>
                <w:szCs w:val="20"/>
                <w:color w:val="auto"/>
              </w:rPr>
            </w:pPr>
            <w:r>
              <w:rPr>
                <w:rFonts w:ascii="Arial" w:cs="Arial" w:eastAsia="Arial" w:hAnsi="Arial"/>
                <w:sz w:val="14"/>
                <w:szCs w:val="14"/>
                <w:color w:val="4D4D4F"/>
              </w:rPr>
              <w:t>Fuping Chen</w:t>
            </w:r>
          </w:p>
        </w:tc>
        <w:tc>
          <w:tcPr>
            <w:tcW w:w="880" w:type="dxa"/>
            <w:vAlign w:val="bottom"/>
          </w:tcPr>
          <w:p>
            <w:pPr>
              <w:jc w:val="center"/>
              <w:ind w:left="148"/>
              <w:spacing w:after="0" w:line="143" w:lineRule="exact"/>
              <w:rPr>
                <w:sz w:val="20"/>
                <w:szCs w:val="20"/>
                <w:color w:val="auto"/>
              </w:rPr>
            </w:pPr>
            <w:r>
              <w:rPr>
                <w:rFonts w:ascii="Arial" w:cs="Arial" w:eastAsia="Arial" w:hAnsi="Arial"/>
                <w:sz w:val="14"/>
                <w:szCs w:val="14"/>
                <w:color w:val="4D4D4F"/>
              </w:rPr>
              <w:t>(1)(5)</w:t>
            </w:r>
          </w:p>
        </w:tc>
        <w:tc>
          <w:tcPr>
            <w:tcW w:w="1340" w:type="dxa"/>
            <w:vAlign w:val="bottom"/>
          </w:tcPr>
          <w:p>
            <w:pPr>
              <w:jc w:val="right"/>
              <w:ind w:right="68"/>
              <w:spacing w:after="0" w:line="143" w:lineRule="exact"/>
              <w:rPr>
                <w:sz w:val="20"/>
                <w:szCs w:val="20"/>
                <w:color w:val="auto"/>
              </w:rPr>
            </w:pPr>
            <w:r>
              <w:rPr>
                <w:rFonts w:ascii="Arial" w:cs="Arial" w:eastAsia="Arial" w:hAnsi="Arial"/>
                <w:sz w:val="14"/>
                <w:szCs w:val="14"/>
                <w:color w:val="4D4D4F"/>
              </w:rPr>
              <w:t>15,388</w:t>
            </w:r>
          </w:p>
        </w:tc>
        <w:tc>
          <w:tcPr>
            <w:tcW w:w="1680" w:type="dxa"/>
            <w:vAlign w:val="bottom"/>
          </w:tcPr>
          <w:p>
            <w:pPr>
              <w:jc w:val="right"/>
              <w:ind w:right="188"/>
              <w:spacing w:after="0" w:line="143" w:lineRule="exact"/>
              <w:rPr>
                <w:sz w:val="20"/>
                <w:szCs w:val="20"/>
                <w:color w:val="auto"/>
              </w:rPr>
            </w:pPr>
            <w:r>
              <w:rPr>
                <w:rFonts w:ascii="Arial" w:cs="Arial" w:eastAsia="Arial" w:hAnsi="Arial"/>
                <w:sz w:val="14"/>
                <w:szCs w:val="14"/>
                <w:color w:val="4D4D4F"/>
              </w:rPr>
              <w:t>—</w:t>
            </w:r>
          </w:p>
        </w:tc>
        <w:tc>
          <w:tcPr>
            <w:tcW w:w="1880" w:type="dxa"/>
            <w:vAlign w:val="bottom"/>
          </w:tcPr>
          <w:p>
            <w:pPr>
              <w:jc w:val="right"/>
              <w:ind w:right="168"/>
              <w:spacing w:after="0" w:line="143" w:lineRule="exact"/>
              <w:rPr>
                <w:sz w:val="20"/>
                <w:szCs w:val="20"/>
                <w:color w:val="auto"/>
              </w:rPr>
            </w:pPr>
            <w:r>
              <w:rPr>
                <w:rFonts w:ascii="Arial" w:cs="Arial" w:eastAsia="Arial" w:hAnsi="Arial"/>
                <w:sz w:val="14"/>
                <w:szCs w:val="14"/>
                <w:color w:val="4D4D4F"/>
              </w:rPr>
              <w:t>—</w:t>
            </w:r>
          </w:p>
        </w:tc>
        <w:tc>
          <w:tcPr>
            <w:tcW w:w="1620" w:type="dxa"/>
            <w:vAlign w:val="bottom"/>
          </w:tcPr>
          <w:p>
            <w:pPr>
              <w:jc w:val="right"/>
              <w:ind w:right="228"/>
              <w:spacing w:after="0" w:line="143" w:lineRule="exact"/>
              <w:rPr>
                <w:sz w:val="20"/>
                <w:szCs w:val="20"/>
                <w:color w:val="auto"/>
              </w:rPr>
            </w:pPr>
            <w:r>
              <w:rPr>
                <w:rFonts w:ascii="Arial" w:cs="Arial" w:eastAsia="Arial" w:hAnsi="Arial"/>
                <w:sz w:val="14"/>
                <w:szCs w:val="14"/>
                <w:color w:val="4D4D4F"/>
              </w:rPr>
              <w:t>3.00</w:t>
            </w:r>
          </w:p>
        </w:tc>
        <w:tc>
          <w:tcPr>
            <w:tcW w:w="1740" w:type="dxa"/>
            <w:vAlign w:val="bottom"/>
          </w:tcPr>
          <w:p>
            <w:pPr>
              <w:jc w:val="right"/>
              <w:ind w:right="68"/>
              <w:spacing w:after="0" w:line="143" w:lineRule="exact"/>
              <w:rPr>
                <w:sz w:val="20"/>
                <w:szCs w:val="20"/>
                <w:color w:val="auto"/>
              </w:rPr>
            </w:pPr>
            <w:r>
              <w:rPr>
                <w:rFonts w:ascii="Arial" w:cs="Arial" w:eastAsia="Arial" w:hAnsi="Arial"/>
                <w:sz w:val="14"/>
                <w:szCs w:val="14"/>
                <w:color w:val="4D4D4F"/>
              </w:rPr>
              <w:t>12/27/2026</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(1)(5)</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46,667</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3.00</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12/27/2026</w:t>
            </w:r>
          </w:p>
        </w:tc>
      </w:tr>
      <w:tr>
        <w:trPr>
          <w:trHeight w:val="175"/>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(1)(12)</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36,458</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13,542</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5.31</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1/24/2028</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(1)(14)</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3,332</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6,668</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16.00</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8/3/2029</w:t>
            </w:r>
          </w:p>
        </w:tc>
      </w:tr>
      <w:tr>
        <w:trPr>
          <w:trHeight w:val="176"/>
        </w:trPr>
        <w:tc>
          <w:tcPr>
            <w:tcW w:w="2100" w:type="dxa"/>
            <w:vAlign w:val="bottom"/>
          </w:tcPr>
          <w:p>
            <w:pPr>
              <w:spacing w:after="0"/>
              <w:rPr>
                <w:sz w:val="15"/>
                <w:szCs w:val="15"/>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(1)(15)</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20,000</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85.27</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7/27/2030</w:t>
            </w:r>
          </w:p>
        </w:tc>
      </w:tr>
      <w:tr>
        <w:trPr>
          <w:trHeight w:val="226"/>
        </w:trPr>
        <w:tc>
          <w:tcPr>
            <w:tcW w:w="2100" w:type="dxa"/>
            <w:vAlign w:val="bottom"/>
          </w:tcPr>
          <w:p>
            <w:pPr>
              <w:spacing w:after="0"/>
              <w:rPr>
                <w:sz w:val="19"/>
                <w:szCs w:val="19"/>
                <w:color w:val="auto"/>
              </w:rPr>
            </w:pPr>
          </w:p>
        </w:tc>
        <w:tc>
          <w:tcPr>
            <w:tcW w:w="880" w:type="dxa"/>
            <w:vAlign w:val="bottom"/>
          </w:tcPr>
          <w:p>
            <w:pPr>
              <w:jc w:val="center"/>
              <w:ind w:left="148"/>
              <w:spacing w:after="0"/>
              <w:rPr>
                <w:sz w:val="20"/>
                <w:szCs w:val="20"/>
                <w:color w:val="auto"/>
              </w:rPr>
            </w:pPr>
            <w:r>
              <w:rPr>
                <w:rFonts w:ascii="Arial" w:cs="Arial" w:eastAsia="Arial" w:hAnsi="Arial"/>
                <w:sz w:val="14"/>
                <w:szCs w:val="14"/>
                <w:color w:val="4D4D4F"/>
              </w:rPr>
              <w:t>(2)(8)</w:t>
            </w:r>
          </w:p>
        </w:tc>
        <w:tc>
          <w:tcPr>
            <w:tcW w:w="1340" w:type="dxa"/>
            <w:vAlign w:val="bottom"/>
          </w:tcPr>
          <w:p>
            <w:pPr>
              <w:jc w:val="right"/>
              <w:ind w:right="68"/>
              <w:spacing w:after="0"/>
              <w:rPr>
                <w:sz w:val="20"/>
                <w:szCs w:val="20"/>
                <w:color w:val="auto"/>
              </w:rPr>
            </w:pPr>
            <w:r>
              <w:rPr>
                <w:rFonts w:ascii="Arial" w:cs="Arial" w:eastAsia="Arial" w:hAnsi="Arial"/>
                <w:sz w:val="14"/>
                <w:szCs w:val="14"/>
                <w:color w:val="4D4D4F"/>
              </w:rPr>
              <w:t>—</w:t>
            </w:r>
          </w:p>
        </w:tc>
        <w:tc>
          <w:tcPr>
            <w:tcW w:w="1680" w:type="dxa"/>
            <w:vAlign w:val="bottom"/>
          </w:tcPr>
          <w:p>
            <w:pPr>
              <w:jc w:val="right"/>
              <w:ind w:right="188"/>
              <w:spacing w:after="0"/>
              <w:rPr>
                <w:sz w:val="20"/>
                <w:szCs w:val="20"/>
                <w:color w:val="auto"/>
              </w:rPr>
            </w:pPr>
            <w:r>
              <w:rPr>
                <w:rFonts w:ascii="Arial" w:cs="Arial" w:eastAsia="Arial" w:hAnsi="Arial"/>
                <w:sz w:val="14"/>
                <w:szCs w:val="14"/>
                <w:color w:val="4D4D4F"/>
              </w:rPr>
              <w:t>—</w:t>
            </w:r>
          </w:p>
        </w:tc>
        <w:tc>
          <w:tcPr>
            <w:tcW w:w="1880" w:type="dxa"/>
            <w:vAlign w:val="bottom"/>
          </w:tcPr>
          <w:p>
            <w:pPr>
              <w:jc w:val="right"/>
              <w:ind w:right="168"/>
              <w:spacing w:after="0"/>
              <w:rPr>
                <w:sz w:val="20"/>
                <w:szCs w:val="20"/>
                <w:color w:val="auto"/>
              </w:rPr>
            </w:pPr>
            <w:r>
              <w:rPr>
                <w:rFonts w:ascii="Arial" w:cs="Arial" w:eastAsia="Arial" w:hAnsi="Arial"/>
                <w:sz w:val="14"/>
                <w:szCs w:val="14"/>
                <w:color w:val="4D4D4F"/>
              </w:rPr>
              <w:t>260,000</w:t>
            </w:r>
          </w:p>
        </w:tc>
        <w:tc>
          <w:tcPr>
            <w:tcW w:w="1620" w:type="dxa"/>
            <w:vAlign w:val="bottom"/>
          </w:tcPr>
          <w:p>
            <w:pPr>
              <w:jc w:val="right"/>
              <w:ind w:right="228"/>
              <w:spacing w:after="0"/>
              <w:rPr>
                <w:sz w:val="20"/>
                <w:szCs w:val="20"/>
                <w:color w:val="auto"/>
              </w:rPr>
            </w:pPr>
            <w:r>
              <w:rPr>
                <w:rFonts w:ascii="Arial" w:cs="Arial" w:eastAsia="Arial" w:hAnsi="Arial"/>
                <w:sz w:val="14"/>
                <w:szCs w:val="14"/>
                <w:color w:val="4D4D4F"/>
              </w:rPr>
              <w:t>1.89</w:t>
            </w:r>
          </w:p>
        </w:tc>
        <w:tc>
          <w:tcPr>
            <w:tcW w:w="1740" w:type="dxa"/>
            <w:vAlign w:val="bottom"/>
          </w:tcPr>
          <w:p>
            <w:pPr>
              <w:jc w:val="right"/>
              <w:ind w:right="68"/>
              <w:spacing w:after="0"/>
              <w:rPr>
                <w:sz w:val="20"/>
                <w:szCs w:val="20"/>
                <w:color w:val="auto"/>
              </w:rPr>
            </w:pPr>
            <w:r>
              <w:rPr>
                <w:rFonts w:ascii="Arial" w:cs="Arial" w:eastAsia="Arial" w:hAnsi="Arial"/>
                <w:sz w:val="14"/>
                <w:szCs w:val="14"/>
                <w:color w:val="4D4D4F"/>
              </w:rPr>
              <w:t>12/31/2024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-3413760</wp:posOffset>
            </wp:positionV>
            <wp:extent cx="52463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21"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exercisable, subject to vesting, to acquire Class A common stock.</w:t>
      </w:r>
    </w:p>
    <w:p>
      <w:pPr>
        <w:spacing w:after="0" w:line="55" w:lineRule="exact"/>
        <w:rPr>
          <w:rFonts w:ascii="Arial" w:cs="Arial" w:eastAsia="Arial" w:hAnsi="Arial"/>
          <w:sz w:val="14"/>
          <w:szCs w:val="14"/>
          <w:color w:val="4D4D4F"/>
        </w:rPr>
      </w:pPr>
    </w:p>
    <w:p>
      <w:pPr>
        <w:jc w:val="both"/>
        <w:ind w:left="340" w:hanging="332"/>
        <w:spacing w:after="0" w:line="244"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exercisable, subject to vesting, to acquire shares of ACM Research (Shanghai), Inc. Assumes threshold achievement. One-half of the option vests on January 1, 2023, generally subject to continued service and key financial metrics. The remaining half of the option vests on January 1, 2024, generally subject to continued service and key financial metrics. In each case, vesting is also contingent on the applicable NEO’s performance rating for the year prior to the applicable time-based vesting date, such that 100% of the option that would otherwise vest pursuant to the foregoing two sentences will vest if such performance rating is “excellent” or “good,” 80% if such performance rating is “medium,” 60% if such performance rating is “pass,” and 0% if such performance rating is below “pass.” All such options accelerate vesting upon a defined change in control of ACM.</w:t>
      </w:r>
    </w:p>
    <w:p>
      <w:pPr>
        <w:spacing w:after="0" w:line="43" w:lineRule="exact"/>
        <w:rPr>
          <w:rFonts w:ascii="Arial" w:cs="Arial" w:eastAsia="Arial" w:hAnsi="Arial"/>
          <w:sz w:val="14"/>
          <w:szCs w:val="14"/>
          <w:color w:val="4D4D4F"/>
        </w:rPr>
      </w:pPr>
    </w:p>
    <w:p>
      <w:pPr>
        <w:ind w:left="340" w:hanging="332"/>
        <w:spacing w:after="0"/>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fully vested on May 1, 2011.</w:t>
      </w:r>
    </w:p>
    <w:p>
      <w:pPr>
        <w:spacing w:after="0" w:line="17" w:lineRule="exact"/>
        <w:rPr>
          <w:rFonts w:ascii="Arial" w:cs="Arial" w:eastAsia="Arial" w:hAnsi="Arial"/>
          <w:sz w:val="14"/>
          <w:szCs w:val="14"/>
          <w:color w:val="4D4D4F"/>
        </w:rPr>
      </w:pPr>
    </w:p>
    <w:p>
      <w:pPr>
        <w:jc w:val="both"/>
        <w:ind w:left="340" w:hanging="332"/>
        <w:spacing w:after="0" w:line="306"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May 1, 2015.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2"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December 28, 2016.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April 23,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March 20, 2020. An initial 181,799 shares vested and became exercisable on August 5, 2020, which was the first trading day as of which the Issuer's market capitalization equaled or exceeded $1,553,383,586. The remaining shares will vest and become exercise in two equal installments upon the first trading days, if any, on which the Issuer's market capitalization equals or exceeds $2,553,383,586 and $3,553,383,586, respectively.</w:t>
      </w:r>
    </w:p>
    <w:p>
      <w:pPr>
        <w:spacing w:after="0" w:line="38" w:lineRule="exact"/>
        <w:rPr>
          <w:rFonts w:ascii="Arial" w:cs="Arial" w:eastAsia="Arial" w:hAnsi="Arial"/>
          <w:sz w:val="14"/>
          <w:szCs w:val="14"/>
          <w:color w:val="4D4D4F"/>
        </w:rPr>
      </w:pPr>
    </w:p>
    <w:p>
      <w:pPr>
        <w:jc w:val="both"/>
        <w:ind w:left="340" w:hanging="332"/>
        <w:spacing w:after="0" w:line="247"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January 1, 2020. Performance-based option award pursuant to which one-half of the shares subject to the award vests and becomes exercisable on the third anniversary of the grant date if ACM Shanghai’s operating income is not less than RMB1 billion for the year ending December 31, 2021, and the second half of the shares subject to the award vests and becomes exercisable on the fourth anniversary of the grant date if ACM Shanghai’s operating income is not less than RMB1.2 billion for the year ending December 31, 2022.</w:t>
      </w:r>
    </w:p>
    <w:p>
      <w:pPr>
        <w:spacing w:after="0" w:line="39"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August 1, 2018.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November 4,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November 2, 2017.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January 25, 2018.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April 28, 2020.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hanging="332"/>
        <w:spacing w:after="0" w:line="249"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August 4,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p>
      <w:pPr>
        <w:spacing w:after="0" w:line="38" w:lineRule="exact"/>
        <w:rPr>
          <w:rFonts w:ascii="Arial" w:cs="Arial" w:eastAsia="Arial" w:hAnsi="Arial"/>
          <w:sz w:val="14"/>
          <w:szCs w:val="14"/>
          <w:color w:val="4D4D4F"/>
        </w:rPr>
      </w:pPr>
    </w:p>
    <w:p>
      <w:pPr>
        <w:jc w:val="both"/>
        <w:ind w:left="340" w:right="20" w:hanging="332"/>
        <w:spacing w:after="0" w:line="249" w:lineRule="auto"/>
        <w:tabs>
          <w:tab w:leader="none" w:pos="340" w:val="left"/>
        </w:tabs>
        <w:numPr>
          <w:ilvl w:val="0"/>
          <w:numId w:val="57"/>
        </w:numPr>
        <w:rPr>
          <w:rFonts w:ascii="Arial" w:cs="Arial" w:eastAsia="Arial" w:hAnsi="Arial"/>
          <w:sz w:val="14"/>
          <w:szCs w:val="14"/>
          <w:color w:val="4D4D4F"/>
        </w:rPr>
      </w:pPr>
      <w:r>
        <w:rPr>
          <w:rFonts w:ascii="Arial" w:cs="Arial" w:eastAsia="Arial" w:hAnsi="Arial"/>
          <w:sz w:val="14"/>
          <w:szCs w:val="14"/>
          <w:color w:val="4D4D4F"/>
        </w:rPr>
        <w:t>Option was granted on July 28, 2020. Performance-based option award pursuant to which one-half of the shares subject to the award vests and becomes exercisable upon our receipt of our first demo tool order from a specified semiconductor company and the other half vests and becomes exercisable upon the qualification of our first demo tool for such semiconductor company.</w:t>
      </w:r>
    </w:p>
    <w:p>
      <w:pPr>
        <w:spacing w:after="0" w:line="109" w:lineRule="exact"/>
        <w:rPr>
          <w:sz w:val="20"/>
          <w:szCs w:val="20"/>
          <w:color w:val="auto"/>
        </w:rPr>
      </w:pPr>
    </w:p>
    <w:p>
      <w:pPr>
        <w:spacing w:after="0" w:line="322" w:lineRule="auto"/>
        <w:rPr>
          <w:sz w:val="20"/>
          <w:szCs w:val="20"/>
          <w:color w:val="auto"/>
        </w:rPr>
      </w:pPr>
      <w:r>
        <w:rPr>
          <w:rFonts w:ascii="Arial" w:cs="Arial" w:eastAsia="Arial" w:hAnsi="Arial"/>
          <w:sz w:val="18"/>
          <w:szCs w:val="18"/>
          <w:color w:val="4D4D4F"/>
        </w:rPr>
        <w:t>For information regarding the vesting acceleration provisions applicable to the options held by our NEOs, please see “Compensation Discussion and Analysis—Potential Change in Control Benefits” below.</w:t>
      </w:r>
    </w:p>
    <w:p>
      <w:pPr>
        <w:sectPr>
          <w:pgSz w:w="11900" w:h="16838" w:orient="portrait"/>
          <w:cols w:equalWidth="0" w:num="1">
            <w:col w:w="11240"/>
          </w:cols>
          <w:pgMar w:left="320" w:top="130" w:right="339" w:bottom="237"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237"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2020 Equity Award Exercises and Stock Vested</w:t>
      </w:r>
    </w:p>
    <w:p>
      <w:pPr>
        <w:spacing w:after="0" w:line="269"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provides information regarding the exercise by the NEOs of vested options during the year ended December 31, 2020. All options were exercised for Class A common stock.</w:t>
      </w:r>
    </w:p>
    <w:p>
      <w:pPr>
        <w:spacing w:after="0" w:line="76" w:lineRule="exact"/>
        <w:rPr>
          <w:sz w:val="20"/>
          <w:szCs w:val="20"/>
          <w:color w:val="auto"/>
        </w:rPr>
      </w:pPr>
    </w:p>
    <w:tbl>
      <w:tblPr>
        <w:tblLayout w:type="fixed"/>
        <w:tblInd w:w="2260" w:type="dxa"/>
        <w:tblCellMar>
          <w:top w:w="0" w:type="dxa"/>
          <w:left w:w="0" w:type="dxa"/>
          <w:bottom w:w="0" w:type="dxa"/>
          <w:right w:w="0" w:type="dxa"/>
        </w:tblCellMar>
      </w:tblPr>
      <w:tr>
        <w:trPr>
          <w:trHeight w:val="189"/>
        </w:trPr>
        <w:tc>
          <w:tcPr>
            <w:tcW w:w="2620" w:type="dxa"/>
            <w:vAlign w:val="bottom"/>
            <w:shd w:val="clear" w:color="auto" w:fill="003E64"/>
          </w:tcPr>
          <w:p>
            <w:pPr>
              <w:spacing w:after="0"/>
              <w:rPr>
                <w:sz w:val="16"/>
                <w:szCs w:val="16"/>
                <w:color w:val="auto"/>
              </w:rPr>
            </w:pPr>
          </w:p>
        </w:tc>
        <w:tc>
          <w:tcPr>
            <w:tcW w:w="4120" w:type="dxa"/>
            <w:vAlign w:val="bottom"/>
            <w:gridSpan w:val="3"/>
            <w:shd w:val="clear" w:color="auto" w:fill="003E64"/>
          </w:tcPr>
          <w:p>
            <w:pPr>
              <w:jc w:val="right"/>
              <w:ind w:right="1468"/>
              <w:spacing w:after="0"/>
              <w:rPr>
                <w:sz w:val="20"/>
                <w:szCs w:val="20"/>
                <w:color w:val="auto"/>
              </w:rPr>
            </w:pPr>
            <w:r>
              <w:rPr>
                <w:rFonts w:ascii="Arial" w:cs="Arial" w:eastAsia="Arial" w:hAnsi="Arial"/>
                <w:sz w:val="14"/>
                <w:szCs w:val="14"/>
                <w:b w:val="1"/>
                <w:bCs w:val="1"/>
                <w:color w:val="FFFFFF"/>
              </w:rPr>
              <w:t>Option Awards</w:t>
            </w:r>
          </w:p>
        </w:tc>
      </w:tr>
      <w:tr>
        <w:trPr>
          <w:trHeight w:val="162"/>
        </w:trPr>
        <w:tc>
          <w:tcPr>
            <w:tcW w:w="2620" w:type="dxa"/>
            <w:vAlign w:val="bottom"/>
            <w:shd w:val="clear" w:color="auto" w:fill="003E64"/>
          </w:tcPr>
          <w:p>
            <w:pPr>
              <w:spacing w:after="0"/>
              <w:rPr>
                <w:sz w:val="14"/>
                <w:szCs w:val="14"/>
                <w:color w:val="auto"/>
              </w:rPr>
            </w:pPr>
          </w:p>
        </w:tc>
        <w:tc>
          <w:tcPr>
            <w:tcW w:w="1840" w:type="dxa"/>
            <w:vAlign w:val="bottom"/>
            <w:shd w:val="clear" w:color="auto" w:fill="003E64"/>
          </w:tcPr>
          <w:p>
            <w:pPr>
              <w:jc w:val="center"/>
              <w:ind w:left="208"/>
              <w:spacing w:after="0"/>
              <w:rPr>
                <w:sz w:val="20"/>
                <w:szCs w:val="20"/>
                <w:color w:val="auto"/>
              </w:rPr>
            </w:pPr>
            <w:r>
              <w:rPr>
                <w:rFonts w:ascii="Arial" w:cs="Arial" w:eastAsia="Arial" w:hAnsi="Arial"/>
                <w:sz w:val="14"/>
                <w:szCs w:val="14"/>
                <w:b w:val="1"/>
                <w:bCs w:val="1"/>
                <w:color w:val="FFFFFF"/>
              </w:rPr>
              <w:t>Number of Shares</w:t>
            </w:r>
          </w:p>
        </w:tc>
        <w:tc>
          <w:tcPr>
            <w:tcW w:w="460" w:type="dxa"/>
            <w:vAlign w:val="bottom"/>
            <w:shd w:val="clear" w:color="auto" w:fill="003E64"/>
          </w:tcPr>
          <w:p>
            <w:pPr>
              <w:spacing w:after="0"/>
              <w:rPr>
                <w:sz w:val="14"/>
                <w:szCs w:val="14"/>
                <w:color w:val="auto"/>
              </w:rPr>
            </w:pPr>
          </w:p>
        </w:tc>
        <w:tc>
          <w:tcPr>
            <w:tcW w:w="1820" w:type="dxa"/>
            <w:vAlign w:val="bottom"/>
            <w:shd w:val="clear" w:color="auto" w:fill="003E64"/>
          </w:tcPr>
          <w:p>
            <w:pPr>
              <w:spacing w:after="0"/>
              <w:rPr>
                <w:sz w:val="14"/>
                <w:szCs w:val="14"/>
                <w:color w:val="auto"/>
              </w:rPr>
            </w:pPr>
          </w:p>
        </w:tc>
      </w:tr>
      <w:tr>
        <w:trPr>
          <w:trHeight w:val="162"/>
        </w:trPr>
        <w:tc>
          <w:tcPr>
            <w:tcW w:w="2620" w:type="dxa"/>
            <w:vAlign w:val="bottom"/>
            <w:shd w:val="clear" w:color="auto" w:fill="003E64"/>
          </w:tcPr>
          <w:p>
            <w:pPr>
              <w:spacing w:after="0"/>
              <w:rPr>
                <w:sz w:val="14"/>
                <w:szCs w:val="14"/>
                <w:color w:val="auto"/>
              </w:rPr>
            </w:pPr>
          </w:p>
        </w:tc>
        <w:tc>
          <w:tcPr>
            <w:tcW w:w="1840" w:type="dxa"/>
            <w:vAlign w:val="bottom"/>
            <w:shd w:val="clear" w:color="auto" w:fill="003E64"/>
          </w:tcPr>
          <w:p>
            <w:pPr>
              <w:jc w:val="center"/>
              <w:ind w:left="208"/>
              <w:spacing w:after="0"/>
              <w:rPr>
                <w:sz w:val="20"/>
                <w:szCs w:val="20"/>
                <w:color w:val="auto"/>
              </w:rPr>
            </w:pPr>
            <w:r>
              <w:rPr>
                <w:rFonts w:ascii="Arial" w:cs="Arial" w:eastAsia="Arial" w:hAnsi="Arial"/>
                <w:sz w:val="14"/>
                <w:szCs w:val="14"/>
                <w:b w:val="1"/>
                <w:bCs w:val="1"/>
                <w:color w:val="FFFFFF"/>
              </w:rPr>
              <w:t>Acquired on Exercise</w:t>
            </w:r>
          </w:p>
        </w:tc>
        <w:tc>
          <w:tcPr>
            <w:tcW w:w="460" w:type="dxa"/>
            <w:vAlign w:val="bottom"/>
            <w:shd w:val="clear" w:color="auto" w:fill="003E64"/>
          </w:tcPr>
          <w:p>
            <w:pPr>
              <w:spacing w:after="0"/>
              <w:rPr>
                <w:sz w:val="14"/>
                <w:szCs w:val="14"/>
                <w:color w:val="auto"/>
              </w:rPr>
            </w:pPr>
          </w:p>
        </w:tc>
        <w:tc>
          <w:tcPr>
            <w:tcW w:w="1820" w:type="dxa"/>
            <w:vAlign w:val="bottom"/>
            <w:shd w:val="clear" w:color="auto" w:fill="003E64"/>
          </w:tcPr>
          <w:p>
            <w:pPr>
              <w:jc w:val="right"/>
              <w:ind w:right="528"/>
              <w:spacing w:after="0"/>
              <w:rPr>
                <w:sz w:val="20"/>
                <w:szCs w:val="20"/>
                <w:color w:val="auto"/>
              </w:rPr>
            </w:pPr>
            <w:r>
              <w:rPr>
                <w:rFonts w:ascii="Arial" w:cs="Arial" w:eastAsia="Arial" w:hAnsi="Arial"/>
                <w:sz w:val="14"/>
                <w:szCs w:val="14"/>
                <w:b w:val="1"/>
                <w:bCs w:val="1"/>
                <w:color w:val="FFFFFF"/>
              </w:rPr>
              <w:t>Value Realized</w:t>
            </w:r>
          </w:p>
        </w:tc>
      </w:tr>
      <w:tr>
        <w:trPr>
          <w:trHeight w:val="175"/>
        </w:trPr>
        <w:tc>
          <w:tcPr>
            <w:tcW w:w="262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w:t>
            </w:r>
          </w:p>
        </w:tc>
        <w:tc>
          <w:tcPr>
            <w:tcW w:w="1840" w:type="dxa"/>
            <w:vAlign w:val="bottom"/>
            <w:shd w:val="clear" w:color="auto" w:fill="003E64"/>
          </w:tcPr>
          <w:p>
            <w:pPr>
              <w:jc w:val="center"/>
              <w:ind w:left="188"/>
              <w:spacing w:after="0"/>
              <w:rPr>
                <w:sz w:val="20"/>
                <w:szCs w:val="20"/>
                <w:color w:val="auto"/>
              </w:rPr>
            </w:pPr>
            <w:r>
              <w:rPr>
                <w:rFonts w:ascii="Arial" w:cs="Arial" w:eastAsia="Arial" w:hAnsi="Arial"/>
                <w:sz w:val="14"/>
                <w:szCs w:val="14"/>
                <w:b w:val="1"/>
                <w:bCs w:val="1"/>
                <w:color w:val="FFFFFF"/>
              </w:rPr>
              <w:t>(#)</w:t>
            </w:r>
          </w:p>
        </w:tc>
        <w:tc>
          <w:tcPr>
            <w:tcW w:w="460" w:type="dxa"/>
            <w:vAlign w:val="bottom"/>
            <w:shd w:val="clear" w:color="auto" w:fill="003E64"/>
          </w:tcPr>
          <w:p>
            <w:pPr>
              <w:spacing w:after="0"/>
              <w:rPr>
                <w:sz w:val="15"/>
                <w:szCs w:val="15"/>
                <w:color w:val="auto"/>
              </w:rPr>
            </w:pPr>
          </w:p>
        </w:tc>
        <w:tc>
          <w:tcPr>
            <w:tcW w:w="1820" w:type="dxa"/>
            <w:vAlign w:val="bottom"/>
            <w:shd w:val="clear" w:color="auto" w:fill="003E64"/>
          </w:tcPr>
          <w:p>
            <w:pPr>
              <w:jc w:val="right"/>
              <w:ind w:right="508"/>
              <w:spacing w:after="0"/>
              <w:rPr>
                <w:sz w:val="20"/>
                <w:szCs w:val="20"/>
                <w:color w:val="auto"/>
              </w:rPr>
            </w:pPr>
            <w:r>
              <w:rPr>
                <w:rFonts w:ascii="Arial" w:cs="Arial" w:eastAsia="Arial" w:hAnsi="Arial"/>
                <w:sz w:val="14"/>
                <w:szCs w:val="14"/>
                <w:b w:val="1"/>
                <w:bCs w:val="1"/>
                <w:color w:val="FFFFFF"/>
              </w:rPr>
              <w:t>on Exercise ($)</w:t>
            </w:r>
          </w:p>
        </w:tc>
      </w:tr>
      <w:tr>
        <w:trPr>
          <w:trHeight w:val="189"/>
        </w:trPr>
        <w:tc>
          <w:tcPr>
            <w:tcW w:w="2620" w:type="dxa"/>
            <w:vAlign w:val="bottom"/>
          </w:tcPr>
          <w:p>
            <w:pPr>
              <w:spacing w:after="0"/>
              <w:rPr>
                <w:sz w:val="20"/>
                <w:szCs w:val="20"/>
                <w:color w:val="auto"/>
              </w:rPr>
            </w:pPr>
            <w:r>
              <w:rPr>
                <w:rFonts w:ascii="Arial" w:cs="Arial" w:eastAsia="Arial" w:hAnsi="Arial"/>
                <w:sz w:val="14"/>
                <w:szCs w:val="14"/>
                <w:color w:val="4D4D4F"/>
              </w:rPr>
              <w:t>David H. Wang</w:t>
            </w:r>
          </w:p>
        </w:tc>
        <w:tc>
          <w:tcPr>
            <w:tcW w:w="1840" w:type="dxa"/>
            <w:vAlign w:val="bottom"/>
          </w:tcPr>
          <w:p>
            <w:pPr>
              <w:jc w:val="right"/>
              <w:spacing w:after="0"/>
              <w:rPr>
                <w:sz w:val="20"/>
                <w:szCs w:val="20"/>
                <w:color w:val="auto"/>
              </w:rPr>
            </w:pPr>
            <w:r>
              <w:rPr>
                <w:rFonts w:ascii="Arial" w:cs="Arial" w:eastAsia="Arial" w:hAnsi="Arial"/>
                <w:sz w:val="14"/>
                <w:szCs w:val="14"/>
                <w:color w:val="4D4D4F"/>
              </w:rPr>
              <w:t>168,436</w:t>
            </w: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1820" w:type="dxa"/>
            <w:vAlign w:val="bottom"/>
          </w:tcPr>
          <w:p>
            <w:pPr>
              <w:jc w:val="right"/>
              <w:ind w:right="308"/>
              <w:spacing w:after="0"/>
              <w:rPr>
                <w:sz w:val="20"/>
                <w:szCs w:val="20"/>
                <w:color w:val="auto"/>
              </w:rPr>
            </w:pPr>
            <w:r>
              <w:rPr>
                <w:rFonts w:ascii="Arial" w:cs="Arial" w:eastAsia="Arial" w:hAnsi="Arial"/>
                <w:sz w:val="14"/>
                <w:szCs w:val="14"/>
                <w:color w:val="4D4D4F"/>
              </w:rPr>
              <w:t>$15,239,844</w:t>
            </w:r>
          </w:p>
        </w:tc>
      </w:tr>
      <w:tr>
        <w:trPr>
          <w:trHeight w:val="189"/>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4D4D4F"/>
              </w:rPr>
              <w:t>Mark McKechnie</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4D4D4F"/>
              </w:rPr>
              <w:t>17,500</w:t>
            </w:r>
          </w:p>
        </w:tc>
        <w:tc>
          <w:tcPr>
            <w:tcW w:w="46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4D4D4F"/>
              </w:rPr>
              <w:t>1,038,329</w:t>
            </w:r>
          </w:p>
        </w:tc>
      </w:tr>
      <w:tr>
        <w:trPr>
          <w:trHeight w:val="189"/>
        </w:trPr>
        <w:tc>
          <w:tcPr>
            <w:tcW w:w="2620" w:type="dxa"/>
            <w:vAlign w:val="bottom"/>
          </w:tcPr>
          <w:p>
            <w:pPr>
              <w:spacing w:after="0"/>
              <w:rPr>
                <w:sz w:val="20"/>
                <w:szCs w:val="20"/>
                <w:color w:val="auto"/>
              </w:rPr>
            </w:pPr>
            <w:r>
              <w:rPr>
                <w:rFonts w:ascii="Arial" w:cs="Arial" w:eastAsia="Arial" w:hAnsi="Arial"/>
                <w:sz w:val="14"/>
                <w:szCs w:val="14"/>
                <w:color w:val="4D4D4F"/>
              </w:rPr>
              <w:t>Jian Wang</w:t>
            </w:r>
          </w:p>
        </w:tc>
        <w:tc>
          <w:tcPr>
            <w:tcW w:w="1840" w:type="dxa"/>
            <w:vAlign w:val="bottom"/>
          </w:tcPr>
          <w:p>
            <w:pPr>
              <w:jc w:val="right"/>
              <w:spacing w:after="0"/>
              <w:rPr>
                <w:sz w:val="20"/>
                <w:szCs w:val="20"/>
                <w:color w:val="auto"/>
              </w:rPr>
            </w:pPr>
            <w:r>
              <w:rPr>
                <w:rFonts w:ascii="Arial" w:cs="Arial" w:eastAsia="Arial" w:hAnsi="Arial"/>
                <w:sz w:val="14"/>
                <w:szCs w:val="14"/>
                <w:color w:val="4D4D4F"/>
              </w:rPr>
              <w:t>33,334</w:t>
            </w:r>
          </w:p>
        </w:tc>
        <w:tc>
          <w:tcPr>
            <w:tcW w:w="460" w:type="dxa"/>
            <w:vAlign w:val="bottom"/>
          </w:tcPr>
          <w:p>
            <w:pPr>
              <w:spacing w:after="0"/>
              <w:rPr>
                <w:sz w:val="16"/>
                <w:szCs w:val="16"/>
                <w:color w:val="auto"/>
              </w:rPr>
            </w:pPr>
          </w:p>
        </w:tc>
        <w:tc>
          <w:tcPr>
            <w:tcW w:w="1820" w:type="dxa"/>
            <w:vAlign w:val="bottom"/>
          </w:tcPr>
          <w:p>
            <w:pPr>
              <w:jc w:val="right"/>
              <w:ind w:right="308"/>
              <w:spacing w:after="0"/>
              <w:rPr>
                <w:sz w:val="20"/>
                <w:szCs w:val="20"/>
                <w:color w:val="auto"/>
              </w:rPr>
            </w:pPr>
            <w:r>
              <w:rPr>
                <w:rFonts w:ascii="Arial" w:cs="Arial" w:eastAsia="Arial" w:hAnsi="Arial"/>
                <w:sz w:val="14"/>
                <w:szCs w:val="14"/>
                <w:color w:val="4D4D4F"/>
              </w:rPr>
              <w:t>1,915,705</w:t>
            </w:r>
          </w:p>
        </w:tc>
      </w:tr>
      <w:tr>
        <w:trPr>
          <w:trHeight w:val="189"/>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4D4D4F"/>
              </w:rPr>
              <w:t>Lisa Feng</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4D4D4F"/>
              </w:rPr>
              <w:t>18,817</w:t>
            </w:r>
          </w:p>
        </w:tc>
        <w:tc>
          <w:tcPr>
            <w:tcW w:w="46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4D4D4F"/>
              </w:rPr>
              <w:t>1,031,618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-796925</wp:posOffset>
            </wp:positionV>
            <wp:extent cx="23056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ind w:left="2700" w:hanging="444"/>
        <w:spacing w:after="0"/>
        <w:tabs>
          <w:tab w:leader="none" w:pos="2700" w:val="left"/>
        </w:tabs>
        <w:numPr>
          <w:ilvl w:val="0"/>
          <w:numId w:val="58"/>
        </w:numPr>
        <w:rPr>
          <w:rFonts w:ascii="Arial" w:cs="Arial" w:eastAsia="Arial" w:hAnsi="Arial"/>
          <w:sz w:val="14"/>
          <w:szCs w:val="14"/>
          <w:color w:val="4D4D4F"/>
        </w:rPr>
      </w:pPr>
      <w:r>
        <w:rPr>
          <w:rFonts w:ascii="Arial" w:cs="Arial" w:eastAsia="Arial" w:hAnsi="Arial"/>
          <w:sz w:val="14"/>
          <w:szCs w:val="14"/>
          <w:color w:val="4D4D4F"/>
        </w:rPr>
        <w:t>Amount shown is net of the 1,564 shares surrendered in payment of the exercise</w:t>
      </w:r>
    </w:p>
    <w:p>
      <w:pPr>
        <w:spacing w:after="0" w:line="15" w:lineRule="exact"/>
        <w:rPr>
          <w:rFonts w:ascii="Arial" w:cs="Arial" w:eastAsia="Arial" w:hAnsi="Arial"/>
          <w:sz w:val="14"/>
          <w:szCs w:val="14"/>
          <w:color w:val="4D4D4F"/>
        </w:rPr>
      </w:pPr>
    </w:p>
    <w:p>
      <w:pPr>
        <w:ind w:left="2260"/>
        <w:spacing w:after="0"/>
        <w:rPr>
          <w:rFonts w:ascii="Arial" w:cs="Arial" w:eastAsia="Arial" w:hAnsi="Arial"/>
          <w:sz w:val="14"/>
          <w:szCs w:val="14"/>
          <w:color w:val="4D4D4F"/>
        </w:rPr>
      </w:pPr>
      <w:r>
        <w:rPr>
          <w:rFonts w:ascii="Arial" w:cs="Arial" w:eastAsia="Arial" w:hAnsi="Arial"/>
          <w:sz w:val="14"/>
          <w:szCs w:val="14"/>
          <w:color w:val="4D4D4F"/>
        </w:rPr>
        <w:t>price.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Potential Payments Upon Termination or Change in Control</w:t>
      </w:r>
    </w:p>
    <w:p>
      <w:pPr>
        <w:spacing w:after="0" w:line="2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Our option awards gr</w:t>
      </w:r>
      <w:r>
        <w:rPr>
          <w:rFonts w:ascii="Arial" w:cs="Arial" w:eastAsia="Arial" w:hAnsi="Arial"/>
          <w:sz w:val="18"/>
          <w:szCs w:val="18"/>
          <w:color w:val="000000"/>
        </w:rPr>
        <w:t>anted under our 2016 Omnibus Incentive Plan to employees, including NEOs, provide for acceleration upon a change in</w:t>
      </w:r>
      <w:r>
        <w:rPr>
          <w:rFonts w:ascii="Arial" w:cs="Arial" w:eastAsia="Arial" w:hAnsi="Arial"/>
          <w:sz w:val="18"/>
          <w:szCs w:val="18"/>
          <w:color w:val="4D4D4F"/>
        </w:rPr>
        <w:t xml:space="preserve"> </w:t>
      </w:r>
      <w:r>
        <w:rPr>
          <w:rFonts w:ascii="Arial" w:cs="Arial" w:eastAsia="Arial" w:hAnsi="Arial"/>
          <w:sz w:val="18"/>
          <w:szCs w:val="18"/>
          <w:color w:val="000000"/>
        </w:rPr>
        <w:t>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NEOs based in the PRC, who include all NEOs other than U.S.-based Mark McKechnie, may be entitled to statutory severance as required by applicable law. The amounts below assume a triggering event occurred on December 31, 2020.</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680" w:type="dxa"/>
            <w:vAlign w:val="bottom"/>
            <w:shd w:val="clear" w:color="auto" w:fill="003E64"/>
          </w:tcPr>
          <w:p>
            <w:pPr>
              <w:spacing w:after="0"/>
              <w:rPr>
                <w:sz w:val="14"/>
                <w:szCs w:val="14"/>
                <w:color w:val="auto"/>
              </w:rPr>
            </w:pPr>
          </w:p>
        </w:tc>
        <w:tc>
          <w:tcPr>
            <w:tcW w:w="1360" w:type="dxa"/>
            <w:vAlign w:val="bottom"/>
            <w:shd w:val="clear" w:color="auto" w:fill="003E64"/>
          </w:tcPr>
          <w:p>
            <w:pPr>
              <w:spacing w:after="0"/>
              <w:rPr>
                <w:sz w:val="14"/>
                <w:szCs w:val="14"/>
                <w:color w:val="auto"/>
              </w:rPr>
            </w:pPr>
          </w:p>
        </w:tc>
        <w:tc>
          <w:tcPr>
            <w:tcW w:w="2180" w:type="dxa"/>
            <w:vAlign w:val="bottom"/>
            <w:shd w:val="clear" w:color="auto" w:fill="003E64"/>
          </w:tcPr>
          <w:p>
            <w:pPr>
              <w:spacing w:after="0"/>
              <w:rPr>
                <w:sz w:val="14"/>
                <w:szCs w:val="14"/>
                <w:color w:val="auto"/>
              </w:rPr>
            </w:pPr>
          </w:p>
        </w:tc>
        <w:tc>
          <w:tcPr>
            <w:tcW w:w="2120" w:type="dxa"/>
            <w:vAlign w:val="bottom"/>
            <w:shd w:val="clear" w:color="auto" w:fill="003E64"/>
          </w:tcPr>
          <w:p>
            <w:pPr>
              <w:jc w:val="center"/>
              <w:ind w:right="48"/>
              <w:spacing w:after="0"/>
              <w:rPr>
                <w:sz w:val="20"/>
                <w:szCs w:val="20"/>
                <w:color w:val="auto"/>
              </w:rPr>
            </w:pPr>
            <w:r>
              <w:rPr>
                <w:rFonts w:ascii="Arial" w:cs="Arial" w:eastAsia="Arial" w:hAnsi="Arial"/>
                <w:sz w:val="14"/>
                <w:szCs w:val="14"/>
                <w:b w:val="1"/>
                <w:bCs w:val="1"/>
                <w:color w:val="FFFFFF"/>
              </w:rPr>
              <w:t>Change in Control</w:t>
            </w:r>
          </w:p>
        </w:tc>
        <w:tc>
          <w:tcPr>
            <w:tcW w:w="1760" w:type="dxa"/>
            <w:vAlign w:val="bottom"/>
            <w:shd w:val="clear" w:color="auto" w:fill="003E64"/>
          </w:tcPr>
          <w:p>
            <w:pPr>
              <w:spacing w:after="0"/>
              <w:rPr>
                <w:sz w:val="14"/>
                <w:szCs w:val="14"/>
                <w:color w:val="auto"/>
              </w:rPr>
            </w:pPr>
          </w:p>
        </w:tc>
      </w:tr>
      <w:tr>
        <w:trPr>
          <w:trHeight w:val="162"/>
        </w:trPr>
        <w:tc>
          <w:tcPr>
            <w:tcW w:w="2680" w:type="dxa"/>
            <w:vAlign w:val="bottom"/>
            <w:shd w:val="clear" w:color="auto" w:fill="003E64"/>
          </w:tcPr>
          <w:p>
            <w:pPr>
              <w:spacing w:after="0"/>
              <w:rPr>
                <w:sz w:val="14"/>
                <w:szCs w:val="14"/>
                <w:color w:val="auto"/>
              </w:rPr>
            </w:pPr>
          </w:p>
        </w:tc>
        <w:tc>
          <w:tcPr>
            <w:tcW w:w="1360" w:type="dxa"/>
            <w:vAlign w:val="bottom"/>
            <w:shd w:val="clear" w:color="auto" w:fill="003E64"/>
          </w:tcPr>
          <w:p>
            <w:pPr>
              <w:jc w:val="center"/>
              <w:ind w:right="108"/>
              <w:spacing w:after="0"/>
              <w:rPr>
                <w:sz w:val="20"/>
                <w:szCs w:val="20"/>
                <w:color w:val="auto"/>
              </w:rPr>
            </w:pPr>
            <w:r>
              <w:rPr>
                <w:rFonts w:ascii="Arial" w:cs="Arial" w:eastAsia="Arial" w:hAnsi="Arial"/>
                <w:sz w:val="14"/>
                <w:szCs w:val="14"/>
                <w:b w:val="1"/>
                <w:bCs w:val="1"/>
                <w:color w:val="FFFFFF"/>
              </w:rPr>
              <w:t>Termination</w:t>
            </w:r>
          </w:p>
        </w:tc>
        <w:tc>
          <w:tcPr>
            <w:tcW w:w="2180" w:type="dxa"/>
            <w:vAlign w:val="bottom"/>
            <w:shd w:val="clear" w:color="auto" w:fill="003E64"/>
          </w:tcPr>
          <w:p>
            <w:pPr>
              <w:spacing w:after="0"/>
              <w:rPr>
                <w:sz w:val="14"/>
                <w:szCs w:val="14"/>
                <w:color w:val="auto"/>
              </w:rPr>
            </w:pPr>
          </w:p>
        </w:tc>
        <w:tc>
          <w:tcPr>
            <w:tcW w:w="2120" w:type="dxa"/>
            <w:vAlign w:val="bottom"/>
            <w:shd w:val="clear" w:color="auto" w:fill="003E64"/>
          </w:tcPr>
          <w:p>
            <w:pPr>
              <w:jc w:val="center"/>
              <w:ind w:right="28"/>
              <w:spacing w:after="0"/>
              <w:rPr>
                <w:sz w:val="20"/>
                <w:szCs w:val="20"/>
                <w:color w:val="auto"/>
              </w:rPr>
            </w:pPr>
            <w:r>
              <w:rPr>
                <w:rFonts w:ascii="Arial" w:cs="Arial" w:eastAsia="Arial" w:hAnsi="Arial"/>
                <w:sz w:val="14"/>
                <w:szCs w:val="14"/>
                <w:b w:val="1"/>
                <w:bCs w:val="1"/>
                <w:color w:val="FFFFFF"/>
              </w:rPr>
              <w:t>Without</w:t>
            </w:r>
          </w:p>
        </w:tc>
        <w:tc>
          <w:tcPr>
            <w:tcW w:w="1760" w:type="dxa"/>
            <w:vAlign w:val="bottom"/>
            <w:shd w:val="clear" w:color="auto" w:fill="003E64"/>
          </w:tcPr>
          <w:p>
            <w:pPr>
              <w:jc w:val="center"/>
              <w:ind w:right="48"/>
              <w:spacing w:after="0"/>
              <w:rPr>
                <w:sz w:val="20"/>
                <w:szCs w:val="20"/>
                <w:color w:val="auto"/>
              </w:rPr>
            </w:pPr>
            <w:r>
              <w:rPr>
                <w:rFonts w:ascii="Arial" w:cs="Arial" w:eastAsia="Arial" w:hAnsi="Arial"/>
                <w:sz w:val="14"/>
                <w:szCs w:val="14"/>
                <w:b w:val="1"/>
                <w:bCs w:val="1"/>
                <w:color w:val="FFFFFF"/>
              </w:rPr>
              <w:t>Value of Equity</w:t>
            </w:r>
          </w:p>
        </w:tc>
      </w:tr>
      <w:tr>
        <w:trPr>
          <w:trHeight w:val="162"/>
        </w:trPr>
        <w:tc>
          <w:tcPr>
            <w:tcW w:w="2680" w:type="dxa"/>
            <w:vAlign w:val="bottom"/>
            <w:shd w:val="clear" w:color="auto" w:fill="003E64"/>
          </w:tcPr>
          <w:p>
            <w:pPr>
              <w:spacing w:after="0"/>
              <w:rPr>
                <w:sz w:val="14"/>
                <w:szCs w:val="14"/>
                <w:color w:val="auto"/>
              </w:rPr>
            </w:pPr>
          </w:p>
        </w:tc>
        <w:tc>
          <w:tcPr>
            <w:tcW w:w="1360" w:type="dxa"/>
            <w:vAlign w:val="bottom"/>
            <w:shd w:val="clear" w:color="auto" w:fill="003E64"/>
          </w:tcPr>
          <w:p>
            <w:pPr>
              <w:jc w:val="center"/>
              <w:ind w:right="108"/>
              <w:spacing w:after="0"/>
              <w:rPr>
                <w:sz w:val="20"/>
                <w:szCs w:val="20"/>
                <w:color w:val="auto"/>
              </w:rPr>
            </w:pPr>
            <w:r>
              <w:rPr>
                <w:rFonts w:ascii="Arial" w:cs="Arial" w:eastAsia="Arial" w:hAnsi="Arial"/>
                <w:sz w:val="14"/>
                <w:szCs w:val="14"/>
                <w:b w:val="1"/>
                <w:bCs w:val="1"/>
                <w:color w:val="FFFFFF"/>
              </w:rPr>
              <w:t>Without</w:t>
            </w:r>
          </w:p>
        </w:tc>
        <w:tc>
          <w:tcPr>
            <w:tcW w:w="2180" w:type="dxa"/>
            <w:vAlign w:val="bottom"/>
            <w:shd w:val="clear" w:color="auto" w:fill="003E64"/>
          </w:tcPr>
          <w:p>
            <w:pPr>
              <w:jc w:val="right"/>
              <w:ind w:right="468"/>
              <w:spacing w:after="0"/>
              <w:rPr>
                <w:sz w:val="20"/>
                <w:szCs w:val="20"/>
                <w:color w:val="auto"/>
              </w:rPr>
            </w:pPr>
            <w:r>
              <w:rPr>
                <w:rFonts w:ascii="Arial" w:cs="Arial" w:eastAsia="Arial" w:hAnsi="Arial"/>
                <w:sz w:val="14"/>
                <w:szCs w:val="14"/>
                <w:b w:val="1"/>
                <w:bCs w:val="1"/>
                <w:color w:val="FFFFFF"/>
              </w:rPr>
              <w:t>Termination Upon</w:t>
            </w:r>
          </w:p>
        </w:tc>
        <w:tc>
          <w:tcPr>
            <w:tcW w:w="2120" w:type="dxa"/>
            <w:vAlign w:val="bottom"/>
            <w:shd w:val="clear" w:color="auto" w:fill="003E64"/>
          </w:tcPr>
          <w:p>
            <w:pPr>
              <w:jc w:val="center"/>
              <w:ind w:right="48"/>
              <w:spacing w:after="0"/>
              <w:rPr>
                <w:sz w:val="20"/>
                <w:szCs w:val="20"/>
                <w:color w:val="auto"/>
              </w:rPr>
            </w:pPr>
            <w:r>
              <w:rPr>
                <w:rFonts w:ascii="Arial" w:cs="Arial" w:eastAsia="Arial" w:hAnsi="Arial"/>
                <w:sz w:val="14"/>
                <w:szCs w:val="14"/>
                <w:b w:val="1"/>
                <w:bCs w:val="1"/>
                <w:color w:val="FFFFFF"/>
              </w:rPr>
              <w:t>Termination or</w:t>
            </w:r>
          </w:p>
        </w:tc>
        <w:tc>
          <w:tcPr>
            <w:tcW w:w="1760" w:type="dxa"/>
            <w:vAlign w:val="bottom"/>
            <w:shd w:val="clear" w:color="auto" w:fill="003E64"/>
          </w:tcPr>
          <w:p>
            <w:pPr>
              <w:jc w:val="center"/>
              <w:ind w:right="48"/>
              <w:spacing w:after="0"/>
              <w:rPr>
                <w:sz w:val="20"/>
                <w:szCs w:val="20"/>
                <w:color w:val="auto"/>
              </w:rPr>
            </w:pPr>
            <w:r>
              <w:rPr>
                <w:rFonts w:ascii="Arial" w:cs="Arial" w:eastAsia="Arial" w:hAnsi="Arial"/>
                <w:sz w:val="14"/>
                <w:szCs w:val="14"/>
                <w:b w:val="1"/>
                <w:bCs w:val="1"/>
                <w:color w:val="FFFFFF"/>
              </w:rPr>
              <w:t>Award</w:t>
            </w:r>
          </w:p>
        </w:tc>
      </w:tr>
      <w:tr>
        <w:trPr>
          <w:trHeight w:val="175"/>
        </w:trPr>
        <w:tc>
          <w:tcPr>
            <w:tcW w:w="268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w:t>
            </w:r>
          </w:p>
        </w:tc>
        <w:tc>
          <w:tcPr>
            <w:tcW w:w="1360" w:type="dxa"/>
            <w:vAlign w:val="bottom"/>
            <w:shd w:val="clear" w:color="auto" w:fill="003E64"/>
          </w:tcPr>
          <w:p>
            <w:pPr>
              <w:jc w:val="center"/>
              <w:ind w:right="108"/>
              <w:spacing w:after="0"/>
              <w:rPr>
                <w:sz w:val="20"/>
                <w:szCs w:val="20"/>
                <w:color w:val="auto"/>
              </w:rPr>
            </w:pPr>
            <w:r>
              <w:rPr>
                <w:rFonts w:ascii="Arial" w:cs="Arial" w:eastAsia="Arial" w:hAnsi="Arial"/>
                <w:sz w:val="14"/>
                <w:szCs w:val="14"/>
                <w:b w:val="1"/>
                <w:bCs w:val="1"/>
                <w:color w:val="FFFFFF"/>
              </w:rPr>
              <w:t>Cause($)(1)</w:t>
            </w:r>
          </w:p>
        </w:tc>
        <w:tc>
          <w:tcPr>
            <w:tcW w:w="2180" w:type="dxa"/>
            <w:vAlign w:val="bottom"/>
            <w:shd w:val="clear" w:color="auto" w:fill="003E64"/>
          </w:tcPr>
          <w:p>
            <w:pPr>
              <w:jc w:val="right"/>
              <w:ind w:right="368"/>
              <w:spacing w:after="0"/>
              <w:rPr>
                <w:sz w:val="20"/>
                <w:szCs w:val="20"/>
                <w:color w:val="auto"/>
              </w:rPr>
            </w:pPr>
            <w:r>
              <w:rPr>
                <w:rFonts w:ascii="Arial" w:cs="Arial" w:eastAsia="Arial" w:hAnsi="Arial"/>
                <w:sz w:val="14"/>
                <w:szCs w:val="14"/>
                <w:b w:val="1"/>
                <w:bCs w:val="1"/>
                <w:color w:val="FFFFFF"/>
              </w:rPr>
              <w:t>Change in Control($)</w:t>
            </w:r>
          </w:p>
        </w:tc>
        <w:tc>
          <w:tcPr>
            <w:tcW w:w="2120" w:type="dxa"/>
            <w:vAlign w:val="bottom"/>
            <w:shd w:val="clear" w:color="auto" w:fill="003E64"/>
          </w:tcPr>
          <w:p>
            <w:pPr>
              <w:jc w:val="center"/>
              <w:ind w:right="48"/>
              <w:spacing w:after="0"/>
              <w:rPr>
                <w:sz w:val="20"/>
                <w:szCs w:val="20"/>
                <w:color w:val="auto"/>
              </w:rPr>
            </w:pPr>
            <w:r>
              <w:rPr>
                <w:rFonts w:ascii="Arial" w:cs="Arial" w:eastAsia="Arial" w:hAnsi="Arial"/>
                <w:sz w:val="14"/>
                <w:szCs w:val="14"/>
                <w:b w:val="1"/>
                <w:bCs w:val="1"/>
                <w:color w:val="FFFFFF"/>
              </w:rPr>
              <w:t>Death or Disability($)</w:t>
            </w:r>
          </w:p>
        </w:tc>
        <w:tc>
          <w:tcPr>
            <w:tcW w:w="1760" w:type="dxa"/>
            <w:vAlign w:val="bottom"/>
            <w:shd w:val="clear" w:color="auto" w:fill="003E64"/>
          </w:tcPr>
          <w:p>
            <w:pPr>
              <w:jc w:val="center"/>
              <w:ind w:right="48"/>
              <w:spacing w:after="0"/>
              <w:rPr>
                <w:sz w:val="20"/>
                <w:szCs w:val="20"/>
                <w:color w:val="auto"/>
              </w:rPr>
            </w:pPr>
            <w:r>
              <w:rPr>
                <w:rFonts w:ascii="Arial" w:cs="Arial" w:eastAsia="Arial" w:hAnsi="Arial"/>
                <w:sz w:val="14"/>
                <w:szCs w:val="14"/>
                <w:b w:val="1"/>
                <w:bCs w:val="1"/>
                <w:color w:val="FFFFFF"/>
              </w:rPr>
              <w:t>Accelerations ($)</w:t>
            </w:r>
          </w:p>
        </w:tc>
      </w:tr>
      <w:tr>
        <w:trPr>
          <w:trHeight w:val="176"/>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4D4D4F"/>
              </w:rPr>
              <w:t>David H. Wang</w:t>
            </w:r>
          </w:p>
        </w:tc>
        <w:tc>
          <w:tcPr>
            <w:tcW w:w="13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$62,968</w:t>
            </w:r>
          </w:p>
        </w:tc>
        <w:tc>
          <w:tcPr>
            <w:tcW w:w="21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4D4D4F"/>
              </w:rPr>
              <w:t>$40,064,250</w:t>
            </w:r>
          </w:p>
        </w:tc>
        <w:tc>
          <w:tcPr>
            <w:tcW w:w="21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$40,127,219</w:t>
            </w: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2,422,342</w:t>
            </w:r>
          </w:p>
        </w:tc>
      </w:tr>
      <w:tr>
        <w:trPr>
          <w:trHeight w:val="175"/>
        </w:trPr>
        <w:tc>
          <w:tcPr>
            <w:tcW w:w="26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26"/>
        </w:trPr>
        <w:tc>
          <w:tcPr>
            <w:tcW w:w="2680" w:type="dxa"/>
            <w:vAlign w:val="bottom"/>
          </w:tcPr>
          <w:p>
            <w:pPr>
              <w:spacing w:after="0"/>
              <w:rPr>
                <w:sz w:val="20"/>
                <w:szCs w:val="20"/>
                <w:color w:val="auto"/>
              </w:rPr>
            </w:pPr>
            <w:r>
              <w:rPr>
                <w:rFonts w:ascii="Arial" w:cs="Arial" w:eastAsia="Arial" w:hAnsi="Arial"/>
                <w:sz w:val="14"/>
                <w:szCs w:val="14"/>
                <w:color w:val="4D4D4F"/>
              </w:rPr>
              <w:t>Mark McKechnie</w:t>
            </w:r>
          </w:p>
        </w:tc>
        <w:tc>
          <w:tcPr>
            <w:tcW w:w="1360" w:type="dxa"/>
            <w:vAlign w:val="bottom"/>
          </w:tcPr>
          <w:p>
            <w:pPr>
              <w:jc w:val="right"/>
              <w:ind w:right="228"/>
              <w:spacing w:after="0"/>
              <w:rPr>
                <w:sz w:val="20"/>
                <w:szCs w:val="20"/>
                <w:color w:val="auto"/>
              </w:rPr>
            </w:pPr>
            <w:r>
              <w:rPr>
                <w:rFonts w:ascii="Arial" w:cs="Arial" w:eastAsia="Arial" w:hAnsi="Arial"/>
                <w:sz w:val="14"/>
                <w:szCs w:val="14"/>
                <w:color w:val="4D4D4F"/>
              </w:rPr>
              <w:t>—</w:t>
            </w:r>
          </w:p>
        </w:tc>
        <w:tc>
          <w:tcPr>
            <w:tcW w:w="2180" w:type="dxa"/>
            <w:vAlign w:val="bottom"/>
          </w:tcPr>
          <w:p>
            <w:pPr>
              <w:jc w:val="right"/>
              <w:ind w:right="208"/>
              <w:spacing w:after="0"/>
              <w:rPr>
                <w:sz w:val="20"/>
                <w:szCs w:val="20"/>
                <w:color w:val="auto"/>
              </w:rPr>
            </w:pPr>
            <w:r>
              <w:rPr>
                <w:rFonts w:ascii="Arial" w:cs="Arial" w:eastAsia="Arial" w:hAnsi="Arial"/>
                <w:sz w:val="14"/>
                <w:szCs w:val="14"/>
                <w:color w:val="4D4D4F"/>
              </w:rPr>
              <w:t>4,824,100</w:t>
            </w:r>
          </w:p>
        </w:tc>
        <w:tc>
          <w:tcPr>
            <w:tcW w:w="2120" w:type="dxa"/>
            <w:vAlign w:val="bottom"/>
          </w:tcPr>
          <w:p>
            <w:pPr>
              <w:jc w:val="right"/>
              <w:ind w:right="168"/>
              <w:spacing w:after="0"/>
              <w:rPr>
                <w:sz w:val="20"/>
                <w:szCs w:val="20"/>
                <w:color w:val="auto"/>
              </w:rPr>
            </w:pPr>
            <w:r>
              <w:rPr>
                <w:rFonts w:ascii="Arial" w:cs="Arial" w:eastAsia="Arial" w:hAnsi="Arial"/>
                <w:sz w:val="14"/>
                <w:szCs w:val="14"/>
                <w:color w:val="4D4D4F"/>
              </w:rPr>
              <w:t>4,824,100</w:t>
            </w:r>
          </w:p>
        </w:tc>
        <w:tc>
          <w:tcPr>
            <w:tcW w:w="1760" w:type="dxa"/>
            <w:vAlign w:val="bottom"/>
          </w:tcPr>
          <w:p>
            <w:pPr>
              <w:jc w:val="right"/>
              <w:ind w:right="68"/>
              <w:spacing w:after="0"/>
              <w:rPr>
                <w:sz w:val="20"/>
                <w:szCs w:val="20"/>
                <w:color w:val="auto"/>
              </w:rPr>
            </w:pPr>
            <w:r>
              <w:rPr>
                <w:rFonts w:ascii="Arial" w:cs="Arial" w:eastAsia="Arial" w:hAnsi="Arial"/>
                <w:sz w:val="14"/>
                <w:szCs w:val="14"/>
                <w:color w:val="4D4D4F"/>
              </w:rPr>
              <w:t>3,237,080</w:t>
            </w:r>
          </w:p>
        </w:tc>
      </w:tr>
      <w:tr>
        <w:trPr>
          <w:trHeight w:val="125"/>
        </w:trPr>
        <w:tc>
          <w:tcPr>
            <w:tcW w:w="2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76"/>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4D4D4F"/>
              </w:rPr>
              <w:t>Jian Wang</w:t>
            </w:r>
          </w:p>
        </w:tc>
        <w:tc>
          <w:tcPr>
            <w:tcW w:w="13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56,875</w:t>
            </w:r>
          </w:p>
        </w:tc>
        <w:tc>
          <w:tcPr>
            <w:tcW w:w="21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4D4D4F"/>
              </w:rPr>
              <w:t>4,629,200</w:t>
            </w:r>
          </w:p>
        </w:tc>
        <w:tc>
          <w:tcPr>
            <w:tcW w:w="2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4,686,075</w:t>
            </w: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2,251,056</w:t>
            </w:r>
          </w:p>
        </w:tc>
      </w:tr>
      <w:tr>
        <w:trPr>
          <w:trHeight w:val="176"/>
        </w:trPr>
        <w:tc>
          <w:tcPr>
            <w:tcW w:w="26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26"/>
        </w:trPr>
        <w:tc>
          <w:tcPr>
            <w:tcW w:w="2680" w:type="dxa"/>
            <w:vAlign w:val="bottom"/>
          </w:tcPr>
          <w:p>
            <w:pPr>
              <w:spacing w:after="0"/>
              <w:rPr>
                <w:sz w:val="20"/>
                <w:szCs w:val="20"/>
                <w:color w:val="auto"/>
              </w:rPr>
            </w:pPr>
            <w:r>
              <w:rPr>
                <w:rFonts w:ascii="Arial" w:cs="Arial" w:eastAsia="Arial" w:hAnsi="Arial"/>
                <w:sz w:val="14"/>
                <w:szCs w:val="14"/>
                <w:color w:val="4D4D4F"/>
              </w:rPr>
              <w:t>Lisa Feng</w:t>
            </w:r>
          </w:p>
        </w:tc>
        <w:tc>
          <w:tcPr>
            <w:tcW w:w="1360" w:type="dxa"/>
            <w:vAlign w:val="bottom"/>
          </w:tcPr>
          <w:p>
            <w:pPr>
              <w:jc w:val="right"/>
              <w:ind w:right="228"/>
              <w:spacing w:after="0"/>
              <w:rPr>
                <w:sz w:val="20"/>
                <w:szCs w:val="20"/>
                <w:color w:val="auto"/>
              </w:rPr>
            </w:pPr>
            <w:r>
              <w:rPr>
                <w:rFonts w:ascii="Arial" w:cs="Arial" w:eastAsia="Arial" w:hAnsi="Arial"/>
                <w:sz w:val="14"/>
                <w:szCs w:val="14"/>
                <w:color w:val="4D4D4F"/>
              </w:rPr>
              <w:t>14,219</w:t>
            </w:r>
          </w:p>
        </w:tc>
        <w:tc>
          <w:tcPr>
            <w:tcW w:w="2180" w:type="dxa"/>
            <w:vAlign w:val="bottom"/>
          </w:tcPr>
          <w:p>
            <w:pPr>
              <w:jc w:val="right"/>
              <w:ind w:right="208"/>
              <w:spacing w:after="0"/>
              <w:rPr>
                <w:sz w:val="20"/>
                <w:szCs w:val="20"/>
                <w:color w:val="auto"/>
              </w:rPr>
            </w:pPr>
            <w:r>
              <w:rPr>
                <w:rFonts w:ascii="Arial" w:cs="Arial" w:eastAsia="Arial" w:hAnsi="Arial"/>
                <w:sz w:val="14"/>
                <w:szCs w:val="14"/>
                <w:color w:val="4D4D4F"/>
              </w:rPr>
              <w:t>4,302,965</w:t>
            </w:r>
          </w:p>
        </w:tc>
        <w:tc>
          <w:tcPr>
            <w:tcW w:w="2120" w:type="dxa"/>
            <w:vAlign w:val="bottom"/>
          </w:tcPr>
          <w:p>
            <w:pPr>
              <w:jc w:val="right"/>
              <w:ind w:right="168"/>
              <w:spacing w:after="0"/>
              <w:rPr>
                <w:sz w:val="20"/>
                <w:szCs w:val="20"/>
                <w:color w:val="auto"/>
              </w:rPr>
            </w:pPr>
            <w:r>
              <w:rPr>
                <w:rFonts w:ascii="Arial" w:cs="Arial" w:eastAsia="Arial" w:hAnsi="Arial"/>
                <w:sz w:val="14"/>
                <w:szCs w:val="14"/>
                <w:color w:val="4D4D4F"/>
              </w:rPr>
              <w:t>4,317,183</w:t>
            </w:r>
          </w:p>
        </w:tc>
        <w:tc>
          <w:tcPr>
            <w:tcW w:w="1760" w:type="dxa"/>
            <w:vAlign w:val="bottom"/>
          </w:tcPr>
          <w:p>
            <w:pPr>
              <w:jc w:val="right"/>
              <w:ind w:right="68"/>
              <w:spacing w:after="0"/>
              <w:rPr>
                <w:sz w:val="20"/>
                <w:szCs w:val="20"/>
                <w:color w:val="auto"/>
              </w:rPr>
            </w:pPr>
            <w:r>
              <w:rPr>
                <w:rFonts w:ascii="Arial" w:cs="Arial" w:eastAsia="Arial" w:hAnsi="Arial"/>
                <w:sz w:val="14"/>
                <w:szCs w:val="14"/>
                <w:color w:val="4D4D4F"/>
              </w:rPr>
              <w:t>2,690,327</w:t>
            </w:r>
          </w:p>
        </w:tc>
      </w:tr>
      <w:tr>
        <w:trPr>
          <w:trHeight w:val="125"/>
        </w:trPr>
        <w:tc>
          <w:tcPr>
            <w:tcW w:w="2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75"/>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4D4D4F"/>
              </w:rPr>
              <w:t>Fuping Chen</w:t>
            </w:r>
          </w:p>
        </w:tc>
        <w:tc>
          <w:tcPr>
            <w:tcW w:w="13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4D4D4F"/>
              </w:rPr>
              <w:t>44,687</w:t>
            </w:r>
          </w:p>
        </w:tc>
        <w:tc>
          <w:tcPr>
            <w:tcW w:w="21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4D4D4F"/>
              </w:rPr>
              <w:t>9,305,304</w:t>
            </w:r>
          </w:p>
        </w:tc>
        <w:tc>
          <w:tcPr>
            <w:tcW w:w="2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4D4D4F"/>
              </w:rPr>
              <w:t>9,349,911</w:t>
            </w: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4D4D4F"/>
              </w:rPr>
              <w:t>1,463,466</w:t>
            </w:r>
          </w:p>
        </w:tc>
      </w:tr>
      <w:tr>
        <w:trPr>
          <w:trHeight w:val="176"/>
        </w:trPr>
        <w:tc>
          <w:tcPr>
            <w:tcW w:w="26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bl>
    <w:p>
      <w:pPr>
        <w:spacing w:after="0" w:line="5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4D4D4F"/>
        </w:rPr>
        <w:t>(1)</w:t>
        <w:tab/>
        <w:t>Consists of PRC statutorily required severance.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Equity Compensation Plan Information</w:t>
      </w:r>
    </w:p>
    <w:p>
      <w:pPr>
        <w:spacing w:after="0" w:line="269"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provides information as of December 31, 2020 with respect to shares of Class A common stock that may be issued under our equity plans and standalone option grants: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shd w:val="clear" w:color="auto" w:fill="003E64"/>
          </w:tcPr>
          <w:p>
            <w:pPr>
              <w:spacing w:after="0"/>
              <w:rPr>
                <w:sz w:val="14"/>
                <w:szCs w:val="14"/>
                <w:color w:val="auto"/>
              </w:rPr>
            </w:pPr>
          </w:p>
        </w:tc>
        <w:tc>
          <w:tcPr>
            <w:tcW w:w="2560" w:type="dxa"/>
            <w:vAlign w:val="bottom"/>
            <w:shd w:val="clear" w:color="auto" w:fill="003E64"/>
          </w:tcPr>
          <w:p>
            <w:pPr>
              <w:jc w:val="center"/>
              <w:ind w:left="261"/>
              <w:spacing w:after="0"/>
              <w:rPr>
                <w:sz w:val="20"/>
                <w:szCs w:val="20"/>
                <w:color w:val="auto"/>
              </w:rPr>
            </w:pPr>
            <w:r>
              <w:rPr>
                <w:rFonts w:ascii="Arial" w:cs="Arial" w:eastAsia="Arial" w:hAnsi="Arial"/>
                <w:sz w:val="14"/>
                <w:szCs w:val="14"/>
                <w:b w:val="1"/>
                <w:bCs w:val="1"/>
                <w:color w:val="FFFFFF"/>
              </w:rPr>
              <w:t>Number of Securities to</w:t>
            </w:r>
          </w:p>
        </w:tc>
        <w:tc>
          <w:tcPr>
            <w:tcW w:w="19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62"/>
        </w:trPr>
        <w:tc>
          <w:tcPr>
            <w:tcW w:w="4100" w:type="dxa"/>
            <w:vAlign w:val="bottom"/>
            <w:shd w:val="clear" w:color="auto" w:fill="003E64"/>
          </w:tcPr>
          <w:p>
            <w:pPr>
              <w:spacing w:after="0"/>
              <w:rPr>
                <w:sz w:val="14"/>
                <w:szCs w:val="14"/>
                <w:color w:val="auto"/>
              </w:rPr>
            </w:pPr>
          </w:p>
        </w:tc>
        <w:tc>
          <w:tcPr>
            <w:tcW w:w="2560" w:type="dxa"/>
            <w:vAlign w:val="bottom"/>
            <w:shd w:val="clear" w:color="auto" w:fill="003E64"/>
          </w:tcPr>
          <w:p>
            <w:pPr>
              <w:jc w:val="center"/>
              <w:ind w:left="261"/>
              <w:spacing w:after="0"/>
              <w:rPr>
                <w:sz w:val="20"/>
                <w:szCs w:val="20"/>
                <w:color w:val="auto"/>
              </w:rPr>
            </w:pPr>
            <w:r>
              <w:rPr>
                <w:rFonts w:ascii="Arial" w:cs="Arial" w:eastAsia="Arial" w:hAnsi="Arial"/>
                <w:sz w:val="14"/>
                <w:szCs w:val="14"/>
                <w:b w:val="1"/>
                <w:bCs w:val="1"/>
                <w:color w:val="FFFFFF"/>
              </w:rPr>
              <w:t>be Issued Upon Exercise</w:t>
            </w:r>
          </w:p>
        </w:tc>
        <w:tc>
          <w:tcPr>
            <w:tcW w:w="19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62"/>
        </w:trPr>
        <w:tc>
          <w:tcPr>
            <w:tcW w:w="4100" w:type="dxa"/>
            <w:vAlign w:val="bottom"/>
            <w:shd w:val="clear" w:color="auto" w:fill="003E64"/>
          </w:tcPr>
          <w:p>
            <w:pPr>
              <w:spacing w:after="0"/>
              <w:rPr>
                <w:sz w:val="14"/>
                <w:szCs w:val="14"/>
                <w:color w:val="auto"/>
              </w:rPr>
            </w:pPr>
          </w:p>
        </w:tc>
        <w:tc>
          <w:tcPr>
            <w:tcW w:w="2560" w:type="dxa"/>
            <w:vAlign w:val="bottom"/>
            <w:shd w:val="clear" w:color="auto" w:fill="003E64"/>
          </w:tcPr>
          <w:p>
            <w:pPr>
              <w:jc w:val="center"/>
              <w:ind w:left="241"/>
              <w:spacing w:after="0"/>
              <w:rPr>
                <w:sz w:val="20"/>
                <w:szCs w:val="20"/>
                <w:color w:val="auto"/>
              </w:rPr>
            </w:pPr>
            <w:r>
              <w:rPr>
                <w:rFonts w:ascii="Arial" w:cs="Arial" w:eastAsia="Arial" w:hAnsi="Arial"/>
                <w:sz w:val="14"/>
                <w:szCs w:val="14"/>
                <w:b w:val="1"/>
                <w:bCs w:val="1"/>
                <w:color w:val="FFFFFF"/>
              </w:rPr>
              <w:t>of Outstanding Options,</w:t>
            </w:r>
          </w:p>
        </w:tc>
        <w:tc>
          <w:tcPr>
            <w:tcW w:w="19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Future Issuance Under Equity</w:t>
            </w:r>
          </w:p>
        </w:tc>
        <w:tc>
          <w:tcPr>
            <w:tcW w:w="0" w:type="dxa"/>
            <w:vAlign w:val="bottom"/>
          </w:tcPr>
          <w:p>
            <w:pPr>
              <w:spacing w:after="0"/>
              <w:rPr>
                <w:sz w:val="1"/>
                <w:szCs w:val="1"/>
                <w:color w:val="auto"/>
              </w:rPr>
            </w:pPr>
          </w:p>
        </w:tc>
      </w:tr>
      <w:tr>
        <w:trPr>
          <w:trHeight w:val="162"/>
        </w:trPr>
        <w:tc>
          <w:tcPr>
            <w:tcW w:w="4100" w:type="dxa"/>
            <w:vAlign w:val="bottom"/>
            <w:shd w:val="clear" w:color="auto" w:fill="003E64"/>
          </w:tcPr>
          <w:p>
            <w:pPr>
              <w:spacing w:after="0"/>
              <w:rPr>
                <w:sz w:val="14"/>
                <w:szCs w:val="14"/>
                <w:color w:val="auto"/>
              </w:rPr>
            </w:pPr>
          </w:p>
        </w:tc>
        <w:tc>
          <w:tcPr>
            <w:tcW w:w="2560" w:type="dxa"/>
            <w:vAlign w:val="bottom"/>
            <w:shd w:val="clear" w:color="auto" w:fill="003E64"/>
          </w:tcPr>
          <w:p>
            <w:pPr>
              <w:jc w:val="center"/>
              <w:ind w:left="241"/>
              <w:spacing w:after="0"/>
              <w:rPr>
                <w:sz w:val="20"/>
                <w:szCs w:val="20"/>
                <w:color w:val="auto"/>
              </w:rPr>
            </w:pPr>
            <w:r>
              <w:rPr>
                <w:rFonts w:ascii="Arial" w:cs="Arial" w:eastAsia="Arial" w:hAnsi="Arial"/>
                <w:sz w:val="14"/>
                <w:szCs w:val="14"/>
                <w:b w:val="1"/>
                <w:bCs w:val="1"/>
                <w:color w:val="FFFFFF"/>
              </w:rPr>
              <w:t>Warrants and Rights</w:t>
            </w:r>
          </w:p>
        </w:tc>
        <w:tc>
          <w:tcPr>
            <w:tcW w:w="19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Compensation Plans(1)</w:t>
            </w:r>
          </w:p>
        </w:tc>
        <w:tc>
          <w:tcPr>
            <w:tcW w:w="0" w:type="dxa"/>
            <w:vAlign w:val="bottom"/>
          </w:tcPr>
          <w:p>
            <w:pPr>
              <w:spacing w:after="0"/>
              <w:rPr>
                <w:sz w:val="1"/>
                <w:szCs w:val="1"/>
                <w:color w:val="auto"/>
              </w:rPr>
            </w:pPr>
          </w:p>
        </w:tc>
      </w:tr>
      <w:tr>
        <w:trPr>
          <w:trHeight w:val="175"/>
        </w:trPr>
        <w:tc>
          <w:tcPr>
            <w:tcW w:w="410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Plan Category</w:t>
            </w:r>
          </w:p>
        </w:tc>
        <w:tc>
          <w:tcPr>
            <w:tcW w:w="2560" w:type="dxa"/>
            <w:vAlign w:val="bottom"/>
            <w:shd w:val="clear" w:color="auto" w:fill="003E64"/>
          </w:tcPr>
          <w:p>
            <w:pPr>
              <w:jc w:val="center"/>
              <w:ind w:left="261"/>
              <w:spacing w:after="0"/>
              <w:rPr>
                <w:sz w:val="20"/>
                <w:szCs w:val="20"/>
                <w:color w:val="auto"/>
              </w:rPr>
            </w:pPr>
            <w:r>
              <w:rPr>
                <w:rFonts w:ascii="Arial" w:cs="Arial" w:eastAsia="Arial" w:hAnsi="Arial"/>
                <w:sz w:val="14"/>
                <w:szCs w:val="14"/>
                <w:b w:val="1"/>
                <w:bCs w:val="1"/>
                <w:color w:val="FFFFFF"/>
              </w:rPr>
              <w:t>(a)</w:t>
            </w:r>
          </w:p>
        </w:tc>
        <w:tc>
          <w:tcPr>
            <w:tcW w:w="198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(b)</w:t>
            </w:r>
          </w:p>
        </w:tc>
        <w:tc>
          <w:tcPr>
            <w:tcW w:w="260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4D4D4F"/>
              </w:rPr>
              <w:t>Equity compensation plans approved by</w:t>
            </w:r>
          </w:p>
        </w:tc>
        <w:tc>
          <w:tcPr>
            <w:tcW w:w="2560" w:type="dxa"/>
            <w:vAlign w:val="bottom"/>
            <w:vMerge w:val="restart"/>
          </w:tcPr>
          <w:p>
            <w:pPr>
              <w:jc w:val="right"/>
              <w:ind w:right="141"/>
              <w:spacing w:after="0"/>
              <w:rPr>
                <w:sz w:val="20"/>
                <w:szCs w:val="20"/>
                <w:color w:val="auto"/>
              </w:rPr>
            </w:pPr>
            <w:r>
              <w:rPr>
                <w:rFonts w:ascii="Arial" w:cs="Arial" w:eastAsia="Arial" w:hAnsi="Arial"/>
                <w:sz w:val="18"/>
                <w:szCs w:val="18"/>
                <w:color w:val="4D4D4F"/>
              </w:rPr>
              <w:t>2,994,444</w:t>
            </w:r>
          </w:p>
        </w:tc>
        <w:tc>
          <w:tcPr>
            <w:tcW w:w="1980" w:type="dxa"/>
            <w:vAlign w:val="bottom"/>
            <w:vMerge w:val="restart"/>
          </w:tcPr>
          <w:p>
            <w:pPr>
              <w:jc w:val="right"/>
              <w:ind w:right="201"/>
              <w:spacing w:after="0"/>
              <w:rPr>
                <w:sz w:val="20"/>
                <w:szCs w:val="20"/>
                <w:color w:val="auto"/>
              </w:rPr>
            </w:pPr>
            <w:r>
              <w:rPr>
                <w:rFonts w:ascii="Arial" w:cs="Arial" w:eastAsia="Arial" w:hAnsi="Arial"/>
                <w:sz w:val="18"/>
                <w:szCs w:val="18"/>
                <w:color w:val="4D4D4F"/>
              </w:rPr>
              <w:t>$13.95</w:t>
            </w:r>
          </w:p>
        </w:tc>
        <w:tc>
          <w:tcPr>
            <w:tcW w:w="2600" w:type="dxa"/>
            <w:vAlign w:val="bottom"/>
            <w:vMerge w:val="restart"/>
          </w:tcPr>
          <w:p>
            <w:pPr>
              <w:jc w:val="right"/>
              <w:ind w:right="61"/>
              <w:spacing w:after="0"/>
              <w:rPr>
                <w:sz w:val="20"/>
                <w:szCs w:val="20"/>
                <w:color w:val="auto"/>
              </w:rPr>
            </w:pPr>
            <w:r>
              <w:rPr>
                <w:rFonts w:ascii="Arial" w:cs="Arial" w:eastAsia="Arial" w:hAnsi="Arial"/>
                <w:sz w:val="18"/>
                <w:szCs w:val="18"/>
                <w:color w:val="4D4D4F"/>
              </w:rPr>
              <w:t>591,332</w:t>
            </w:r>
          </w:p>
        </w:tc>
        <w:tc>
          <w:tcPr>
            <w:tcW w:w="0" w:type="dxa"/>
            <w:vAlign w:val="bottom"/>
          </w:tcPr>
          <w:p>
            <w:pPr>
              <w:spacing w:after="0"/>
              <w:rPr>
                <w:sz w:val="1"/>
                <w:szCs w:val="1"/>
                <w:color w:val="auto"/>
              </w:rPr>
            </w:pPr>
          </w:p>
        </w:tc>
      </w:tr>
      <w:tr>
        <w:trPr>
          <w:trHeight w:val="203"/>
        </w:trPr>
        <w:tc>
          <w:tcPr>
            <w:tcW w:w="4100" w:type="dxa"/>
            <w:vAlign w:val="bottom"/>
          </w:tcPr>
          <w:p>
            <w:pPr>
              <w:ind w:left="140"/>
              <w:spacing w:after="0" w:line="203" w:lineRule="exact"/>
              <w:rPr>
                <w:sz w:val="20"/>
                <w:szCs w:val="20"/>
                <w:color w:val="auto"/>
              </w:rPr>
            </w:pPr>
            <w:r>
              <w:rPr>
                <w:rFonts w:ascii="Arial" w:cs="Arial" w:eastAsia="Arial" w:hAnsi="Arial"/>
                <w:sz w:val="18"/>
                <w:szCs w:val="18"/>
                <w:color w:val="4D4D4F"/>
              </w:rPr>
              <w:t>stockholders(2)</w:t>
            </w:r>
          </w:p>
        </w:tc>
        <w:tc>
          <w:tcPr>
            <w:tcW w:w="256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2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4D4D4F"/>
              </w:rPr>
              <w:t>Equity compensation plans not approved by</w:t>
            </w:r>
          </w:p>
        </w:tc>
        <w:tc>
          <w:tcPr>
            <w:tcW w:w="2560" w:type="dxa"/>
            <w:vAlign w:val="bottom"/>
            <w:vMerge w:val="restart"/>
            <w:shd w:val="clear" w:color="auto" w:fill="CCEEFF"/>
          </w:tcPr>
          <w:p>
            <w:pPr>
              <w:jc w:val="right"/>
              <w:ind w:right="141"/>
              <w:spacing w:after="0"/>
              <w:rPr>
                <w:sz w:val="20"/>
                <w:szCs w:val="20"/>
                <w:color w:val="auto"/>
              </w:rPr>
            </w:pPr>
            <w:r>
              <w:rPr>
                <w:rFonts w:ascii="Arial" w:cs="Arial" w:eastAsia="Arial" w:hAnsi="Arial"/>
                <w:sz w:val="18"/>
                <w:szCs w:val="18"/>
                <w:color w:val="4D4D4F"/>
              </w:rPr>
              <w:t>1,033,005</w:t>
            </w:r>
          </w:p>
        </w:tc>
        <w:tc>
          <w:tcPr>
            <w:tcW w:w="1980" w:type="dxa"/>
            <w:vAlign w:val="bottom"/>
            <w:vMerge w:val="restart"/>
            <w:shd w:val="clear" w:color="auto" w:fill="CCEEFF"/>
          </w:tcPr>
          <w:p>
            <w:pPr>
              <w:jc w:val="right"/>
              <w:ind w:right="201"/>
              <w:spacing w:after="0"/>
              <w:rPr>
                <w:sz w:val="20"/>
                <w:szCs w:val="20"/>
                <w:color w:val="auto"/>
              </w:rPr>
            </w:pPr>
            <w:r>
              <w:rPr>
                <w:rFonts w:ascii="Arial" w:cs="Arial" w:eastAsia="Arial" w:hAnsi="Arial"/>
                <w:sz w:val="18"/>
                <w:szCs w:val="18"/>
                <w:color w:val="4D4D4F"/>
              </w:rPr>
              <w:t>1.35</w:t>
            </w:r>
          </w:p>
        </w:tc>
        <w:tc>
          <w:tcPr>
            <w:tcW w:w="2600" w:type="dxa"/>
            <w:vAlign w:val="bottom"/>
            <w:vMerge w:val="restart"/>
            <w:shd w:val="clear" w:color="auto" w:fill="CCEEFF"/>
          </w:tcPr>
          <w:p>
            <w:pPr>
              <w:jc w:val="right"/>
              <w:ind w:right="61"/>
              <w:spacing w:after="0"/>
              <w:rPr>
                <w:sz w:val="20"/>
                <w:szCs w:val="20"/>
                <w:color w:val="auto"/>
              </w:rPr>
            </w:pPr>
            <w:r>
              <w:rPr>
                <w:rFonts w:ascii="Arial" w:cs="Arial" w:eastAsia="Arial" w:hAnsi="Arial"/>
                <w:sz w:val="18"/>
                <w:szCs w:val="18"/>
                <w:color w:val="4D4D4F"/>
              </w:rPr>
              <w:t>—</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4D4D4F"/>
              </w:rPr>
              <w:t>stockholders(3)</w:t>
            </w:r>
          </w:p>
        </w:tc>
        <w:tc>
          <w:tcPr>
            <w:tcW w:w="2560" w:type="dxa"/>
            <w:vAlign w:val="bottom"/>
            <w:vMerge w:val="continue"/>
            <w:shd w:val="clear" w:color="auto" w:fill="CCEEFF"/>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2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100" w:type="dxa"/>
            <w:vAlign w:val="bottom"/>
          </w:tcPr>
          <w:p>
            <w:pPr>
              <w:spacing w:after="0"/>
              <w:rPr>
                <w:sz w:val="20"/>
                <w:szCs w:val="20"/>
                <w:color w:val="auto"/>
              </w:rPr>
            </w:pPr>
            <w:r>
              <w:rPr>
                <w:rFonts w:ascii="Arial" w:cs="Arial" w:eastAsia="Arial" w:hAnsi="Arial"/>
                <w:sz w:val="18"/>
                <w:szCs w:val="18"/>
                <w:color w:val="4D4D4F"/>
              </w:rPr>
              <w:t>Totals</w:t>
            </w:r>
          </w:p>
        </w:tc>
        <w:tc>
          <w:tcPr>
            <w:tcW w:w="2560" w:type="dxa"/>
            <w:vAlign w:val="bottom"/>
          </w:tcPr>
          <w:p>
            <w:pPr>
              <w:jc w:val="right"/>
              <w:ind w:right="141"/>
              <w:spacing w:after="0"/>
              <w:rPr>
                <w:sz w:val="20"/>
                <w:szCs w:val="20"/>
                <w:color w:val="auto"/>
              </w:rPr>
            </w:pPr>
            <w:r>
              <w:rPr>
                <w:rFonts w:ascii="Arial" w:cs="Arial" w:eastAsia="Arial" w:hAnsi="Arial"/>
                <w:sz w:val="18"/>
                <w:szCs w:val="18"/>
                <w:color w:val="4D4D4F"/>
              </w:rPr>
              <w:t>4,027,449</w:t>
            </w:r>
          </w:p>
        </w:tc>
        <w:tc>
          <w:tcPr>
            <w:tcW w:w="1980" w:type="dxa"/>
            <w:vAlign w:val="bottom"/>
          </w:tcPr>
          <w:p>
            <w:pPr>
              <w:jc w:val="right"/>
              <w:ind w:right="261"/>
              <w:spacing w:after="0"/>
              <w:rPr>
                <w:sz w:val="20"/>
                <w:szCs w:val="20"/>
                <w:color w:val="auto"/>
              </w:rPr>
            </w:pPr>
            <w:r>
              <w:rPr>
                <w:rFonts w:ascii="Arial" w:cs="Arial" w:eastAsia="Arial" w:hAnsi="Arial"/>
                <w:sz w:val="18"/>
                <w:szCs w:val="18"/>
                <w:color w:val="auto"/>
              </w:rPr>
              <w:t>$10.72</w:t>
            </w:r>
          </w:p>
        </w:tc>
        <w:tc>
          <w:tcPr>
            <w:tcW w:w="2600" w:type="dxa"/>
            <w:vAlign w:val="bottom"/>
          </w:tcPr>
          <w:p>
            <w:pPr>
              <w:jc w:val="right"/>
              <w:ind w:right="61"/>
              <w:spacing w:after="0"/>
              <w:rPr>
                <w:sz w:val="20"/>
                <w:szCs w:val="20"/>
                <w:color w:val="auto"/>
              </w:rPr>
            </w:pPr>
            <w:r>
              <w:rPr>
                <w:rFonts w:ascii="Arial" w:cs="Arial" w:eastAsia="Arial" w:hAnsi="Arial"/>
                <w:sz w:val="18"/>
                <w:szCs w:val="18"/>
                <w:color w:val="4D4D4F"/>
              </w:rPr>
              <w:t>591,332</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4"/>
          <w:szCs w:val="14"/>
          <w:color w:val="4D4D4F"/>
        </w:rPr>
      </w:pPr>
      <w:r>
        <w:rPr>
          <w:rFonts w:ascii="Arial" w:cs="Arial" w:eastAsia="Arial" w:hAnsi="Arial"/>
          <w:sz w:val="14"/>
          <w:szCs w:val="14"/>
          <w:color w:val="4D4D4F"/>
        </w:rPr>
        <w:t>Consists of shares of Class A common stock available at December 31, 2020 for awards under our 2016 Omnibus Incentive Plan. Excludes securities reflected in column</w:t>
      </w:r>
    </w:p>
    <w:p>
      <w:pPr>
        <w:spacing w:after="0" w:line="1" w:lineRule="exact"/>
        <w:rPr>
          <w:rFonts w:ascii="Arial" w:cs="Arial" w:eastAsia="Arial" w:hAnsi="Arial"/>
          <w:sz w:val="14"/>
          <w:szCs w:val="14"/>
          <w:color w:val="4D4D4F"/>
        </w:rPr>
      </w:pPr>
    </w:p>
    <w:p>
      <w:pPr>
        <w:ind w:left="340"/>
        <w:spacing w:after="0"/>
        <w:rPr>
          <w:rFonts w:ascii="Arial" w:cs="Arial" w:eastAsia="Arial" w:hAnsi="Arial"/>
          <w:sz w:val="14"/>
          <w:szCs w:val="14"/>
          <w:color w:val="4D4D4F"/>
        </w:rPr>
      </w:pPr>
      <w:r>
        <w:rPr>
          <w:rFonts w:ascii="Arial" w:cs="Arial" w:eastAsia="Arial" w:hAnsi="Arial"/>
          <w:sz w:val="14"/>
          <w:szCs w:val="14"/>
          <w:color w:val="4D4D4F"/>
        </w:rPr>
        <w:t>(a). Under the terms of the 2016 Omnibus Incentive Plan, 747,971 shares became available for grant effective as of January 1, 2021.</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9"/>
        </w:numPr>
        <w:rPr>
          <w:rFonts w:ascii="Arial" w:cs="Arial" w:eastAsia="Arial" w:hAnsi="Arial"/>
          <w:sz w:val="14"/>
          <w:szCs w:val="14"/>
          <w:color w:val="4D4D4F"/>
        </w:rPr>
      </w:pPr>
      <w:r>
        <w:rPr>
          <w:rFonts w:ascii="Arial" w:cs="Arial" w:eastAsia="Arial" w:hAnsi="Arial"/>
          <w:sz w:val="14"/>
          <w:szCs w:val="14"/>
          <w:color w:val="4D4D4F"/>
        </w:rPr>
        <w:t>Consists of awards issued or issuable under our 2016 Omnibus Incentive Plan and 1998 Stock Option Plan.</w:t>
      </w:r>
    </w:p>
    <w:p>
      <w:pPr>
        <w:spacing w:after="0" w:line="55" w:lineRule="exact"/>
        <w:rPr>
          <w:rFonts w:ascii="Arial" w:cs="Arial" w:eastAsia="Arial" w:hAnsi="Arial"/>
          <w:sz w:val="14"/>
          <w:szCs w:val="14"/>
          <w:color w:val="4D4D4F"/>
        </w:rPr>
      </w:pPr>
    </w:p>
    <w:p>
      <w:pPr>
        <w:ind w:left="340" w:hanging="332"/>
        <w:spacing w:after="0"/>
        <w:tabs>
          <w:tab w:leader="none" w:pos="340" w:val="left"/>
        </w:tabs>
        <w:numPr>
          <w:ilvl w:val="0"/>
          <w:numId w:val="59"/>
        </w:numPr>
        <w:rPr>
          <w:rFonts w:ascii="Arial" w:cs="Arial" w:eastAsia="Arial" w:hAnsi="Arial"/>
          <w:sz w:val="14"/>
          <w:szCs w:val="14"/>
          <w:color w:val="4D4D4F"/>
        </w:rPr>
      </w:pPr>
      <w:r>
        <w:rPr>
          <w:rFonts w:ascii="Arial" w:cs="Arial" w:eastAsia="Arial" w:hAnsi="Arial"/>
          <w:sz w:val="14"/>
          <w:szCs w:val="14"/>
          <w:color w:val="4D4D4F"/>
        </w:rPr>
        <w:t>Consists of non-qualified stock option agreements granted between 2007 and 2015 outside of any equity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CEO Pay Ratio</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As required by applicable SEC rules, we are providing the following information about the relationship of the annual total compensation of our median compensated employee and the annual total compensation of David Wang, our chief executive officer as of December 31, 2020, or our CEO. For 2020, our last completed fiscal year:</w:t>
      </w:r>
    </w:p>
    <w:p>
      <w:pPr>
        <w:spacing w:after="0" w:line="41"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4D4D4F"/>
        </w:rPr>
      </w:pPr>
      <w:r>
        <w:rPr>
          <w:rFonts w:ascii="Arial" w:cs="Arial" w:eastAsia="Arial" w:hAnsi="Arial"/>
          <w:sz w:val="18"/>
          <w:szCs w:val="18"/>
          <w:color w:val="4D4D4F"/>
        </w:rPr>
        <w:t>the annual total compensation of our median compensated employee (other than our CEO) was $24,029;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0"/>
        </w:numPr>
        <w:rPr>
          <w:rFonts w:ascii="Arial" w:cs="Arial" w:eastAsia="Arial" w:hAnsi="Arial"/>
          <w:sz w:val="18"/>
          <w:szCs w:val="18"/>
          <w:color w:val="4D4D4F"/>
        </w:rPr>
      </w:pPr>
      <w:r>
        <w:rPr>
          <w:rFonts w:ascii="Arial" w:cs="Arial" w:eastAsia="Arial" w:hAnsi="Arial"/>
          <w:sz w:val="18"/>
          <w:szCs w:val="18"/>
          <w:color w:val="4D4D4F"/>
        </w:rPr>
        <w:t>the annual total compensation of our CEO, for the purposes of this disclosure, was $5,369,089.</w:t>
      </w:r>
    </w:p>
    <w:p>
      <w:pPr>
        <w:spacing w:after="0" w:line="90"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Based on this information, for 2020 the ratio of the annual total compensation of our CEO to the annual total compensation of our median compensated employee was 223 to 1.</w:t>
      </w:r>
    </w:p>
    <w:p>
      <w:pPr>
        <w:spacing w:after="0" w:line="156"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We took the following steps to identify our median compensated employee, as well as to determine the annual total compensation of our median employee and our CEO.</w:t>
      </w:r>
    </w:p>
    <w:p>
      <w:pPr>
        <w:spacing w:after="0" w:line="35" w:lineRule="exact"/>
        <w:rPr>
          <w:sz w:val="20"/>
          <w:szCs w:val="20"/>
          <w:color w:val="auto"/>
        </w:rPr>
      </w:pPr>
    </w:p>
    <w:p>
      <w:pPr>
        <w:ind w:left="340" w:hanging="332"/>
        <w:spacing w:after="0" w:line="246" w:lineRule="auto"/>
        <w:tabs>
          <w:tab w:leader="none" w:pos="340" w:val="left"/>
        </w:tabs>
        <w:numPr>
          <w:ilvl w:val="0"/>
          <w:numId w:val="61"/>
        </w:numPr>
        <w:rPr>
          <w:rFonts w:ascii="Arial" w:cs="Arial" w:eastAsia="Arial" w:hAnsi="Arial"/>
          <w:sz w:val="18"/>
          <w:szCs w:val="18"/>
          <w:color w:val="4D4D4F"/>
        </w:rPr>
      </w:pPr>
      <w:r>
        <w:rPr>
          <w:rFonts w:ascii="Arial" w:cs="Arial" w:eastAsia="Arial" w:hAnsi="Arial"/>
          <w:sz w:val="18"/>
          <w:szCs w:val="18"/>
          <w:color w:val="4D4D4F"/>
        </w:rPr>
        <w:t>We determined that, as of December 31, 2020, our employee population consisted of 543 individuals. This population consisted of our full-time, part-time and temporary employees employed with us as of the determination date.</w:t>
      </w:r>
    </w:p>
    <w:p>
      <w:pPr>
        <w:spacing w:after="0" w:line="34" w:lineRule="exact"/>
        <w:rPr>
          <w:rFonts w:ascii="Arial" w:cs="Arial" w:eastAsia="Arial" w:hAnsi="Arial"/>
          <w:sz w:val="18"/>
          <w:szCs w:val="18"/>
          <w:color w:val="4D4D4F"/>
        </w:rPr>
      </w:pPr>
    </w:p>
    <w:p>
      <w:pPr>
        <w:jc w:val="both"/>
        <w:ind w:left="340" w:hanging="332"/>
        <w:spacing w:after="0" w:line="238" w:lineRule="auto"/>
        <w:tabs>
          <w:tab w:leader="none" w:pos="340" w:val="left"/>
        </w:tabs>
        <w:numPr>
          <w:ilvl w:val="0"/>
          <w:numId w:val="61"/>
        </w:numPr>
        <w:rPr>
          <w:rFonts w:ascii="Arial" w:cs="Arial" w:eastAsia="Arial" w:hAnsi="Arial"/>
          <w:sz w:val="18"/>
          <w:szCs w:val="18"/>
          <w:color w:val="4D4D4F"/>
        </w:rPr>
      </w:pPr>
      <w:r>
        <w:rPr>
          <w:rFonts w:ascii="Arial" w:cs="Arial" w:eastAsia="Arial" w:hAnsi="Arial"/>
          <w:sz w:val="18"/>
          <w:szCs w:val="18"/>
          <w:color w:val="4D4D4F"/>
        </w:rPr>
        <w:t>To identify the “median employee” from our employee population, we aggregated for each applicable employee, other than our CEO, (a) annual base salary (or hourly rate multiplied by estimated work schedule, for hourly employees), (b) the bonus amount earned for 2020, which was paid out in early 2021, and (c) the grant date fair value of equity awards granted in 2020. Once aggregated, we ranked this compensation measure for our employees from lowest to highest and selected the median employee.</w:t>
      </w:r>
    </w:p>
    <w:p>
      <w:pPr>
        <w:spacing w:after="0" w:line="42" w:lineRule="exact"/>
        <w:rPr>
          <w:rFonts w:ascii="Arial" w:cs="Arial" w:eastAsia="Arial" w:hAnsi="Arial"/>
          <w:sz w:val="18"/>
          <w:szCs w:val="18"/>
          <w:color w:val="4D4D4F"/>
        </w:rPr>
      </w:pPr>
    </w:p>
    <w:p>
      <w:pPr>
        <w:jc w:val="both"/>
        <w:ind w:left="340" w:hanging="332"/>
        <w:spacing w:after="0"/>
        <w:tabs>
          <w:tab w:leader="none" w:pos="340" w:val="left"/>
        </w:tabs>
        <w:numPr>
          <w:ilvl w:val="0"/>
          <w:numId w:val="61"/>
        </w:numPr>
        <w:rPr>
          <w:rFonts w:ascii="Arial" w:cs="Arial" w:eastAsia="Arial" w:hAnsi="Arial"/>
          <w:sz w:val="18"/>
          <w:szCs w:val="18"/>
          <w:color w:val="4D4D4F"/>
        </w:rPr>
      </w:pPr>
      <w:r>
        <w:rPr>
          <w:rFonts w:ascii="Arial" w:cs="Arial" w:eastAsia="Arial" w:hAnsi="Arial"/>
          <w:sz w:val="18"/>
          <w:szCs w:val="18"/>
          <w:color w:val="4D4D4F"/>
        </w:rPr>
        <w:t>For the annual total compensation of our median employee, we identified and calculated the elements of that employee’s compensation for 2020 in accordance with the requirements of Item 402(c)(2)(x) of Regulation S-K of the SEC, resulting in annual total compensation of $24,029.</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pay ratio reported above is a reasonable estimate calculated in a manner consistent with SEC rules based on our internal records and the methodology described above. SEC rules for identifying the median compensated employee and calculating the pay ratio based on that employee’s annual total compensation allow companies to adopt a variety of methodologies, to apply certain exclusions, and to make reasonable estimates and assumptions reflecting their employee populations and compensation practices. The pay ratios reported by other companies may not be comparable to the pay ratio reported above, as those companies have different employee populations and compensation practices and may utilize different methodologies, exclusions, estimates and assumptions in calculating their pay ratios.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Compensation Discussion and Analysis</w:t>
      </w:r>
    </w:p>
    <w:p>
      <w:pPr>
        <w:spacing w:after="0" w:line="309"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This Compensation Discussion and Analysis explains our executive compensation program as it relates to our NEOs, whose compensation information is presented in the following tables and discussion in accordance with SEC rules: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Fiscal Year 2020 NEOs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Named Executive Officer</w:t>
            </w:r>
          </w:p>
        </w:tc>
        <w:tc>
          <w:tcPr>
            <w:tcW w:w="8420" w:type="dxa"/>
            <w:vAlign w:val="bottom"/>
            <w:shd w:val="clear" w:color="auto" w:fill="003E64"/>
          </w:tcPr>
          <w:p>
            <w:pPr>
              <w:ind w:left="1140"/>
              <w:spacing w:after="0"/>
              <w:rPr>
                <w:sz w:val="20"/>
                <w:szCs w:val="20"/>
                <w:color w:val="auto"/>
              </w:rPr>
            </w:pPr>
            <w:r>
              <w:rPr>
                <w:rFonts w:ascii="Arial" w:cs="Arial" w:eastAsia="Arial" w:hAnsi="Arial"/>
                <w:sz w:val="14"/>
                <w:szCs w:val="14"/>
                <w:b w:val="1"/>
                <w:bCs w:val="1"/>
                <w:color w:val="FFFFFF"/>
              </w:rPr>
              <w:t>Position(s)</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4D4D4F"/>
              </w:rPr>
              <w:t>David H. Wang</w:t>
            </w:r>
          </w:p>
        </w:tc>
        <w:tc>
          <w:tcPr>
            <w:tcW w:w="8420" w:type="dxa"/>
            <w:vAlign w:val="bottom"/>
          </w:tcPr>
          <w:p>
            <w:pPr>
              <w:ind w:left="1140"/>
              <w:spacing w:after="0" w:line="202" w:lineRule="exact"/>
              <w:rPr>
                <w:sz w:val="20"/>
                <w:szCs w:val="20"/>
                <w:color w:val="auto"/>
              </w:rPr>
            </w:pPr>
            <w:r>
              <w:rPr>
                <w:rFonts w:ascii="Arial" w:cs="Arial" w:eastAsia="Arial" w:hAnsi="Arial"/>
                <w:sz w:val="18"/>
                <w:szCs w:val="18"/>
                <w:color w:val="4D4D4F"/>
              </w:rPr>
              <w:t>Chief Executive Officer and President</w:t>
            </w:r>
          </w:p>
        </w:tc>
      </w:tr>
      <w:tr>
        <w:trPr>
          <w:trHeight w:val="203"/>
        </w:trPr>
        <w:tc>
          <w:tcPr>
            <w:tcW w:w="282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Mark McKechnie</w:t>
            </w:r>
          </w:p>
        </w:tc>
        <w:tc>
          <w:tcPr>
            <w:tcW w:w="8420" w:type="dxa"/>
            <w:vAlign w:val="bottom"/>
            <w:shd w:val="clear" w:color="auto" w:fill="B7E4FF"/>
          </w:tcPr>
          <w:p>
            <w:pPr>
              <w:ind w:left="1140"/>
              <w:spacing w:after="0" w:line="202" w:lineRule="exact"/>
              <w:rPr>
                <w:sz w:val="20"/>
                <w:szCs w:val="20"/>
                <w:color w:val="auto"/>
              </w:rPr>
            </w:pPr>
            <w:r>
              <w:rPr>
                <w:rFonts w:ascii="Arial" w:cs="Arial" w:eastAsia="Arial" w:hAnsi="Arial"/>
                <w:sz w:val="18"/>
                <w:szCs w:val="18"/>
                <w:color w:val="4D4D4F"/>
              </w:rPr>
              <w:t>Chief Financial Officer and Treasurer</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4D4D4F"/>
              </w:rPr>
              <w:t>Jian Wang</w:t>
            </w:r>
          </w:p>
        </w:tc>
        <w:tc>
          <w:tcPr>
            <w:tcW w:w="8420" w:type="dxa"/>
            <w:vAlign w:val="bottom"/>
          </w:tcPr>
          <w:p>
            <w:pPr>
              <w:ind w:left="1140"/>
              <w:spacing w:after="0" w:line="202" w:lineRule="exact"/>
              <w:rPr>
                <w:sz w:val="20"/>
                <w:szCs w:val="20"/>
                <w:color w:val="auto"/>
              </w:rPr>
            </w:pPr>
            <w:r>
              <w:rPr>
                <w:rFonts w:ascii="Arial" w:cs="Arial" w:eastAsia="Arial" w:hAnsi="Arial"/>
                <w:sz w:val="18"/>
                <w:szCs w:val="18"/>
                <w:color w:val="4D4D4F"/>
              </w:rPr>
              <w:t>Chief Executive Oﬃcer and President, ACM Research (Shanghai), Inc.</w:t>
            </w:r>
          </w:p>
        </w:tc>
      </w:tr>
      <w:tr>
        <w:trPr>
          <w:trHeight w:val="203"/>
        </w:trPr>
        <w:tc>
          <w:tcPr>
            <w:tcW w:w="282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Lisa Feng</w:t>
            </w:r>
          </w:p>
        </w:tc>
        <w:tc>
          <w:tcPr>
            <w:tcW w:w="8420" w:type="dxa"/>
            <w:vAlign w:val="bottom"/>
            <w:shd w:val="clear" w:color="auto" w:fill="B7E4FF"/>
          </w:tcPr>
          <w:p>
            <w:pPr>
              <w:ind w:left="1140"/>
              <w:spacing w:after="0" w:line="202" w:lineRule="exact"/>
              <w:rPr>
                <w:sz w:val="20"/>
                <w:szCs w:val="20"/>
                <w:color w:val="auto"/>
              </w:rPr>
            </w:pPr>
            <w:r>
              <w:rPr>
                <w:rFonts w:ascii="Arial" w:cs="Arial" w:eastAsia="Arial" w:hAnsi="Arial"/>
                <w:sz w:val="18"/>
                <w:szCs w:val="18"/>
                <w:color w:val="4D4D4F"/>
              </w:rPr>
              <w:t>Chief Financial Officer, ACM Research (Shanghai), Inc.</w:t>
            </w:r>
          </w:p>
        </w:tc>
      </w:tr>
      <w:tr>
        <w:trPr>
          <w:trHeight w:val="217"/>
        </w:trPr>
        <w:tc>
          <w:tcPr>
            <w:tcW w:w="2820" w:type="dxa"/>
            <w:vAlign w:val="bottom"/>
          </w:tcPr>
          <w:p>
            <w:pPr>
              <w:spacing w:after="0"/>
              <w:rPr>
                <w:sz w:val="20"/>
                <w:szCs w:val="20"/>
                <w:color w:val="auto"/>
              </w:rPr>
            </w:pPr>
            <w:r>
              <w:rPr>
                <w:rFonts w:ascii="Arial" w:cs="Arial" w:eastAsia="Arial" w:hAnsi="Arial"/>
                <w:sz w:val="18"/>
                <w:szCs w:val="18"/>
                <w:color w:val="4D4D4F"/>
              </w:rPr>
              <w:t>Fuping Chen</w:t>
            </w:r>
          </w:p>
        </w:tc>
        <w:tc>
          <w:tcPr>
            <w:tcW w:w="8420" w:type="dxa"/>
            <w:vAlign w:val="bottom"/>
          </w:tcPr>
          <w:p>
            <w:pPr>
              <w:ind w:left="1140"/>
              <w:spacing w:after="0"/>
              <w:rPr>
                <w:sz w:val="20"/>
                <w:szCs w:val="20"/>
                <w:color w:val="auto"/>
              </w:rPr>
            </w:pPr>
            <w:r>
              <w:rPr>
                <w:rFonts w:ascii="Arial" w:cs="Arial" w:eastAsia="Arial" w:hAnsi="Arial"/>
                <w:sz w:val="18"/>
                <w:szCs w:val="18"/>
                <w:color w:val="4D4D4F"/>
              </w:rPr>
              <w:t>Vice President, Sales—China, ACM Research (Shanghai), Inc.</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4D4D4F"/>
        </w:rPr>
        <w:t>We are committed to sound NEO compensation policies and practices, as follows:</w:t>
      </w:r>
    </w:p>
    <w:p>
      <w:pPr>
        <w:spacing w:after="0" w:line="77"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4D4D4F"/>
        </w:rPr>
      </w:pPr>
      <w:r>
        <w:rPr>
          <w:rFonts w:ascii="Arial" w:cs="Arial" w:eastAsia="Arial" w:hAnsi="Arial"/>
          <w:sz w:val="18"/>
          <w:szCs w:val="18"/>
          <w:color w:val="4D4D4F"/>
        </w:rPr>
        <w:t>prohibition on hedging, pledging, and short sales;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2"/>
        </w:numPr>
        <w:rPr>
          <w:rFonts w:ascii="Arial" w:cs="Arial" w:eastAsia="Arial" w:hAnsi="Arial"/>
          <w:sz w:val="18"/>
          <w:szCs w:val="18"/>
          <w:color w:val="4D4D4F"/>
        </w:rPr>
      </w:pPr>
      <w:r>
        <w:rPr>
          <w:rFonts w:ascii="Arial" w:cs="Arial" w:eastAsia="Arial" w:hAnsi="Arial"/>
          <w:sz w:val="18"/>
          <w:szCs w:val="18"/>
          <w:color w:val="4D4D4F"/>
        </w:rPr>
        <w:t>no retirement vesting of equity awards;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2"/>
        </w:numPr>
        <w:rPr>
          <w:rFonts w:ascii="Arial" w:cs="Arial" w:eastAsia="Arial" w:hAnsi="Arial"/>
          <w:sz w:val="18"/>
          <w:szCs w:val="18"/>
          <w:color w:val="4D4D4F"/>
        </w:rPr>
      </w:pPr>
      <w:r>
        <w:rPr>
          <w:rFonts w:ascii="Arial" w:cs="Arial" w:eastAsia="Arial" w:hAnsi="Arial"/>
          <w:sz w:val="18"/>
          <w:szCs w:val="18"/>
          <w:color w:val="4D4D4F"/>
        </w:rPr>
        <w:t>no pension or related benefits, except as required by law in jurisdictions outside of the United States;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62"/>
        </w:numPr>
        <w:rPr>
          <w:rFonts w:ascii="Arial" w:cs="Arial" w:eastAsia="Arial" w:hAnsi="Arial"/>
          <w:sz w:val="18"/>
          <w:szCs w:val="18"/>
          <w:color w:val="4D4D4F"/>
        </w:rPr>
      </w:pPr>
      <w:r>
        <w:rPr>
          <w:rFonts w:ascii="Arial" w:cs="Arial" w:eastAsia="Arial" w:hAnsi="Arial"/>
          <w:sz w:val="18"/>
          <w:szCs w:val="18"/>
          <w:color w:val="4D4D4F"/>
        </w:rPr>
        <w:t>no significant perquisites;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2"/>
        </w:numPr>
        <w:rPr>
          <w:rFonts w:ascii="Arial" w:cs="Arial" w:eastAsia="Arial" w:hAnsi="Arial"/>
          <w:sz w:val="18"/>
          <w:szCs w:val="18"/>
          <w:color w:val="4D4D4F"/>
        </w:rPr>
      </w:pPr>
      <w:r>
        <w:rPr>
          <w:rFonts w:ascii="Arial" w:cs="Arial" w:eastAsia="Arial" w:hAnsi="Arial"/>
          <w:sz w:val="18"/>
          <w:szCs w:val="18"/>
          <w:color w:val="4D4D4F"/>
        </w:rPr>
        <w:t>independent compensation consultant;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2"/>
        </w:numPr>
        <w:rPr>
          <w:rFonts w:ascii="Arial" w:cs="Arial" w:eastAsia="Arial" w:hAnsi="Arial"/>
          <w:sz w:val="18"/>
          <w:szCs w:val="18"/>
          <w:color w:val="4D4D4F"/>
        </w:rPr>
      </w:pPr>
      <w:r>
        <w:rPr>
          <w:rFonts w:ascii="Arial" w:cs="Arial" w:eastAsia="Arial" w:hAnsi="Arial"/>
          <w:sz w:val="18"/>
          <w:szCs w:val="18"/>
          <w:color w:val="4D4D4F"/>
        </w:rPr>
        <w:t>no tax gross ups for golden parachute taxes.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Executive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Company Description</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supply advanced, innovative capital equipment developed for the global semiconductor industry. Our corporate office is located in Fremont, California, and we conduct our business operations principally through our subsidiary ACM Research (Shanghai), Inc., or ACM Shanghai. We have more than 500 employees globally, most of whom — including most of our NEOs — are based in the PRC. As a result of our significant PRC operations, many of our compensation practices reflect market practices in the PRC, although we expect those practices to evolve as we continue to broaden our operations into additional countries.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Key 2020 Compensation Items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As further described below, in 2020, unlike prior years, we granted the following equity awards in order to closely align the interests of our executives with those of our stockholders, to provide our executives with incentives linked to long-term performance, and to foster an ownership culture among executives:</w:t>
      </w:r>
    </w:p>
    <w:p>
      <w:pPr>
        <w:spacing w:after="0" w:line="68"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4D4D4F"/>
        </w:rPr>
      </w:pPr>
      <w:r>
        <w:rPr>
          <w:rFonts w:ascii="Arial" w:cs="Arial" w:eastAsia="Arial" w:hAnsi="Arial"/>
          <w:sz w:val="18"/>
          <w:szCs w:val="18"/>
          <w:color w:val="4D4D4F"/>
        </w:rPr>
        <w:t>performance-based stock options to David Wang and Fuping Chen to acquire shares of Class A common stock;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3"/>
        </w:numPr>
        <w:rPr>
          <w:rFonts w:ascii="Arial" w:cs="Arial" w:eastAsia="Arial" w:hAnsi="Arial"/>
          <w:sz w:val="18"/>
          <w:szCs w:val="18"/>
          <w:color w:val="4D4D4F"/>
        </w:rPr>
      </w:pPr>
      <w:r>
        <w:rPr>
          <w:rFonts w:ascii="Arial" w:cs="Arial" w:eastAsia="Arial" w:hAnsi="Arial"/>
          <w:sz w:val="18"/>
          <w:szCs w:val="18"/>
          <w:color w:val="4D4D4F"/>
        </w:rPr>
        <w:t>performance-based stock options to each of our NEOs, other than Mr. McKechnie, to acquire shares of ACM Shanghai.</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Executive Compensation Philosophy and Design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Compensation Philosophy</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designed, and intend to modify as necessary, our NEO compensation program and philosophy to attract, retain and incentivize talented, qualified and committed NEOs by offering compensation, as described below, that reflects competitive market practices in the jurisdictions in which we operate and as adjusted for individual NEO factors and circumstances. As our needs evolve and as we continue to broaden our operations outside the PRC, we will continue to evaluate our NEO compensation program and philosophy, as circumstances may require.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4D4D4F"/>
        </w:rPr>
        <w:t xml:space="preserve">Except as specifically described herein, the compensation committee does not affirmatively set out in any given year, or with respect to any given NEO, to apportion compensation in any specific ratio among the various categories of compensation (that is, between short- and long-term compensation or between non-performance-based and performance-based compensation). Rather, the compensation committee uses the philosophy described above, and the factors described for each category in the discussion that follows, as a guide in assessing the proper allocation among those categories. </w:t>
      </w:r>
      <w:r>
        <w:rPr>
          <w:rFonts w:ascii="Arial" w:cs="Arial" w:eastAsia="Arial" w:hAnsi="Arial"/>
          <w:sz w:val="18"/>
          <w:szCs w:val="18"/>
          <w:color w:val="000000"/>
        </w:rPr>
        <w:t>In addition, except as specifically described herein, the compensation committee does not</w:t>
      </w:r>
      <w:r>
        <w:rPr>
          <w:rFonts w:ascii="Arial" w:cs="Arial" w:eastAsia="Arial" w:hAnsi="Arial"/>
          <w:sz w:val="18"/>
          <w:szCs w:val="18"/>
          <w:color w:val="4D4D4F"/>
        </w:rPr>
        <w:t xml:space="preserve"> </w:t>
      </w:r>
      <w:r>
        <w:rPr>
          <w:rFonts w:ascii="Arial" w:cs="Arial" w:eastAsia="Arial" w:hAnsi="Arial"/>
          <w:sz w:val="18"/>
          <w:szCs w:val="18"/>
          <w:color w:val="000000"/>
        </w:rPr>
        <w:t>affirmatively set out in any given year, or with respect to any given NEO, to apportion cash and equity compensation in any specific ratio. Rather, the compensation committee uses the philosophy described above, and the factors described below, as a guide in assessing the proper allocation between cash and equity awards. The compensation committee also does not “benchmark” compensation. Rather, the compensation committee makes adjustments based on the philosophy described above and considers competitive market practices in the jurisdictions in which we operate as one factor in its deliberations. The compensation committee does not target the elements of our compensation program at any specific level or percentile within a “peer group.” Rather than rely on a specific formula</w:t>
      </w:r>
      <w:r>
        <w:rPr>
          <w:rFonts w:ascii="MS PGothic" w:cs="MS PGothic" w:eastAsia="MS PGothic" w:hAnsi="MS PGothic"/>
          <w:sz w:val="18"/>
          <w:szCs w:val="18"/>
          <w:color w:val="000000"/>
        </w:rPr>
        <w:t>‑</w:t>
      </w:r>
      <w:r>
        <w:rPr>
          <w:rFonts w:ascii="Arial" w:cs="Arial" w:eastAsia="Arial" w:hAnsi="Arial"/>
          <w:sz w:val="18"/>
          <w:szCs w:val="18"/>
          <w:color w:val="000000"/>
        </w:rPr>
        <w:t>based model, the compensation committee believes that retaining discretion to assess the overall performance of NEOs gives the compensation committee the ability to more accurately reflect individual contributions that cannot be absolutely quantified. As noted above, as our needs evolve and as we continue to broaden our operations outside the PRC, we will continue to evaluate our NEO compensation program and philosophy as circumstances require.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Role of Compensation Committee</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compensation committee periodically reviews, reassesses, and if the compensation committee deems necessary, updates our NEO compensation and compensation philosophy. The compensation committee’s responsibilities include:</w:t>
      </w:r>
    </w:p>
    <w:p>
      <w:pPr>
        <w:spacing w:after="0" w:line="62" w:lineRule="exact"/>
        <w:rPr>
          <w:sz w:val="20"/>
          <w:szCs w:val="20"/>
          <w:color w:val="auto"/>
        </w:rPr>
      </w:pPr>
    </w:p>
    <w:p>
      <w:pPr>
        <w:ind w:left="340" w:right="20" w:hanging="332"/>
        <w:spacing w:after="0" w:line="246" w:lineRule="auto"/>
        <w:tabs>
          <w:tab w:leader="none" w:pos="340" w:val="left"/>
        </w:tabs>
        <w:numPr>
          <w:ilvl w:val="0"/>
          <w:numId w:val="64"/>
        </w:numPr>
        <w:rPr>
          <w:rFonts w:ascii="Arial" w:cs="Arial" w:eastAsia="Arial" w:hAnsi="Arial"/>
          <w:sz w:val="18"/>
          <w:szCs w:val="18"/>
          <w:color w:val="4D4D4F"/>
        </w:rPr>
      </w:pPr>
      <w:r>
        <w:rPr>
          <w:rFonts w:ascii="Arial" w:cs="Arial" w:eastAsia="Arial" w:hAnsi="Arial"/>
          <w:sz w:val="18"/>
          <w:szCs w:val="18"/>
          <w:color w:val="4D4D4F"/>
        </w:rPr>
        <w:t>periodically reviewing NEO compensation to assess its efficacy and to determine whether the nature and terms such compensation is proper in furthering ACM’s strategic plans and objectives;</w:t>
      </w:r>
    </w:p>
    <w:p>
      <w:pPr>
        <w:spacing w:after="0" w:line="75"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64"/>
        </w:numPr>
        <w:rPr>
          <w:rFonts w:ascii="Arial" w:cs="Arial" w:eastAsia="Arial" w:hAnsi="Arial"/>
          <w:sz w:val="18"/>
          <w:szCs w:val="18"/>
          <w:color w:val="4D4D4F"/>
        </w:rPr>
      </w:pPr>
      <w:r>
        <w:rPr>
          <w:rFonts w:ascii="Arial" w:cs="Arial" w:eastAsia="Arial" w:hAnsi="Arial"/>
          <w:sz w:val="18"/>
          <w:szCs w:val="18"/>
          <w:color w:val="4D4D4F"/>
        </w:rPr>
        <w:t>administering our NEO cash incentive compensation plans and equity-based plans, including the designation of NEOs to whom awards are to be granted, the type and amount of award to be granted, and the terms and conditions applicable to each award;</w:t>
      </w:r>
    </w:p>
    <w:p>
      <w:pPr>
        <w:spacing w:after="0" w:line="75"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64"/>
        </w:numPr>
        <w:rPr>
          <w:rFonts w:ascii="Arial" w:cs="Arial" w:eastAsia="Arial" w:hAnsi="Arial"/>
          <w:sz w:val="18"/>
          <w:szCs w:val="18"/>
          <w:color w:val="4D4D4F"/>
        </w:rPr>
      </w:pPr>
      <w:r>
        <w:rPr>
          <w:rFonts w:ascii="Arial" w:cs="Arial" w:eastAsia="Arial" w:hAnsi="Arial"/>
          <w:sz w:val="18"/>
          <w:szCs w:val="18"/>
          <w:color w:val="4D4D4F"/>
        </w:rPr>
        <w:t>reviewing and approving the policies and procedures for the grant of NEO equity-based awards by our company and ACM Shanghai, including grant-timing practices;</w:t>
      </w:r>
    </w:p>
    <w:p>
      <w:pPr>
        <w:spacing w:after="0" w:line="61" w:lineRule="exact"/>
        <w:rPr>
          <w:rFonts w:ascii="Arial" w:cs="Arial" w:eastAsia="Arial" w:hAnsi="Arial"/>
          <w:sz w:val="18"/>
          <w:szCs w:val="18"/>
          <w:color w:val="4D4D4F"/>
        </w:rPr>
      </w:pPr>
    </w:p>
    <w:p>
      <w:pPr>
        <w:jc w:val="both"/>
        <w:ind w:left="340" w:hanging="332"/>
        <w:spacing w:after="0"/>
        <w:tabs>
          <w:tab w:leader="none" w:pos="340" w:val="left"/>
        </w:tabs>
        <w:numPr>
          <w:ilvl w:val="0"/>
          <w:numId w:val="64"/>
        </w:numPr>
        <w:rPr>
          <w:rFonts w:ascii="Arial" w:cs="Arial" w:eastAsia="Arial" w:hAnsi="Arial"/>
          <w:sz w:val="18"/>
          <w:szCs w:val="18"/>
          <w:color w:val="4D4D4F"/>
        </w:rPr>
      </w:pPr>
      <w:r>
        <w:rPr>
          <w:rFonts w:ascii="Arial" w:cs="Arial" w:eastAsia="Arial" w:hAnsi="Arial"/>
          <w:sz w:val="18"/>
          <w:szCs w:val="18"/>
          <w:color w:val="4D4D4F"/>
        </w:rPr>
        <w:t>annually reviewing with the Lead Director the corporate and individual goals relevant to the chief executive officer’s performance, the performance of the chief executive officer for the prior year, and approving the chief executive officer’s compensation based on the results of the evaluation performed by the compensation committee; and</w:t>
      </w:r>
    </w:p>
    <w:p>
      <w:pPr>
        <w:spacing w:after="0" w:line="81" w:lineRule="exact"/>
        <w:rPr>
          <w:rFonts w:ascii="Arial" w:cs="Arial" w:eastAsia="Arial" w:hAnsi="Arial"/>
          <w:sz w:val="18"/>
          <w:szCs w:val="18"/>
          <w:color w:val="4D4D4F"/>
        </w:rPr>
      </w:pPr>
    </w:p>
    <w:p>
      <w:pPr>
        <w:jc w:val="both"/>
        <w:ind w:left="340" w:hanging="332"/>
        <w:spacing w:after="0"/>
        <w:tabs>
          <w:tab w:leader="none" w:pos="340" w:val="left"/>
        </w:tabs>
        <w:numPr>
          <w:ilvl w:val="0"/>
          <w:numId w:val="64"/>
        </w:numPr>
        <w:rPr>
          <w:rFonts w:ascii="Arial" w:cs="Arial" w:eastAsia="Arial" w:hAnsi="Arial"/>
          <w:sz w:val="18"/>
          <w:szCs w:val="18"/>
          <w:color w:val="4D4D4F"/>
        </w:rPr>
      </w:pPr>
      <w:r>
        <w:rPr>
          <w:rFonts w:ascii="Arial" w:cs="Arial" w:eastAsia="Arial" w:hAnsi="Arial"/>
          <w:sz w:val="18"/>
          <w:szCs w:val="18"/>
          <w:color w:val="4D4D4F"/>
        </w:rPr>
        <w:t>annually reviewing with the Lead Director and recommendations of our chief executive officer, the performance of our other NEOs in light of our NEO compensation goals and objectives and approving the compensation packages and compensation payouts for such individuals.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Role of Management</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time to time, our chief executive officer may develop recommendations for the compensation of our NEOs (other than himself) related to base salaries, annual cash incentive opportunities, equity award opportunities, and the criteria upon which these award opportunities may be earned.</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From time to time, our chief executive officer may attend compensation committee meetings at the request of the compensation committee but leaves the meetings for any deliberations related to and decisions regarding his own compensation.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Role of Independent Compensation Consultant</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2020 the compensation committee retained Radford, which is part of the Rewards Solutions practice at Aon plc, as its independent outside compensation consultant to assist with reviewing selected NEO compensation. The compensation committee has the sole discretion to retain or replace Radford. The compensation committee believes that working with an independent compensation consultant furthers our objectives to recruit and retain qualified executives, align executive interests with those of stockholders, and ensure that executive compensation packages will appropriately motivate and reward ongoing achievement of business goals. The compensation committee has assessed the relationships among Radford, the compensation committee, our company and our executive officers for independence and conflicts of interest. In this assessment, the compensation committee reviewed the criteria set forth in Section 240.10C-1(b)(4)(i)-(vi) of the Code of Federal Regulations and such other criteria as it deemed appropriate. The compensation committee did not identify any conflicts of interest with the engagement of Radford. Additionally, Radford provided documented assurances that their relationship meets the independence standards, and no conflicts of interest were identified.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Advisory Vote on Executive Compensation</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submit to our stockholders on a tri-annual basis a proposal for a (non-binding) advisory vote, known as a “say-on-pay” vote, to approve the compensation of our NEOs. The compensation committee considers the outcome of this vote, among other things, when evaluating our compensation principles, designs and practices. At our 2018 Annual Meeting, our stockholders expressed strong support for our compensation program for named executive officers in 2017, with 99.8% of shares voted cast in favor of approval of the compensation program. The compensation committee will continue to consider stockholder feedback and the results of say-on-pay votes when making future compensation decisions.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Stockholder Outreach</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committed to year-round, meaningful engagement with our stockholders. We prioritize the different perspectives and issues raised by our stockholders by incorporating them into the business and strategy decisions of the board of directors. In 2020 we discussed a wide range of topics, including NEO compensation, with stockholders. We did not make any changes to NEO compensation in 2020 based on those discussions. Our engagement initiatives will continue in 2021 with outreach to our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Assessment of Compensation Risk</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our compensation programs for employees generally and have concluded that these programs do not create risks that are reasonably likely to have a material adverse effect on our company. We believe that our compensation program helps ensure performance is focused on long-term stockholder value creation and does not encourage short-term risk taking at the expense of long-term results.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Pay Components</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NEO compensation program involves regular review of compensation elements for NEOs, including whenever there is a change in roles or responsibilities of a NEO or a new NEO joins our company. Our NEO compensation program design uses a mix of annual and long-term components and a mix of cash and equity components. Our NEO compensation program includes base salary, annual cash bonus opportunities, long-term equity awards and promotion awards when necessary.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Overview of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spacing w:after="0"/>
              <w:rPr>
                <w:sz w:val="20"/>
                <w:szCs w:val="20"/>
                <w:color w:val="auto"/>
              </w:rPr>
            </w:pPr>
            <w:r>
              <w:rPr>
                <w:rFonts w:ascii="Arial" w:cs="Arial" w:eastAsia="Arial" w:hAnsi="Arial"/>
                <w:sz w:val="14"/>
                <w:szCs w:val="14"/>
                <w:color w:val="FFFFFF"/>
              </w:rPr>
              <w:t>Pay Element</w:t>
            </w:r>
          </w:p>
        </w:tc>
        <w:tc>
          <w:tcPr>
            <w:tcW w:w="1900" w:type="dxa"/>
            <w:vAlign w:val="bottom"/>
          </w:tcPr>
          <w:p>
            <w:pPr>
              <w:ind w:left="280"/>
              <w:spacing w:after="0"/>
              <w:rPr>
                <w:sz w:val="20"/>
                <w:szCs w:val="20"/>
                <w:color w:val="auto"/>
              </w:rPr>
            </w:pPr>
            <w:r>
              <w:rPr>
                <w:rFonts w:ascii="Arial" w:cs="Arial" w:eastAsia="Arial" w:hAnsi="Arial"/>
                <w:sz w:val="14"/>
                <w:szCs w:val="14"/>
                <w:color w:val="FFFFFF"/>
              </w:rPr>
              <w:t>Payment Vehicle</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0"/>
                <w:szCs w:val="20"/>
                <w:color w:val="auto"/>
              </w:rPr>
            </w:pPr>
            <w:r>
              <w:rPr>
                <w:rFonts w:ascii="Arial" w:cs="Arial" w:eastAsia="Arial" w:hAnsi="Arial"/>
                <w:sz w:val="18"/>
                <w:szCs w:val="18"/>
                <w:color w:val="4D4D4F"/>
              </w:rPr>
              <w:t>Base Salary</w:t>
            </w:r>
          </w:p>
        </w:tc>
        <w:tc>
          <w:tcPr>
            <w:tcW w:w="1900" w:type="dxa"/>
            <w:vAlign w:val="bottom"/>
          </w:tcPr>
          <w:p>
            <w:pPr>
              <w:ind w:left="280"/>
              <w:spacing w:after="0"/>
              <w:rPr>
                <w:sz w:val="20"/>
                <w:szCs w:val="20"/>
                <w:color w:val="auto"/>
              </w:rPr>
            </w:pPr>
            <w:r>
              <w:rPr>
                <w:rFonts w:ascii="Arial" w:cs="Arial" w:eastAsia="Arial" w:hAnsi="Arial"/>
                <w:sz w:val="18"/>
                <w:szCs w:val="18"/>
                <w:i w:val="1"/>
                <w:iCs w:val="1"/>
                <w:color w:val="4D4D4F"/>
                <w:w w:val="99"/>
              </w:rPr>
              <w:t>Fixed cash payment</w:t>
            </w:r>
          </w:p>
        </w:tc>
        <w:tc>
          <w:tcPr>
            <w:tcW w:w="0" w:type="dxa"/>
            <w:vAlign w:val="bottom"/>
          </w:tcPr>
          <w:p>
            <w:pPr>
              <w:spacing w:after="0"/>
              <w:rPr>
                <w:sz w:val="1"/>
                <w:szCs w:val="1"/>
                <w:color w:val="auto"/>
              </w:rPr>
            </w:pPr>
          </w:p>
        </w:tc>
      </w:tr>
      <w:tr>
        <w:trPr>
          <w:trHeight w:val="608"/>
        </w:trPr>
        <w:tc>
          <w:tcPr>
            <w:tcW w:w="1420" w:type="dxa"/>
            <w:vAlign w:val="bottom"/>
          </w:tcPr>
          <w:p>
            <w:pPr>
              <w:spacing w:after="0"/>
              <w:rPr>
                <w:sz w:val="20"/>
                <w:szCs w:val="20"/>
                <w:color w:val="auto"/>
              </w:rPr>
            </w:pPr>
            <w:r>
              <w:rPr>
                <w:rFonts w:ascii="Arial" w:cs="Arial" w:eastAsia="Arial" w:hAnsi="Arial"/>
                <w:sz w:val="18"/>
                <w:szCs w:val="18"/>
                <w:color w:val="4D4D4F"/>
              </w:rPr>
              <w:t>Bonus</w:t>
            </w:r>
          </w:p>
        </w:tc>
        <w:tc>
          <w:tcPr>
            <w:tcW w:w="1900" w:type="dxa"/>
            <w:vAlign w:val="bottom"/>
          </w:tcPr>
          <w:p>
            <w:pPr>
              <w:ind w:left="280"/>
              <w:spacing w:after="0"/>
              <w:rPr>
                <w:sz w:val="20"/>
                <w:szCs w:val="20"/>
                <w:color w:val="auto"/>
              </w:rPr>
            </w:pPr>
            <w:r>
              <w:rPr>
                <w:rFonts w:ascii="Arial" w:cs="Arial" w:eastAsia="Arial" w:hAnsi="Arial"/>
                <w:sz w:val="18"/>
                <w:szCs w:val="18"/>
                <w:i w:val="1"/>
                <w:iCs w:val="1"/>
                <w:color w:val="4D4D4F"/>
                <w:w w:val="98"/>
              </w:rPr>
              <w:t>Variable cash bonus</w:t>
            </w:r>
          </w:p>
        </w:tc>
        <w:tc>
          <w:tcPr>
            <w:tcW w:w="0" w:type="dxa"/>
            <w:vAlign w:val="bottom"/>
          </w:tcPr>
          <w:p>
            <w:pPr>
              <w:spacing w:after="0"/>
              <w:rPr>
                <w:sz w:val="1"/>
                <w:szCs w:val="1"/>
                <w:color w:val="auto"/>
              </w:rPr>
            </w:pPr>
          </w:p>
        </w:tc>
      </w:tr>
      <w:tr>
        <w:trPr>
          <w:trHeight w:val="593"/>
        </w:trPr>
        <w:tc>
          <w:tcPr>
            <w:tcW w:w="1420" w:type="dxa"/>
            <w:vAlign w:val="bottom"/>
          </w:tcPr>
          <w:p>
            <w:pPr>
              <w:spacing w:after="0"/>
              <w:rPr>
                <w:sz w:val="20"/>
                <w:szCs w:val="20"/>
                <w:color w:val="auto"/>
              </w:rPr>
            </w:pPr>
            <w:r>
              <w:rPr>
                <w:rFonts w:ascii="Arial" w:cs="Arial" w:eastAsia="Arial" w:hAnsi="Arial"/>
                <w:sz w:val="18"/>
                <w:szCs w:val="18"/>
                <w:color w:val="4D4D4F"/>
              </w:rPr>
              <w:t>Long-Term</w:t>
            </w:r>
          </w:p>
        </w:tc>
        <w:tc>
          <w:tcPr>
            <w:tcW w:w="1900" w:type="dxa"/>
            <w:vAlign w:val="bottom"/>
            <w:vMerge w:val="restart"/>
          </w:tcPr>
          <w:p>
            <w:pPr>
              <w:ind w:left="280"/>
              <w:spacing w:after="0"/>
              <w:rPr>
                <w:sz w:val="20"/>
                <w:szCs w:val="20"/>
                <w:color w:val="auto"/>
              </w:rPr>
            </w:pPr>
            <w:r>
              <w:rPr>
                <w:rFonts w:ascii="Arial" w:cs="Arial" w:eastAsia="Arial" w:hAnsi="Arial"/>
                <w:sz w:val="18"/>
                <w:szCs w:val="18"/>
                <w:i w:val="1"/>
                <w:iCs w:val="1"/>
                <w:color w:val="4D4D4F"/>
              </w:rPr>
              <w:t>Stock options</w:t>
            </w: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Arial" w:cs="Arial" w:eastAsia="Arial" w:hAnsi="Arial"/>
                <w:sz w:val="18"/>
                <w:szCs w:val="18"/>
                <w:color w:val="4D4D4F"/>
              </w:rPr>
              <w:t>Equity Awards</w:t>
            </w: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9"/>
        </w:trPr>
        <w:tc>
          <w:tcPr>
            <w:tcW w:w="1420" w:type="dxa"/>
            <w:vAlign w:val="bottom"/>
          </w:tcPr>
          <w:p>
            <w:pPr>
              <w:spacing w:after="0"/>
              <w:rPr>
                <w:sz w:val="20"/>
                <w:szCs w:val="20"/>
                <w:color w:val="auto"/>
              </w:rPr>
            </w:pPr>
            <w:r>
              <w:rPr>
                <w:rFonts w:ascii="Arial" w:cs="Arial" w:eastAsia="Arial" w:hAnsi="Arial"/>
                <w:sz w:val="18"/>
                <w:szCs w:val="18"/>
                <w:b w:val="1"/>
                <w:bCs w:val="1"/>
                <w:i w:val="1"/>
                <w:iCs w:val="1"/>
                <w:color w:val="0079C0"/>
              </w:rPr>
              <w:t>Base Salary</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FFFFFF"/>
        </w:rPr>
        <w:t>Purpose/Design</w:t>
      </w:r>
    </w:p>
    <w:p>
      <w:pPr>
        <w:jc w:val="both"/>
        <w:spacing w:after="0" w:line="234" w:lineRule="auto"/>
        <w:rPr>
          <w:sz w:val="20"/>
          <w:szCs w:val="20"/>
          <w:color w:val="auto"/>
        </w:rPr>
      </w:pPr>
      <w:r>
        <w:rPr>
          <w:rFonts w:ascii="Arial" w:cs="Arial" w:eastAsia="Arial" w:hAnsi="Arial"/>
          <w:sz w:val="18"/>
          <w:szCs w:val="18"/>
          <w:color w:val="4D4D4F"/>
        </w:rPr>
        <w:t>Attracts, retains and rewards NEOs, and provides NEOs with fixed compensation based on their performance and contributions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4D4D4F"/>
        </w:rPr>
        <w:t>We do not have an established bonus policy for our NEOs; the compensation committee may decide, in its sole discretion, to reward NEOs with annual cash bonuses based on individual NEO performance, our business performance generally and, in certain circumstances, achievement of specific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-511175</wp:posOffset>
            </wp:positionV>
            <wp:extent cx="7132320" cy="514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jc w:val="both"/>
        <w:spacing w:after="0"/>
        <w:rPr>
          <w:sz w:val="20"/>
          <w:szCs w:val="20"/>
          <w:color w:val="auto"/>
        </w:rPr>
      </w:pPr>
      <w:r>
        <w:rPr>
          <w:rFonts w:ascii="Arial" w:cs="Arial" w:eastAsia="Arial" w:hAnsi="Arial"/>
          <w:sz w:val="18"/>
          <w:szCs w:val="18"/>
          <w:color w:val="4D4D4F"/>
        </w:rPr>
        <w:t>Directly ties individual performance to long-term appreciation of our common stock price, rewards NEOs for strong company performance, and aligns the interests of NEOs with those of our stockholders</w:t>
      </w:r>
    </w:p>
    <w:p>
      <w:pPr>
        <w:spacing w:after="0" w:line="553" w:lineRule="exact"/>
        <w:rPr>
          <w:sz w:val="20"/>
          <w:szCs w:val="20"/>
          <w:color w:val="auto"/>
        </w:rPr>
      </w:pPr>
    </w:p>
    <w:p>
      <w:pPr>
        <w:sectPr>
          <w:pgSz w:w="11900" w:h="16838" w:orient="portrait"/>
          <w:cols w:equalWidth="0" w:num="2">
            <w:col w:w="3320" w:space="640"/>
            <w:col w:w="7280"/>
          </w:cols>
          <w:pgMar w:left="320" w:top="130" w:right="339" w:bottom="1440" w:gutter="0" w:footer="0" w:header="0"/>
          <w:type w:val="continuous"/>
        </w:sectPr>
      </w:pPr>
    </w:p>
    <w:p>
      <w:pPr>
        <w:jc w:val="both"/>
        <w:spacing w:after="0"/>
        <w:rPr>
          <w:sz w:val="20"/>
          <w:szCs w:val="20"/>
          <w:color w:val="auto"/>
        </w:rPr>
      </w:pPr>
      <w:r>
        <w:rPr>
          <w:rFonts w:ascii="Arial" w:cs="Arial" w:eastAsia="Arial" w:hAnsi="Arial"/>
          <w:sz w:val="18"/>
          <w:szCs w:val="18"/>
          <w:color w:val="4D4D4F"/>
        </w:rPr>
        <w:t>The compensation committee regularly considers the base salaries of the NEOs as part of its overall compensation review process and may make changes to such base salaries to reflect competitive market practices in the jurisdictions in which we operate and to adjust for individual NEO performance. Based on the foregoing, for 2020 the compensation committee approved base salaries as set forth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Borders>
              <w:top w:val="single" w:sz="8" w:color="95B3D7"/>
              <w:right w:val="single" w:sz="8" w:color="95B3D7"/>
            </w:tcBorders>
            <w:shd w:val="clear" w:color="auto" w:fill="95B3D7"/>
          </w:tcPr>
          <w:p>
            <w:pPr>
              <w:spacing w:after="0"/>
              <w:rPr>
                <w:sz w:val="16"/>
                <w:szCs w:val="16"/>
                <w:color w:val="auto"/>
              </w:rPr>
            </w:pPr>
          </w:p>
        </w:tc>
        <w:tc>
          <w:tcPr>
            <w:tcW w:w="2800" w:type="dxa"/>
            <w:vAlign w:val="bottom"/>
            <w:tcBorders>
              <w:top w:val="single" w:sz="8" w:color="95B3D7"/>
            </w:tcBorders>
            <w:shd w:val="clear" w:color="auto" w:fill="003E64"/>
          </w:tcPr>
          <w:p>
            <w:pPr>
              <w:spacing w:after="0"/>
              <w:rPr>
                <w:sz w:val="20"/>
                <w:szCs w:val="20"/>
                <w:color w:val="auto"/>
              </w:rPr>
            </w:pPr>
            <w:r>
              <w:rPr>
                <w:rFonts w:ascii="Arial" w:cs="Arial" w:eastAsia="Arial" w:hAnsi="Arial"/>
                <w:sz w:val="14"/>
                <w:szCs w:val="14"/>
                <w:b w:val="1"/>
                <w:bCs w:val="1"/>
                <w:color w:val="FFFFFF"/>
              </w:rPr>
              <w:t>Named Executive Officer</w:t>
            </w:r>
          </w:p>
        </w:tc>
        <w:tc>
          <w:tcPr>
            <w:tcW w:w="3560" w:type="dxa"/>
            <w:vAlign w:val="bottom"/>
            <w:tcBorders>
              <w:top w:val="single" w:sz="8" w:color="95B3D7"/>
            </w:tcBorders>
            <w:shd w:val="clear" w:color="auto" w:fill="003E64"/>
          </w:tcPr>
          <w:p>
            <w:pPr>
              <w:jc w:val="right"/>
              <w:ind w:right="653"/>
              <w:spacing w:after="0"/>
              <w:rPr>
                <w:sz w:val="20"/>
                <w:szCs w:val="20"/>
                <w:color w:val="auto"/>
              </w:rPr>
            </w:pPr>
            <w:r>
              <w:rPr>
                <w:rFonts w:ascii="Arial" w:cs="Arial" w:eastAsia="Arial" w:hAnsi="Arial"/>
                <w:sz w:val="14"/>
                <w:szCs w:val="14"/>
                <w:b w:val="1"/>
                <w:bCs w:val="1"/>
                <w:color w:val="FFFFFF"/>
              </w:rPr>
              <w:t>Annual Base Salary 2019</w:t>
            </w:r>
          </w:p>
        </w:tc>
        <w:tc>
          <w:tcPr>
            <w:tcW w:w="2800" w:type="dxa"/>
            <w:vAlign w:val="bottom"/>
            <w:tcBorders>
              <w:top w:val="single" w:sz="8" w:color="95B3D7"/>
            </w:tcBorders>
            <w:shd w:val="clear" w:color="auto" w:fill="003E64"/>
          </w:tcPr>
          <w:p>
            <w:pPr>
              <w:jc w:val="right"/>
              <w:ind w:right="653"/>
              <w:spacing w:after="0"/>
              <w:rPr>
                <w:sz w:val="20"/>
                <w:szCs w:val="20"/>
                <w:color w:val="auto"/>
              </w:rPr>
            </w:pPr>
            <w:r>
              <w:rPr>
                <w:rFonts w:ascii="Arial" w:cs="Arial" w:eastAsia="Arial" w:hAnsi="Arial"/>
                <w:sz w:val="14"/>
                <w:szCs w:val="14"/>
                <w:b w:val="1"/>
                <w:bCs w:val="1"/>
                <w:color w:val="FFFFFF"/>
              </w:rPr>
              <w:t>Annual Base Salary 2020</w:t>
            </w:r>
          </w:p>
        </w:tc>
        <w:tc>
          <w:tcPr>
            <w:tcW w:w="2020" w:type="dxa"/>
            <w:vAlign w:val="bottom"/>
            <w:tcBorders>
              <w:top w:val="single" w:sz="8" w:color="95B3D7"/>
            </w:tcBorders>
            <w:shd w:val="clear" w:color="auto" w:fill="003E64"/>
          </w:tcPr>
          <w:p>
            <w:pPr>
              <w:jc w:val="right"/>
              <w:ind w:right="453"/>
              <w:spacing w:after="0"/>
              <w:rPr>
                <w:sz w:val="20"/>
                <w:szCs w:val="20"/>
                <w:color w:val="auto"/>
              </w:rPr>
            </w:pPr>
            <w:r>
              <w:rPr>
                <w:rFonts w:ascii="Arial" w:cs="Arial" w:eastAsia="Arial" w:hAnsi="Arial"/>
                <w:sz w:val="14"/>
                <w:szCs w:val="14"/>
                <w:b w:val="1"/>
                <w:bCs w:val="1"/>
                <w:color w:val="FFFFFF"/>
              </w:rPr>
              <w:t>Percent Increase</w:t>
            </w:r>
          </w:p>
        </w:tc>
        <w:tc>
          <w:tcPr>
            <w:tcW w:w="20" w:type="dxa"/>
            <w:vAlign w:val="bottom"/>
            <w:tcBorders>
              <w:top w:val="single" w:sz="8" w:color="95B3D7"/>
            </w:tcBorders>
            <w:shd w:val="clear" w:color="auto" w:fill="95B3D7"/>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4D4D4F"/>
              </w:rPr>
              <w:t>David H. Wang</w:t>
            </w:r>
          </w:p>
        </w:tc>
        <w:tc>
          <w:tcPr>
            <w:tcW w:w="3560" w:type="dxa"/>
            <w:vAlign w:val="bottom"/>
          </w:tcPr>
          <w:p>
            <w:pPr>
              <w:jc w:val="right"/>
              <w:ind w:right="253"/>
              <w:spacing w:after="0" w:line="202" w:lineRule="exact"/>
              <w:rPr>
                <w:sz w:val="20"/>
                <w:szCs w:val="20"/>
                <w:color w:val="auto"/>
              </w:rPr>
            </w:pPr>
            <w:r>
              <w:rPr>
                <w:rFonts w:ascii="Arial" w:cs="Arial" w:eastAsia="Arial" w:hAnsi="Arial"/>
                <w:sz w:val="18"/>
                <w:szCs w:val="18"/>
                <w:color w:val="4D4D4F"/>
              </w:rPr>
              <w:t>$229,742</w:t>
            </w:r>
          </w:p>
        </w:tc>
        <w:tc>
          <w:tcPr>
            <w:tcW w:w="2800" w:type="dxa"/>
            <w:vAlign w:val="bottom"/>
          </w:tcPr>
          <w:p>
            <w:pPr>
              <w:jc w:val="right"/>
              <w:ind w:right="253"/>
              <w:spacing w:after="0" w:line="202" w:lineRule="exact"/>
              <w:rPr>
                <w:sz w:val="20"/>
                <w:szCs w:val="20"/>
                <w:color w:val="auto"/>
              </w:rPr>
            </w:pPr>
            <w:r>
              <w:rPr>
                <w:rFonts w:ascii="Arial" w:cs="Arial" w:eastAsia="Arial" w:hAnsi="Arial"/>
                <w:sz w:val="18"/>
                <w:szCs w:val="18"/>
                <w:color w:val="4D4D4F"/>
              </w:rPr>
              <w:t>$294,054</w:t>
            </w:r>
          </w:p>
        </w:tc>
        <w:tc>
          <w:tcPr>
            <w:tcW w:w="2020" w:type="dxa"/>
            <w:vAlign w:val="bottom"/>
          </w:tcPr>
          <w:p>
            <w:pPr>
              <w:jc w:val="right"/>
              <w:ind w:right="33"/>
              <w:spacing w:after="0" w:line="202" w:lineRule="exact"/>
              <w:rPr>
                <w:sz w:val="20"/>
                <w:szCs w:val="20"/>
                <w:color w:val="auto"/>
              </w:rPr>
            </w:pPr>
            <w:r>
              <w:rPr>
                <w:rFonts w:ascii="Arial" w:cs="Arial" w:eastAsia="Arial" w:hAnsi="Arial"/>
                <w:sz w:val="18"/>
                <w:szCs w:val="18"/>
                <w:color w:val="4D4D4F"/>
              </w:rPr>
              <w:t>28.0%</w:t>
            </w:r>
          </w:p>
        </w:tc>
        <w:tc>
          <w:tcPr>
            <w:tcW w:w="20" w:type="dxa"/>
            <w:vAlign w:val="bottom"/>
          </w:tcPr>
          <w:p>
            <w:pPr>
              <w:spacing w:after="0"/>
              <w:rPr>
                <w:sz w:val="17"/>
                <w:szCs w:val="17"/>
                <w:color w:val="auto"/>
              </w:rPr>
            </w:pPr>
          </w:p>
        </w:tc>
      </w:tr>
      <w:tr>
        <w:trPr>
          <w:trHeight w:val="203"/>
        </w:trPr>
        <w:tc>
          <w:tcPr>
            <w:tcW w:w="40" w:type="dxa"/>
            <w:vAlign w:val="bottom"/>
            <w:tcBorders>
              <w:right w:val="single" w:sz="8" w:color="B7E4FF"/>
            </w:tcBorders>
          </w:tcPr>
          <w:p>
            <w:pPr>
              <w:spacing w:after="0"/>
              <w:rPr>
                <w:sz w:val="17"/>
                <w:szCs w:val="17"/>
                <w:color w:val="auto"/>
              </w:rPr>
            </w:pPr>
          </w:p>
        </w:tc>
        <w:tc>
          <w:tcPr>
            <w:tcW w:w="280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Mark McKechnie</w:t>
            </w:r>
          </w:p>
        </w:tc>
        <w:tc>
          <w:tcPr>
            <w:tcW w:w="3560" w:type="dxa"/>
            <w:vAlign w:val="bottom"/>
            <w:shd w:val="clear" w:color="auto" w:fill="B7E4FF"/>
          </w:tcPr>
          <w:p>
            <w:pPr>
              <w:jc w:val="right"/>
              <w:ind w:right="253"/>
              <w:spacing w:after="0" w:line="202" w:lineRule="exact"/>
              <w:rPr>
                <w:sz w:val="20"/>
                <w:szCs w:val="20"/>
                <w:color w:val="auto"/>
              </w:rPr>
            </w:pPr>
            <w:r>
              <w:rPr>
                <w:rFonts w:ascii="Arial" w:cs="Arial" w:eastAsia="Arial" w:hAnsi="Arial"/>
                <w:sz w:val="18"/>
                <w:szCs w:val="18"/>
                <w:color w:val="4D4D4F"/>
              </w:rPr>
              <w:t>232,424</w:t>
            </w:r>
          </w:p>
        </w:tc>
        <w:tc>
          <w:tcPr>
            <w:tcW w:w="2800" w:type="dxa"/>
            <w:vAlign w:val="bottom"/>
            <w:shd w:val="clear" w:color="auto" w:fill="B7E4FF"/>
          </w:tcPr>
          <w:p>
            <w:pPr>
              <w:jc w:val="right"/>
              <w:ind w:right="253"/>
              <w:spacing w:after="0" w:line="202" w:lineRule="exact"/>
              <w:rPr>
                <w:sz w:val="20"/>
                <w:szCs w:val="20"/>
                <w:color w:val="auto"/>
              </w:rPr>
            </w:pPr>
            <w:r>
              <w:rPr>
                <w:rFonts w:ascii="Arial" w:cs="Arial" w:eastAsia="Arial" w:hAnsi="Arial"/>
                <w:sz w:val="18"/>
                <w:szCs w:val="18"/>
                <w:color w:val="4D4D4F"/>
              </w:rPr>
              <w:t>243,906</w:t>
            </w:r>
          </w:p>
        </w:tc>
        <w:tc>
          <w:tcPr>
            <w:tcW w:w="2020" w:type="dxa"/>
            <w:vAlign w:val="bottom"/>
            <w:shd w:val="clear" w:color="auto" w:fill="B7E4FF"/>
          </w:tcPr>
          <w:p>
            <w:pPr>
              <w:jc w:val="right"/>
              <w:ind w:right="33"/>
              <w:spacing w:after="0" w:line="202" w:lineRule="exact"/>
              <w:rPr>
                <w:sz w:val="20"/>
                <w:szCs w:val="20"/>
                <w:color w:val="auto"/>
              </w:rPr>
            </w:pPr>
            <w:r>
              <w:rPr>
                <w:rFonts w:ascii="Arial" w:cs="Arial" w:eastAsia="Arial" w:hAnsi="Arial"/>
                <w:sz w:val="18"/>
                <w:szCs w:val="18"/>
                <w:color w:val="4D4D4F"/>
              </w:rPr>
              <w:t>4.9</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4D4D4F"/>
              </w:rPr>
              <w:t>Jian Wang</w:t>
            </w:r>
          </w:p>
        </w:tc>
        <w:tc>
          <w:tcPr>
            <w:tcW w:w="3560" w:type="dxa"/>
            <w:vAlign w:val="bottom"/>
          </w:tcPr>
          <w:p>
            <w:pPr>
              <w:jc w:val="right"/>
              <w:ind w:right="253"/>
              <w:spacing w:after="0" w:line="202" w:lineRule="exact"/>
              <w:rPr>
                <w:sz w:val="20"/>
                <w:szCs w:val="20"/>
                <w:color w:val="auto"/>
              </w:rPr>
            </w:pPr>
            <w:r>
              <w:rPr>
                <w:rFonts w:ascii="Arial" w:cs="Arial" w:eastAsia="Arial" w:hAnsi="Arial"/>
                <w:sz w:val="18"/>
                <w:szCs w:val="18"/>
                <w:color w:val="4D4D4F"/>
              </w:rPr>
              <w:t>139,241</w:t>
            </w:r>
          </w:p>
        </w:tc>
        <w:tc>
          <w:tcPr>
            <w:tcW w:w="2800" w:type="dxa"/>
            <w:vAlign w:val="bottom"/>
          </w:tcPr>
          <w:p>
            <w:pPr>
              <w:jc w:val="right"/>
              <w:ind w:right="253"/>
              <w:spacing w:after="0" w:line="202" w:lineRule="exact"/>
              <w:rPr>
                <w:sz w:val="20"/>
                <w:szCs w:val="20"/>
                <w:color w:val="auto"/>
              </w:rPr>
            </w:pPr>
            <w:r>
              <w:rPr>
                <w:rFonts w:ascii="Arial" w:cs="Arial" w:eastAsia="Arial" w:hAnsi="Arial"/>
                <w:sz w:val="18"/>
                <w:szCs w:val="18"/>
                <w:color w:val="4D4D4F"/>
              </w:rPr>
              <w:t>162,492</w:t>
            </w:r>
          </w:p>
        </w:tc>
        <w:tc>
          <w:tcPr>
            <w:tcW w:w="2020" w:type="dxa"/>
            <w:vAlign w:val="bottom"/>
          </w:tcPr>
          <w:p>
            <w:pPr>
              <w:jc w:val="right"/>
              <w:ind w:right="33"/>
              <w:spacing w:after="0" w:line="202" w:lineRule="exact"/>
              <w:rPr>
                <w:sz w:val="20"/>
                <w:szCs w:val="20"/>
                <w:color w:val="auto"/>
              </w:rPr>
            </w:pPr>
            <w:r>
              <w:rPr>
                <w:rFonts w:ascii="Arial" w:cs="Arial" w:eastAsia="Arial" w:hAnsi="Arial"/>
                <w:sz w:val="18"/>
                <w:szCs w:val="18"/>
                <w:color w:val="4D4D4F"/>
              </w:rPr>
              <w:t>16.7</w:t>
            </w:r>
          </w:p>
        </w:tc>
        <w:tc>
          <w:tcPr>
            <w:tcW w:w="20" w:type="dxa"/>
            <w:vAlign w:val="bottom"/>
          </w:tcPr>
          <w:p>
            <w:pPr>
              <w:spacing w:after="0"/>
              <w:rPr>
                <w:sz w:val="17"/>
                <w:szCs w:val="17"/>
                <w:color w:val="auto"/>
              </w:rPr>
            </w:pPr>
          </w:p>
        </w:tc>
      </w:tr>
      <w:tr>
        <w:trPr>
          <w:trHeight w:val="203"/>
        </w:trPr>
        <w:tc>
          <w:tcPr>
            <w:tcW w:w="40" w:type="dxa"/>
            <w:vAlign w:val="bottom"/>
            <w:tcBorders>
              <w:right w:val="single" w:sz="8" w:color="B7E4FF"/>
            </w:tcBorders>
          </w:tcPr>
          <w:p>
            <w:pPr>
              <w:spacing w:after="0"/>
              <w:rPr>
                <w:sz w:val="17"/>
                <w:szCs w:val="17"/>
                <w:color w:val="auto"/>
              </w:rPr>
            </w:pPr>
          </w:p>
        </w:tc>
        <w:tc>
          <w:tcPr>
            <w:tcW w:w="280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Lisa Feng</w:t>
            </w:r>
          </w:p>
        </w:tc>
        <w:tc>
          <w:tcPr>
            <w:tcW w:w="3560" w:type="dxa"/>
            <w:vAlign w:val="bottom"/>
            <w:shd w:val="clear" w:color="auto" w:fill="B7E4FF"/>
          </w:tcPr>
          <w:p>
            <w:pPr>
              <w:jc w:val="right"/>
              <w:ind w:right="253"/>
              <w:spacing w:after="0" w:line="202" w:lineRule="exact"/>
              <w:rPr>
                <w:sz w:val="20"/>
                <w:szCs w:val="20"/>
                <w:color w:val="auto"/>
              </w:rPr>
            </w:pPr>
            <w:r>
              <w:rPr>
                <w:rFonts w:ascii="Arial" w:cs="Arial" w:eastAsia="Arial" w:hAnsi="Arial"/>
                <w:sz w:val="18"/>
                <w:szCs w:val="18"/>
                <w:color w:val="4D4D4F"/>
              </w:rPr>
              <w:t>159,673</w:t>
            </w:r>
          </w:p>
        </w:tc>
        <w:tc>
          <w:tcPr>
            <w:tcW w:w="2800" w:type="dxa"/>
            <w:vAlign w:val="bottom"/>
            <w:shd w:val="clear" w:color="auto" w:fill="B7E4FF"/>
          </w:tcPr>
          <w:p>
            <w:pPr>
              <w:jc w:val="right"/>
              <w:ind w:right="253"/>
              <w:spacing w:after="0" w:line="202" w:lineRule="exact"/>
              <w:rPr>
                <w:sz w:val="20"/>
                <w:szCs w:val="20"/>
                <w:color w:val="auto"/>
              </w:rPr>
            </w:pPr>
            <w:r>
              <w:rPr>
                <w:rFonts w:ascii="Arial" w:cs="Arial" w:eastAsia="Arial" w:hAnsi="Arial"/>
                <w:sz w:val="18"/>
                <w:szCs w:val="18"/>
                <w:color w:val="4D4D4F"/>
              </w:rPr>
              <w:t>169,172</w:t>
            </w:r>
          </w:p>
        </w:tc>
        <w:tc>
          <w:tcPr>
            <w:tcW w:w="2020" w:type="dxa"/>
            <w:vAlign w:val="bottom"/>
            <w:shd w:val="clear" w:color="auto" w:fill="B7E4FF"/>
          </w:tcPr>
          <w:p>
            <w:pPr>
              <w:jc w:val="right"/>
              <w:ind w:right="33"/>
              <w:spacing w:after="0" w:line="202" w:lineRule="exact"/>
              <w:rPr>
                <w:sz w:val="20"/>
                <w:szCs w:val="20"/>
                <w:color w:val="auto"/>
              </w:rPr>
            </w:pPr>
            <w:r>
              <w:rPr>
                <w:rFonts w:ascii="Arial" w:cs="Arial" w:eastAsia="Arial" w:hAnsi="Arial"/>
                <w:sz w:val="18"/>
                <w:szCs w:val="18"/>
                <w:color w:val="4D4D4F"/>
              </w:rPr>
              <w:t>5.9</w:t>
            </w:r>
          </w:p>
        </w:tc>
        <w:tc>
          <w:tcPr>
            <w:tcW w:w="20" w:type="dxa"/>
            <w:vAlign w:val="bottom"/>
          </w:tcPr>
          <w:p>
            <w:pPr>
              <w:spacing w:after="0"/>
              <w:rPr>
                <w:sz w:val="17"/>
                <w:szCs w:val="17"/>
                <w:color w:val="auto"/>
              </w:rPr>
            </w:pPr>
          </w:p>
        </w:tc>
      </w:tr>
      <w:tr>
        <w:trPr>
          <w:trHeight w:val="283"/>
        </w:trPr>
        <w:tc>
          <w:tcPr>
            <w:tcW w:w="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4D4D4F"/>
              </w:rPr>
              <w:t>Fuping Chen</w:t>
            </w:r>
          </w:p>
        </w:tc>
        <w:tc>
          <w:tcPr>
            <w:tcW w:w="3560" w:type="dxa"/>
            <w:vAlign w:val="bottom"/>
          </w:tcPr>
          <w:p>
            <w:pPr>
              <w:jc w:val="right"/>
              <w:ind w:right="253"/>
              <w:spacing w:after="0"/>
              <w:rPr>
                <w:sz w:val="20"/>
                <w:szCs w:val="20"/>
                <w:color w:val="auto"/>
              </w:rPr>
            </w:pPr>
            <w:r>
              <w:rPr>
                <w:rFonts w:ascii="Arial" w:cs="Arial" w:eastAsia="Arial" w:hAnsi="Arial"/>
                <w:sz w:val="18"/>
                <w:szCs w:val="18"/>
                <w:color w:val="4D4D4F"/>
              </w:rPr>
              <w:t>90,603</w:t>
            </w:r>
          </w:p>
        </w:tc>
        <w:tc>
          <w:tcPr>
            <w:tcW w:w="2800" w:type="dxa"/>
            <w:vAlign w:val="bottom"/>
          </w:tcPr>
          <w:p>
            <w:pPr>
              <w:jc w:val="right"/>
              <w:ind w:right="253"/>
              <w:spacing w:after="0"/>
              <w:rPr>
                <w:sz w:val="20"/>
                <w:szCs w:val="20"/>
                <w:color w:val="auto"/>
              </w:rPr>
            </w:pPr>
            <w:r>
              <w:rPr>
                <w:rFonts w:ascii="Arial" w:cs="Arial" w:eastAsia="Arial" w:hAnsi="Arial"/>
                <w:sz w:val="18"/>
                <w:szCs w:val="18"/>
                <w:color w:val="4D4D4F"/>
              </w:rPr>
              <w:t>103,871</w:t>
            </w:r>
          </w:p>
        </w:tc>
        <w:tc>
          <w:tcPr>
            <w:tcW w:w="2020" w:type="dxa"/>
            <w:vAlign w:val="bottom"/>
          </w:tcPr>
          <w:p>
            <w:pPr>
              <w:jc w:val="right"/>
              <w:ind w:right="33"/>
              <w:spacing w:after="0"/>
              <w:rPr>
                <w:sz w:val="20"/>
                <w:szCs w:val="20"/>
                <w:color w:val="auto"/>
              </w:rPr>
            </w:pPr>
            <w:r>
              <w:rPr>
                <w:rFonts w:ascii="Arial" w:cs="Arial" w:eastAsia="Arial" w:hAnsi="Arial"/>
                <w:sz w:val="18"/>
                <w:szCs w:val="18"/>
                <w:color w:val="4D4D4F"/>
              </w:rPr>
              <w:t>14.6</w:t>
            </w:r>
          </w:p>
        </w:tc>
        <w:tc>
          <w:tcPr>
            <w:tcW w:w="20" w:type="dxa"/>
            <w:vAlign w:val="bottom"/>
          </w:tcPr>
          <w:p>
            <w:pPr>
              <w:spacing w:after="0"/>
              <w:rPr>
                <w:sz w:val="24"/>
                <w:szCs w:val="24"/>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Annual Cash Bonus Program</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do not have an established bonus policy for our NEOs. The compensation committee may decide, in its sole discretion, to reward NEOs with annual cash bonuses based on the achievement of individual NEO performance, our business performance (including revenues and profits, without specified targets), and development generally. Based on the foregoing considerations, for 2020 the compensation committee approved the following bonuses:</w:t>
      </w:r>
    </w:p>
    <w:p>
      <w:pPr>
        <w:spacing w:after="0" w:line="84" w:lineRule="exact"/>
        <w:rPr>
          <w:sz w:val="20"/>
          <w:szCs w:val="20"/>
          <w:color w:val="auto"/>
        </w:rPr>
      </w:pPr>
    </w:p>
    <w:tbl>
      <w:tblPr>
        <w:tblLayout w:type="fixed"/>
        <w:tblInd w:w="3380" w:type="dxa"/>
        <w:tblCellMar>
          <w:top w:w="0" w:type="dxa"/>
          <w:left w:w="0" w:type="dxa"/>
          <w:bottom w:w="0" w:type="dxa"/>
          <w:right w:w="0" w:type="dxa"/>
        </w:tblCellMar>
      </w:tblPr>
      <w:tr>
        <w:trPr>
          <w:trHeight w:val="162"/>
        </w:trPr>
        <w:tc>
          <w:tcPr>
            <w:tcW w:w="2620" w:type="dxa"/>
            <w:vAlign w:val="bottom"/>
            <w:shd w:val="clear" w:color="auto" w:fill="003E64"/>
          </w:tcPr>
          <w:p>
            <w:pPr>
              <w:spacing w:after="0"/>
              <w:rPr>
                <w:sz w:val="20"/>
                <w:szCs w:val="20"/>
                <w:color w:val="auto"/>
              </w:rPr>
            </w:pPr>
            <w:r>
              <w:rPr>
                <w:rFonts w:ascii="Arial" w:cs="Arial" w:eastAsia="Arial" w:hAnsi="Arial"/>
                <w:sz w:val="14"/>
                <w:szCs w:val="14"/>
                <w:b w:val="1"/>
                <w:bCs w:val="1"/>
                <w:color w:val="FFFFFF"/>
              </w:rPr>
              <w:t>Named Executive Officer</w:t>
            </w:r>
          </w:p>
        </w:tc>
        <w:tc>
          <w:tcPr>
            <w:tcW w:w="1860" w:type="dxa"/>
            <w:vAlign w:val="bottom"/>
            <w:shd w:val="clear" w:color="auto" w:fill="003E64"/>
          </w:tcPr>
          <w:p>
            <w:pPr>
              <w:jc w:val="right"/>
              <w:ind w:right="413"/>
              <w:spacing w:after="0"/>
              <w:rPr>
                <w:sz w:val="20"/>
                <w:szCs w:val="20"/>
                <w:color w:val="auto"/>
              </w:rPr>
            </w:pPr>
            <w:r>
              <w:rPr>
                <w:rFonts w:ascii="Arial" w:cs="Arial" w:eastAsia="Arial" w:hAnsi="Arial"/>
                <w:sz w:val="14"/>
                <w:szCs w:val="14"/>
                <w:b w:val="1"/>
                <w:bCs w:val="1"/>
                <w:color w:val="FFFFFF"/>
              </w:rPr>
              <w:t>Bonus</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4D4D4F"/>
              </w:rPr>
              <w:t>David H. Wang</w:t>
            </w:r>
          </w:p>
        </w:tc>
        <w:tc>
          <w:tcPr>
            <w:tcW w:w="1860" w:type="dxa"/>
            <w:vAlign w:val="bottom"/>
          </w:tcPr>
          <w:p>
            <w:pPr>
              <w:jc w:val="right"/>
              <w:ind w:right="33"/>
              <w:spacing w:after="0" w:line="202" w:lineRule="exact"/>
              <w:rPr>
                <w:sz w:val="20"/>
                <w:szCs w:val="20"/>
                <w:color w:val="auto"/>
              </w:rPr>
            </w:pPr>
            <w:r>
              <w:rPr>
                <w:rFonts w:ascii="Arial" w:cs="Arial" w:eastAsia="Arial" w:hAnsi="Arial"/>
                <w:sz w:val="18"/>
                <w:szCs w:val="18"/>
                <w:color w:val="4D4D4F"/>
              </w:rPr>
              <w:t>$95,700</w:t>
            </w:r>
          </w:p>
        </w:tc>
      </w:tr>
      <w:tr>
        <w:trPr>
          <w:trHeight w:val="203"/>
        </w:trPr>
        <w:tc>
          <w:tcPr>
            <w:tcW w:w="262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Mark McKechnie</w:t>
            </w:r>
          </w:p>
        </w:tc>
        <w:tc>
          <w:tcPr>
            <w:tcW w:w="1860" w:type="dxa"/>
            <w:vAlign w:val="bottom"/>
            <w:shd w:val="clear" w:color="auto" w:fill="B7E4FF"/>
          </w:tcPr>
          <w:p>
            <w:pPr>
              <w:jc w:val="right"/>
              <w:ind w:right="33"/>
              <w:spacing w:after="0" w:line="202" w:lineRule="exact"/>
              <w:rPr>
                <w:sz w:val="20"/>
                <w:szCs w:val="20"/>
                <w:color w:val="auto"/>
              </w:rPr>
            </w:pPr>
            <w:r>
              <w:rPr>
                <w:rFonts w:ascii="Arial" w:cs="Arial" w:eastAsia="Arial" w:hAnsi="Arial"/>
                <w:sz w:val="18"/>
                <w:szCs w:val="18"/>
                <w:color w:val="4D4D4F"/>
              </w:rPr>
              <w:t>—</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4D4D4F"/>
              </w:rPr>
              <w:t>Jian Wang</w:t>
            </w:r>
          </w:p>
        </w:tc>
        <w:tc>
          <w:tcPr>
            <w:tcW w:w="1860" w:type="dxa"/>
            <w:vAlign w:val="bottom"/>
          </w:tcPr>
          <w:p>
            <w:pPr>
              <w:jc w:val="right"/>
              <w:ind w:right="33"/>
              <w:spacing w:after="0" w:line="202" w:lineRule="exact"/>
              <w:rPr>
                <w:sz w:val="20"/>
                <w:szCs w:val="20"/>
                <w:color w:val="auto"/>
              </w:rPr>
            </w:pPr>
            <w:r>
              <w:rPr>
                <w:rFonts w:ascii="Arial" w:cs="Arial" w:eastAsia="Arial" w:hAnsi="Arial"/>
                <w:sz w:val="18"/>
                <w:szCs w:val="18"/>
                <w:color w:val="4D4D4F"/>
              </w:rPr>
              <w:t>55,100</w:t>
            </w:r>
          </w:p>
        </w:tc>
      </w:tr>
      <w:tr>
        <w:trPr>
          <w:trHeight w:val="203"/>
        </w:trPr>
        <w:tc>
          <w:tcPr>
            <w:tcW w:w="2620" w:type="dxa"/>
            <w:vAlign w:val="bottom"/>
            <w:shd w:val="clear" w:color="auto" w:fill="B7E4FF"/>
          </w:tcPr>
          <w:p>
            <w:pPr>
              <w:spacing w:after="0" w:line="202" w:lineRule="exact"/>
              <w:rPr>
                <w:sz w:val="20"/>
                <w:szCs w:val="20"/>
                <w:color w:val="auto"/>
              </w:rPr>
            </w:pPr>
            <w:r>
              <w:rPr>
                <w:rFonts w:ascii="Arial" w:cs="Arial" w:eastAsia="Arial" w:hAnsi="Arial"/>
                <w:sz w:val="18"/>
                <w:szCs w:val="18"/>
                <w:color w:val="4D4D4F"/>
              </w:rPr>
              <w:t>Lisa Feng</w:t>
            </w:r>
          </w:p>
        </w:tc>
        <w:tc>
          <w:tcPr>
            <w:tcW w:w="1860" w:type="dxa"/>
            <w:vAlign w:val="bottom"/>
            <w:shd w:val="clear" w:color="auto" w:fill="B7E4FF"/>
          </w:tcPr>
          <w:p>
            <w:pPr>
              <w:jc w:val="right"/>
              <w:ind w:right="33"/>
              <w:spacing w:after="0" w:line="202" w:lineRule="exact"/>
              <w:rPr>
                <w:sz w:val="20"/>
                <w:szCs w:val="20"/>
                <w:color w:val="auto"/>
              </w:rPr>
            </w:pPr>
            <w:r>
              <w:rPr>
                <w:rFonts w:ascii="Arial" w:cs="Arial" w:eastAsia="Arial" w:hAnsi="Arial"/>
                <w:sz w:val="18"/>
                <w:szCs w:val="18"/>
                <w:color w:val="4D4D4F"/>
              </w:rPr>
              <w:t>43,500</w:t>
            </w:r>
          </w:p>
        </w:tc>
      </w:tr>
      <w:tr>
        <w:trPr>
          <w:trHeight w:val="283"/>
        </w:trPr>
        <w:tc>
          <w:tcPr>
            <w:tcW w:w="2620" w:type="dxa"/>
            <w:vAlign w:val="bottom"/>
          </w:tcPr>
          <w:p>
            <w:pPr>
              <w:spacing w:after="0"/>
              <w:rPr>
                <w:sz w:val="20"/>
                <w:szCs w:val="20"/>
                <w:color w:val="auto"/>
              </w:rPr>
            </w:pPr>
            <w:r>
              <w:rPr>
                <w:rFonts w:ascii="Arial" w:cs="Arial" w:eastAsia="Arial" w:hAnsi="Arial"/>
                <w:sz w:val="18"/>
                <w:szCs w:val="18"/>
                <w:color w:val="4D4D4F"/>
              </w:rPr>
              <w:t>Fuping Chen</w:t>
            </w:r>
          </w:p>
        </w:tc>
        <w:tc>
          <w:tcPr>
            <w:tcW w:w="1860" w:type="dxa"/>
            <w:vAlign w:val="bottom"/>
          </w:tcPr>
          <w:p>
            <w:pPr>
              <w:jc w:val="right"/>
              <w:ind w:right="33"/>
              <w:spacing w:after="0"/>
              <w:rPr>
                <w:sz w:val="20"/>
                <w:szCs w:val="20"/>
                <w:color w:val="auto"/>
              </w:rPr>
            </w:pPr>
            <w:r>
              <w:rPr>
                <w:rFonts w:ascii="Arial" w:cs="Arial" w:eastAsia="Arial" w:hAnsi="Arial"/>
                <w:sz w:val="18"/>
                <w:szCs w:val="18"/>
                <w:color w:val="4D4D4F"/>
              </w:rPr>
              <w:t>95,700</w:t>
            </w:r>
          </w:p>
        </w:tc>
      </w:tr>
    </w:tbl>
    <w:p>
      <w:pPr>
        <w:spacing w:after="0" w:line="9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Mr. McKechnie, because he received a stock option grant in 2019 and because the compensation committee intended but did not implement a bonus plan for him based on specific business objectives, he did not receive an annual cash bonus for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Long-Term Incentive Program</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Historically we have not typically granted stock options to NEOs on an annual basis. From time to time, however, we grant stock options, when appropriate, as the long-term incentive component of our compensation program. Our stock options allow our employees to purchase covered shares at a price equal to the fair market value on the date of grant. In some cases, we attach performance criterial to the vesting of the stock options. For 2020 the compensation committee approved option grants as set forth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Borders>
              <w:top w:val="single" w:sz="8" w:color="95B3D7"/>
              <w:bottom w:val="single" w:sz="8" w:color="95B3D7"/>
              <w:right w:val="single" w:sz="8" w:color="95B3D7"/>
            </w:tcBorders>
            <w:shd w:val="clear" w:color="auto" w:fill="95B3D7"/>
          </w:tcPr>
          <w:p>
            <w:pPr>
              <w:spacing w:after="0"/>
              <w:rPr>
                <w:sz w:val="19"/>
                <w:szCs w:val="19"/>
                <w:color w:val="auto"/>
              </w:rPr>
            </w:pPr>
          </w:p>
        </w:tc>
        <w:tc>
          <w:tcPr>
            <w:tcW w:w="2920" w:type="dxa"/>
            <w:vAlign w:val="bottom"/>
            <w:tcBorders>
              <w:top w:val="single" w:sz="8" w:color="95B3D7"/>
              <w:bottom w:val="single" w:sz="8" w:color="95B3D7"/>
              <w:right w:val="single" w:sz="8" w:color="95B3D7"/>
            </w:tcBorders>
            <w:shd w:val="clear" w:color="auto" w:fill="003E64"/>
          </w:tcPr>
          <w:p>
            <w:pPr>
              <w:spacing w:after="0"/>
              <w:rPr>
                <w:sz w:val="19"/>
                <w:szCs w:val="19"/>
                <w:color w:val="auto"/>
              </w:rPr>
            </w:pPr>
          </w:p>
        </w:tc>
        <w:tc>
          <w:tcPr>
            <w:tcW w:w="2060" w:type="dxa"/>
            <w:vAlign w:val="bottom"/>
            <w:tcBorders>
              <w:top w:val="single" w:sz="8" w:color="95B3D7"/>
              <w:bottom w:val="single" w:sz="8" w:color="95B3D7"/>
              <w:right w:val="single" w:sz="8" w:color="003E64"/>
            </w:tcBorders>
            <w:shd w:val="clear" w:color="auto" w:fill="003E64"/>
          </w:tcPr>
          <w:p>
            <w:pPr>
              <w:spacing w:after="0"/>
              <w:rPr>
                <w:sz w:val="19"/>
                <w:szCs w:val="19"/>
                <w:color w:val="auto"/>
              </w:rPr>
            </w:pPr>
          </w:p>
        </w:tc>
        <w:tc>
          <w:tcPr>
            <w:tcW w:w="4140" w:type="dxa"/>
            <w:vAlign w:val="bottom"/>
            <w:tcBorders>
              <w:top w:val="single" w:sz="8" w:color="95B3D7"/>
              <w:bottom w:val="single" w:sz="8" w:color="95B3D7"/>
              <w:right w:val="single" w:sz="8" w:color="003E64"/>
            </w:tcBorders>
            <w:gridSpan w:val="2"/>
            <w:shd w:val="clear" w:color="auto" w:fill="003E64"/>
          </w:tcPr>
          <w:p>
            <w:pPr>
              <w:ind w:left="1120"/>
              <w:spacing w:after="0"/>
              <w:rPr>
                <w:sz w:val="20"/>
                <w:szCs w:val="20"/>
                <w:color w:val="auto"/>
              </w:rPr>
            </w:pPr>
            <w:r>
              <w:rPr>
                <w:rFonts w:ascii="Arial" w:cs="Arial" w:eastAsia="Arial" w:hAnsi="Arial"/>
                <w:sz w:val="14"/>
                <w:szCs w:val="14"/>
                <w:color w:val="FFFFFF"/>
              </w:rPr>
              <w:t>Stock Options Exercisable for</w:t>
            </w:r>
          </w:p>
        </w:tc>
        <w:tc>
          <w:tcPr>
            <w:tcW w:w="2060" w:type="dxa"/>
            <w:vAlign w:val="bottom"/>
            <w:tcBorders>
              <w:top w:val="single" w:sz="8" w:color="95B3D7"/>
              <w:bottom w:val="single" w:sz="8" w:color="95B3D7"/>
            </w:tcBorders>
            <w:shd w:val="clear" w:color="auto" w:fill="003E64"/>
          </w:tcPr>
          <w:p>
            <w:pPr>
              <w:spacing w:after="0"/>
              <w:rPr>
                <w:sz w:val="19"/>
                <w:szCs w:val="19"/>
                <w:color w:val="auto"/>
              </w:rPr>
            </w:pPr>
          </w:p>
        </w:tc>
        <w:tc>
          <w:tcPr>
            <w:tcW w:w="20" w:type="dxa"/>
            <w:vAlign w:val="bottom"/>
            <w:tcBorders>
              <w:top w:val="single" w:sz="8" w:color="95B3D7"/>
              <w:bottom w:val="single" w:sz="8" w:color="95B3D7"/>
            </w:tcBorders>
            <w:shd w:val="clear" w:color="auto" w:fill="95B3D7"/>
          </w:tcPr>
          <w:p>
            <w:pPr>
              <w:spacing w:after="0"/>
              <w:rPr>
                <w:sz w:val="19"/>
                <w:szCs w:val="19"/>
                <w:color w:val="auto"/>
              </w:rPr>
            </w:pPr>
          </w:p>
        </w:tc>
      </w:tr>
      <w:tr>
        <w:trPr>
          <w:trHeight w:val="196"/>
        </w:trPr>
        <w:tc>
          <w:tcPr>
            <w:tcW w:w="40" w:type="dxa"/>
            <w:vAlign w:val="bottom"/>
            <w:tcBorders>
              <w:bottom w:val="single" w:sz="8" w:color="95B3D7"/>
              <w:right w:val="single" w:sz="8" w:color="95B3D7"/>
            </w:tcBorders>
            <w:shd w:val="clear" w:color="auto" w:fill="95B3D7"/>
          </w:tcPr>
          <w:p>
            <w:pPr>
              <w:spacing w:after="0"/>
              <w:rPr>
                <w:sz w:val="17"/>
                <w:szCs w:val="17"/>
                <w:color w:val="auto"/>
              </w:rPr>
            </w:pPr>
          </w:p>
        </w:tc>
        <w:tc>
          <w:tcPr>
            <w:tcW w:w="2920" w:type="dxa"/>
            <w:vAlign w:val="bottom"/>
            <w:tcBorders>
              <w:bottom w:val="single" w:sz="8" w:color="95B3D7"/>
              <w:right w:val="single" w:sz="8" w:color="95B3D7"/>
            </w:tcBorders>
            <w:shd w:val="clear" w:color="auto" w:fill="003E64"/>
          </w:tcPr>
          <w:p>
            <w:pPr>
              <w:spacing w:after="0"/>
              <w:rPr>
                <w:sz w:val="17"/>
                <w:szCs w:val="17"/>
                <w:color w:val="auto"/>
              </w:rPr>
            </w:pPr>
          </w:p>
        </w:tc>
        <w:tc>
          <w:tcPr>
            <w:tcW w:w="4140" w:type="dxa"/>
            <w:vAlign w:val="bottom"/>
            <w:tcBorders>
              <w:bottom w:val="single" w:sz="8" w:color="95B3D7"/>
              <w:right w:val="single" w:sz="8" w:color="95B3D7"/>
            </w:tcBorders>
            <w:gridSpan w:val="2"/>
            <w:shd w:val="clear" w:color="auto" w:fill="003E64"/>
          </w:tcPr>
          <w:p>
            <w:pPr>
              <w:jc w:val="right"/>
              <w:ind w:right="848"/>
              <w:spacing w:after="0"/>
              <w:rPr>
                <w:sz w:val="20"/>
                <w:szCs w:val="20"/>
                <w:color w:val="auto"/>
              </w:rPr>
            </w:pPr>
            <w:r>
              <w:rPr>
                <w:rFonts w:ascii="Arial" w:cs="Arial" w:eastAsia="Arial" w:hAnsi="Arial"/>
                <w:sz w:val="14"/>
                <w:szCs w:val="14"/>
                <w:b w:val="1"/>
                <w:bCs w:val="1"/>
                <w:color w:val="FFFFFF"/>
              </w:rPr>
              <w:t>Shares of Class A Common Stock</w:t>
            </w:r>
          </w:p>
        </w:tc>
        <w:tc>
          <w:tcPr>
            <w:tcW w:w="4120" w:type="dxa"/>
            <w:vAlign w:val="bottom"/>
            <w:tcBorders>
              <w:bottom w:val="single" w:sz="8" w:color="95B3D7"/>
            </w:tcBorders>
            <w:gridSpan w:val="2"/>
            <w:shd w:val="clear" w:color="auto" w:fill="003E64"/>
          </w:tcPr>
          <w:p>
            <w:pPr>
              <w:ind w:left="1280"/>
              <w:spacing w:after="0"/>
              <w:rPr>
                <w:sz w:val="20"/>
                <w:szCs w:val="20"/>
                <w:color w:val="auto"/>
              </w:rPr>
            </w:pPr>
            <w:r>
              <w:rPr>
                <w:rFonts w:ascii="Arial" w:cs="Arial" w:eastAsia="Arial" w:hAnsi="Arial"/>
                <w:sz w:val="14"/>
                <w:szCs w:val="14"/>
                <w:b w:val="1"/>
                <w:bCs w:val="1"/>
                <w:color w:val="FFFFFF"/>
              </w:rPr>
              <w:t>ACM Shanghai Shares</w:t>
            </w:r>
          </w:p>
        </w:tc>
        <w:tc>
          <w:tcPr>
            <w:tcW w:w="20" w:type="dxa"/>
            <w:vAlign w:val="bottom"/>
            <w:tcBorders>
              <w:bottom w:val="single" w:sz="8" w:color="95B3D7"/>
            </w:tcBorders>
            <w:shd w:val="clear" w:color="auto" w:fill="95B3D7"/>
          </w:tcPr>
          <w:p>
            <w:pPr>
              <w:spacing w:after="0"/>
              <w:rPr>
                <w:sz w:val="17"/>
                <w:szCs w:val="17"/>
                <w:color w:val="auto"/>
              </w:rPr>
            </w:pPr>
          </w:p>
        </w:tc>
      </w:tr>
      <w:tr>
        <w:trPr>
          <w:trHeight w:val="162"/>
        </w:trPr>
        <w:tc>
          <w:tcPr>
            <w:tcW w:w="40" w:type="dxa"/>
            <w:vAlign w:val="bottom"/>
            <w:tcBorders>
              <w:right w:val="single" w:sz="8" w:color="95B3D7"/>
            </w:tcBorders>
            <w:shd w:val="clear" w:color="auto" w:fill="95B3D7"/>
          </w:tcPr>
          <w:p>
            <w:pPr>
              <w:spacing w:after="0"/>
              <w:rPr>
                <w:sz w:val="14"/>
                <w:szCs w:val="14"/>
                <w:color w:val="auto"/>
              </w:rPr>
            </w:pPr>
          </w:p>
        </w:tc>
        <w:tc>
          <w:tcPr>
            <w:tcW w:w="2920" w:type="dxa"/>
            <w:vAlign w:val="bottom"/>
            <w:tcBorders>
              <w:right w:val="single" w:sz="8" w:color="95B3D7"/>
            </w:tcBorders>
            <w:shd w:val="clear" w:color="auto" w:fill="003E64"/>
          </w:tcPr>
          <w:p>
            <w:pPr>
              <w:spacing w:after="0"/>
              <w:rPr>
                <w:sz w:val="20"/>
                <w:szCs w:val="20"/>
                <w:color w:val="auto"/>
              </w:rPr>
            </w:pPr>
            <w:r>
              <w:rPr>
                <w:rFonts w:ascii="Arial" w:cs="Arial" w:eastAsia="Arial" w:hAnsi="Arial"/>
                <w:sz w:val="14"/>
                <w:szCs w:val="14"/>
                <w:color w:val="FFFFFF"/>
              </w:rPr>
              <w:t>Named Executive Officer</w:t>
            </w:r>
          </w:p>
        </w:tc>
        <w:tc>
          <w:tcPr>
            <w:tcW w:w="2060" w:type="dxa"/>
            <w:vAlign w:val="bottom"/>
            <w:tcBorders>
              <w:right w:val="single" w:sz="8" w:color="95B3D7"/>
            </w:tcBorders>
            <w:shd w:val="clear" w:color="auto" w:fill="003E64"/>
          </w:tcPr>
          <w:p>
            <w:pPr>
              <w:jc w:val="center"/>
              <w:spacing w:after="0"/>
              <w:rPr>
                <w:sz w:val="20"/>
                <w:szCs w:val="20"/>
                <w:color w:val="auto"/>
              </w:rPr>
            </w:pPr>
            <w:r>
              <w:rPr>
                <w:rFonts w:ascii="Arial" w:cs="Arial" w:eastAsia="Arial" w:hAnsi="Arial"/>
                <w:sz w:val="14"/>
                <w:szCs w:val="14"/>
                <w:b w:val="1"/>
                <w:bCs w:val="1"/>
                <w:color w:val="FFFFFF"/>
              </w:rPr>
              <w:t>#</w:t>
            </w:r>
          </w:p>
        </w:tc>
        <w:tc>
          <w:tcPr>
            <w:tcW w:w="2080" w:type="dxa"/>
            <w:vAlign w:val="bottom"/>
            <w:tcBorders>
              <w:right w:val="single" w:sz="8" w:color="95B3D7"/>
            </w:tcBorders>
            <w:shd w:val="clear" w:color="auto" w:fill="003E64"/>
          </w:tcPr>
          <w:p>
            <w:pPr>
              <w:jc w:val="center"/>
              <w:spacing w:after="0"/>
              <w:rPr>
                <w:sz w:val="20"/>
                <w:szCs w:val="20"/>
                <w:color w:val="auto"/>
              </w:rPr>
            </w:pPr>
            <w:r>
              <w:rPr>
                <w:rFonts w:ascii="Arial" w:cs="Arial" w:eastAsia="Arial" w:hAnsi="Arial"/>
                <w:sz w:val="14"/>
                <w:szCs w:val="14"/>
                <w:b w:val="1"/>
                <w:bCs w:val="1"/>
                <w:color w:val="FFFFFF"/>
              </w:rPr>
              <w:t>Grant Date</w:t>
            </w:r>
          </w:p>
        </w:tc>
        <w:tc>
          <w:tcPr>
            <w:tcW w:w="2060" w:type="dxa"/>
            <w:vAlign w:val="bottom"/>
            <w:tcBorders>
              <w:right w:val="single" w:sz="8" w:color="95B3D7"/>
            </w:tcBorders>
            <w:shd w:val="clear" w:color="auto" w:fill="003E64"/>
          </w:tcPr>
          <w:p>
            <w:pPr>
              <w:jc w:val="center"/>
              <w:spacing w:after="0"/>
              <w:rPr>
                <w:sz w:val="20"/>
                <w:szCs w:val="20"/>
                <w:color w:val="auto"/>
              </w:rPr>
            </w:pPr>
            <w:r>
              <w:rPr>
                <w:rFonts w:ascii="Arial" w:cs="Arial" w:eastAsia="Arial" w:hAnsi="Arial"/>
                <w:sz w:val="14"/>
                <w:szCs w:val="14"/>
                <w:b w:val="1"/>
                <w:bCs w:val="1"/>
                <w:color w:val="FFFFFF"/>
              </w:rPr>
              <w:t>#</w:t>
            </w:r>
          </w:p>
        </w:tc>
        <w:tc>
          <w:tcPr>
            <w:tcW w:w="206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Grant Date</w:t>
            </w:r>
          </w:p>
        </w:tc>
        <w:tc>
          <w:tcPr>
            <w:tcW w:w="20" w:type="dxa"/>
            <w:vAlign w:val="bottom"/>
            <w:shd w:val="clear" w:color="auto" w:fill="95B3D7"/>
          </w:tcPr>
          <w:p>
            <w:pPr>
              <w:spacing w:after="0"/>
              <w:rPr>
                <w:sz w:val="14"/>
                <w:szCs w:val="14"/>
                <w:color w:val="auto"/>
              </w:rPr>
            </w:pPr>
          </w:p>
        </w:tc>
      </w:tr>
      <w:tr>
        <w:trPr>
          <w:trHeight w:val="175"/>
        </w:trPr>
        <w:tc>
          <w:tcPr>
            <w:tcW w:w="4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Arial" w:cs="Arial" w:eastAsia="Arial" w:hAnsi="Arial"/>
                <w:sz w:val="14"/>
                <w:szCs w:val="14"/>
                <w:color w:val="4D4D4F"/>
              </w:rPr>
              <w:t>David H. Wang</w:t>
            </w:r>
          </w:p>
        </w:tc>
        <w:tc>
          <w:tcPr>
            <w:tcW w:w="2060" w:type="dxa"/>
            <w:vAlign w:val="bottom"/>
          </w:tcPr>
          <w:p>
            <w:pPr>
              <w:jc w:val="center"/>
              <w:spacing w:after="0"/>
              <w:rPr>
                <w:sz w:val="20"/>
                <w:szCs w:val="20"/>
                <w:color w:val="auto"/>
              </w:rPr>
            </w:pPr>
            <w:r>
              <w:rPr>
                <w:rFonts w:ascii="Arial" w:cs="Arial" w:eastAsia="Arial" w:hAnsi="Arial"/>
                <w:sz w:val="14"/>
                <w:szCs w:val="14"/>
                <w:color w:val="4D4D4F"/>
              </w:rPr>
              <w:t>545,399</w:t>
            </w:r>
          </w:p>
        </w:tc>
        <w:tc>
          <w:tcPr>
            <w:tcW w:w="2080" w:type="dxa"/>
            <w:vAlign w:val="bottom"/>
          </w:tcPr>
          <w:p>
            <w:pPr>
              <w:jc w:val="center"/>
              <w:spacing w:after="0"/>
              <w:rPr>
                <w:sz w:val="20"/>
                <w:szCs w:val="20"/>
                <w:color w:val="auto"/>
              </w:rPr>
            </w:pPr>
            <w:r>
              <w:rPr>
                <w:rFonts w:ascii="Arial" w:cs="Arial" w:eastAsia="Arial" w:hAnsi="Arial"/>
                <w:sz w:val="14"/>
                <w:szCs w:val="14"/>
                <w:color w:val="4D4D4F"/>
              </w:rPr>
              <w:t>March 20, 2020</w:t>
            </w:r>
          </w:p>
        </w:tc>
        <w:tc>
          <w:tcPr>
            <w:tcW w:w="2060" w:type="dxa"/>
            <w:vAlign w:val="bottom"/>
          </w:tcPr>
          <w:p>
            <w:pPr>
              <w:jc w:val="center"/>
              <w:spacing w:after="0"/>
              <w:rPr>
                <w:sz w:val="20"/>
                <w:szCs w:val="20"/>
                <w:color w:val="auto"/>
              </w:rPr>
            </w:pPr>
            <w:r>
              <w:rPr>
                <w:rFonts w:ascii="Arial" w:cs="Arial" w:eastAsia="Arial" w:hAnsi="Arial"/>
                <w:sz w:val="14"/>
                <w:szCs w:val="14"/>
                <w:color w:val="4D4D4F"/>
              </w:rPr>
              <w:t>538,462</w:t>
            </w:r>
          </w:p>
        </w:tc>
        <w:tc>
          <w:tcPr>
            <w:tcW w:w="2060" w:type="dxa"/>
            <w:vAlign w:val="bottom"/>
          </w:tcPr>
          <w:p>
            <w:pPr>
              <w:jc w:val="center"/>
              <w:spacing w:after="0"/>
              <w:rPr>
                <w:sz w:val="20"/>
                <w:szCs w:val="20"/>
                <w:color w:val="auto"/>
              </w:rPr>
            </w:pPr>
            <w:r>
              <w:rPr>
                <w:rFonts w:ascii="Arial" w:cs="Arial" w:eastAsia="Arial" w:hAnsi="Arial"/>
                <w:sz w:val="14"/>
                <w:szCs w:val="14"/>
                <w:color w:val="4D4D4F"/>
              </w:rPr>
              <w:t>January 1, 2020</w:t>
            </w:r>
          </w:p>
        </w:tc>
        <w:tc>
          <w:tcPr>
            <w:tcW w:w="20" w:type="dxa"/>
            <w:vAlign w:val="bottom"/>
          </w:tcPr>
          <w:p>
            <w:pPr>
              <w:spacing w:after="0"/>
              <w:rPr>
                <w:sz w:val="15"/>
                <w:szCs w:val="15"/>
                <w:color w:val="auto"/>
              </w:rPr>
            </w:pPr>
          </w:p>
        </w:tc>
      </w:tr>
      <w:tr>
        <w:trPr>
          <w:trHeight w:val="176"/>
        </w:trPr>
        <w:tc>
          <w:tcPr>
            <w:tcW w:w="40" w:type="dxa"/>
            <w:vAlign w:val="bottom"/>
            <w:tcBorders>
              <w:right w:val="single" w:sz="8" w:color="B7E4FF"/>
            </w:tcBorders>
          </w:tcPr>
          <w:p>
            <w:pPr>
              <w:spacing w:after="0"/>
              <w:rPr>
                <w:sz w:val="15"/>
                <w:szCs w:val="15"/>
                <w:color w:val="auto"/>
              </w:rPr>
            </w:pPr>
          </w:p>
        </w:tc>
        <w:tc>
          <w:tcPr>
            <w:tcW w:w="2920" w:type="dxa"/>
            <w:vAlign w:val="bottom"/>
            <w:tcBorders>
              <w:right w:val="single" w:sz="8" w:color="B7E4FF"/>
            </w:tcBorders>
            <w:shd w:val="clear" w:color="auto" w:fill="B7E4FF"/>
          </w:tcPr>
          <w:p>
            <w:pPr>
              <w:spacing w:after="0"/>
              <w:rPr>
                <w:sz w:val="20"/>
                <w:szCs w:val="20"/>
                <w:color w:val="auto"/>
              </w:rPr>
            </w:pPr>
            <w:r>
              <w:rPr>
                <w:rFonts w:ascii="Arial" w:cs="Arial" w:eastAsia="Arial" w:hAnsi="Arial"/>
                <w:sz w:val="14"/>
                <w:szCs w:val="14"/>
                <w:color w:val="4D4D4F"/>
              </w:rPr>
              <w:t>Mark McKechnie</w:t>
            </w:r>
          </w:p>
        </w:tc>
        <w:tc>
          <w:tcPr>
            <w:tcW w:w="2060" w:type="dxa"/>
            <w:vAlign w:val="bottom"/>
            <w:tcBorders>
              <w:right w:val="single" w:sz="8" w:color="B7E4FF"/>
            </w:tcBorders>
            <w:shd w:val="clear" w:color="auto" w:fill="B7E4FF"/>
          </w:tcPr>
          <w:p>
            <w:pPr>
              <w:jc w:val="center"/>
              <w:spacing w:after="0"/>
              <w:rPr>
                <w:sz w:val="20"/>
                <w:szCs w:val="20"/>
                <w:color w:val="auto"/>
              </w:rPr>
            </w:pPr>
            <w:r>
              <w:rPr>
                <w:rFonts w:ascii="Arial" w:cs="Arial" w:eastAsia="Arial" w:hAnsi="Arial"/>
                <w:sz w:val="14"/>
                <w:szCs w:val="14"/>
                <w:color w:val="4D4D4F"/>
                <w:w w:val="99"/>
              </w:rPr>
              <w:t>—</w:t>
            </w:r>
          </w:p>
        </w:tc>
        <w:tc>
          <w:tcPr>
            <w:tcW w:w="2080" w:type="dxa"/>
            <w:vAlign w:val="bottom"/>
            <w:tcBorders>
              <w:right w:val="single" w:sz="8" w:color="B7E4FF"/>
            </w:tcBorders>
            <w:shd w:val="clear" w:color="auto" w:fill="B7E4FF"/>
          </w:tcPr>
          <w:p>
            <w:pPr>
              <w:jc w:val="center"/>
              <w:spacing w:after="0"/>
              <w:rPr>
                <w:sz w:val="20"/>
                <w:szCs w:val="20"/>
                <w:color w:val="auto"/>
              </w:rPr>
            </w:pPr>
            <w:r>
              <w:rPr>
                <w:rFonts w:ascii="Arial" w:cs="Arial" w:eastAsia="Arial" w:hAnsi="Arial"/>
                <w:sz w:val="14"/>
                <w:szCs w:val="14"/>
                <w:color w:val="4D4D4F"/>
                <w:w w:val="99"/>
              </w:rPr>
              <w:t>—</w:t>
            </w:r>
          </w:p>
        </w:tc>
        <w:tc>
          <w:tcPr>
            <w:tcW w:w="2060" w:type="dxa"/>
            <w:vAlign w:val="bottom"/>
            <w:tcBorders>
              <w:right w:val="single" w:sz="8" w:color="B7E4FF"/>
            </w:tcBorders>
            <w:shd w:val="clear" w:color="auto" w:fill="B7E4FF"/>
          </w:tcPr>
          <w:p>
            <w:pPr>
              <w:jc w:val="center"/>
              <w:spacing w:after="0"/>
              <w:rPr>
                <w:sz w:val="20"/>
                <w:szCs w:val="20"/>
                <w:color w:val="auto"/>
              </w:rPr>
            </w:pPr>
            <w:r>
              <w:rPr>
                <w:rFonts w:ascii="Arial" w:cs="Arial" w:eastAsia="Arial" w:hAnsi="Arial"/>
                <w:sz w:val="14"/>
                <w:szCs w:val="14"/>
                <w:color w:val="4D4D4F"/>
                <w:w w:val="99"/>
              </w:rPr>
              <w:t>—</w:t>
            </w:r>
          </w:p>
        </w:tc>
        <w:tc>
          <w:tcPr>
            <w:tcW w:w="2060" w:type="dxa"/>
            <w:vAlign w:val="bottom"/>
            <w:shd w:val="clear" w:color="auto" w:fill="B7E4FF"/>
          </w:tcPr>
          <w:p>
            <w:pPr>
              <w:jc w:val="center"/>
              <w:spacing w:after="0"/>
              <w:rPr>
                <w:sz w:val="20"/>
                <w:szCs w:val="20"/>
                <w:color w:val="auto"/>
              </w:rPr>
            </w:pPr>
            <w:r>
              <w:rPr>
                <w:rFonts w:ascii="Arial" w:cs="Arial" w:eastAsia="Arial" w:hAnsi="Arial"/>
                <w:sz w:val="14"/>
                <w:szCs w:val="14"/>
                <w:color w:val="4D4D4F"/>
                <w:w w:val="99"/>
              </w:rPr>
              <w:t>—</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Arial" w:cs="Arial" w:eastAsia="Arial" w:hAnsi="Arial"/>
                <w:sz w:val="14"/>
                <w:szCs w:val="14"/>
                <w:color w:val="4D4D4F"/>
              </w:rPr>
              <w:t>Jian Wang</w:t>
            </w:r>
          </w:p>
        </w:tc>
        <w:tc>
          <w:tcPr>
            <w:tcW w:w="206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2080" w:type="dxa"/>
            <w:vAlign w:val="bottom"/>
          </w:tcPr>
          <w:p>
            <w:pPr>
              <w:jc w:val="center"/>
              <w:spacing w:after="0"/>
              <w:rPr>
                <w:sz w:val="20"/>
                <w:szCs w:val="20"/>
                <w:color w:val="auto"/>
              </w:rPr>
            </w:pPr>
            <w:r>
              <w:rPr>
                <w:rFonts w:ascii="Arial" w:cs="Arial" w:eastAsia="Arial" w:hAnsi="Arial"/>
                <w:sz w:val="14"/>
                <w:szCs w:val="14"/>
                <w:color w:val="4D4D4F"/>
                <w:w w:val="99"/>
              </w:rPr>
              <w:t>—</w:t>
            </w:r>
          </w:p>
        </w:tc>
        <w:tc>
          <w:tcPr>
            <w:tcW w:w="2060" w:type="dxa"/>
            <w:vAlign w:val="bottom"/>
          </w:tcPr>
          <w:p>
            <w:pPr>
              <w:jc w:val="center"/>
              <w:spacing w:after="0"/>
              <w:rPr>
                <w:sz w:val="20"/>
                <w:szCs w:val="20"/>
                <w:color w:val="auto"/>
              </w:rPr>
            </w:pPr>
            <w:r>
              <w:rPr>
                <w:rFonts w:ascii="Arial" w:cs="Arial" w:eastAsia="Arial" w:hAnsi="Arial"/>
                <w:sz w:val="14"/>
                <w:szCs w:val="14"/>
                <w:color w:val="4D4D4F"/>
              </w:rPr>
              <w:t>298,462</w:t>
            </w:r>
          </w:p>
        </w:tc>
        <w:tc>
          <w:tcPr>
            <w:tcW w:w="2060" w:type="dxa"/>
            <w:vAlign w:val="bottom"/>
          </w:tcPr>
          <w:p>
            <w:pPr>
              <w:jc w:val="center"/>
              <w:spacing w:after="0"/>
              <w:rPr>
                <w:sz w:val="20"/>
                <w:szCs w:val="20"/>
                <w:color w:val="auto"/>
              </w:rPr>
            </w:pPr>
            <w:r>
              <w:rPr>
                <w:rFonts w:ascii="Arial" w:cs="Arial" w:eastAsia="Arial" w:hAnsi="Arial"/>
                <w:sz w:val="14"/>
                <w:szCs w:val="14"/>
                <w:color w:val="4D4D4F"/>
              </w:rPr>
              <w:t>January 1, 2020</w:t>
            </w:r>
          </w:p>
        </w:tc>
        <w:tc>
          <w:tcPr>
            <w:tcW w:w="20" w:type="dxa"/>
            <w:vAlign w:val="bottom"/>
          </w:tcPr>
          <w:p>
            <w:pPr>
              <w:spacing w:after="0"/>
              <w:rPr>
                <w:sz w:val="15"/>
                <w:szCs w:val="15"/>
                <w:color w:val="auto"/>
              </w:rPr>
            </w:pPr>
          </w:p>
        </w:tc>
      </w:tr>
      <w:tr>
        <w:trPr>
          <w:trHeight w:val="175"/>
        </w:trPr>
        <w:tc>
          <w:tcPr>
            <w:tcW w:w="40" w:type="dxa"/>
            <w:vAlign w:val="bottom"/>
            <w:tcBorders>
              <w:right w:val="single" w:sz="8" w:color="B7E4FF"/>
            </w:tcBorders>
          </w:tcPr>
          <w:p>
            <w:pPr>
              <w:spacing w:after="0"/>
              <w:rPr>
                <w:sz w:val="15"/>
                <w:szCs w:val="15"/>
                <w:color w:val="auto"/>
              </w:rPr>
            </w:pPr>
          </w:p>
        </w:tc>
        <w:tc>
          <w:tcPr>
            <w:tcW w:w="2920" w:type="dxa"/>
            <w:vAlign w:val="bottom"/>
            <w:tcBorders>
              <w:right w:val="single" w:sz="8" w:color="B7E4FF"/>
            </w:tcBorders>
            <w:shd w:val="clear" w:color="auto" w:fill="B7E4FF"/>
          </w:tcPr>
          <w:p>
            <w:pPr>
              <w:spacing w:after="0"/>
              <w:rPr>
                <w:sz w:val="20"/>
                <w:szCs w:val="20"/>
                <w:color w:val="auto"/>
              </w:rPr>
            </w:pPr>
            <w:r>
              <w:rPr>
                <w:rFonts w:ascii="Arial" w:cs="Arial" w:eastAsia="Arial" w:hAnsi="Arial"/>
                <w:sz w:val="14"/>
                <w:szCs w:val="14"/>
                <w:color w:val="4D4D4F"/>
              </w:rPr>
              <w:t>Lisa Feng</w:t>
            </w:r>
          </w:p>
        </w:tc>
        <w:tc>
          <w:tcPr>
            <w:tcW w:w="2060" w:type="dxa"/>
            <w:vAlign w:val="bottom"/>
            <w:tcBorders>
              <w:right w:val="single" w:sz="8" w:color="B7E4FF"/>
            </w:tcBorders>
            <w:shd w:val="clear" w:color="auto" w:fill="B7E4FF"/>
          </w:tcPr>
          <w:p>
            <w:pPr>
              <w:jc w:val="center"/>
              <w:spacing w:after="0"/>
              <w:rPr>
                <w:sz w:val="20"/>
                <w:szCs w:val="20"/>
                <w:color w:val="auto"/>
              </w:rPr>
            </w:pPr>
            <w:r>
              <w:rPr>
                <w:rFonts w:ascii="Arial" w:cs="Arial" w:eastAsia="Arial" w:hAnsi="Arial"/>
                <w:sz w:val="14"/>
                <w:szCs w:val="14"/>
                <w:color w:val="4D4D4F"/>
              </w:rPr>
              <w:t>10,000</w:t>
            </w:r>
          </w:p>
        </w:tc>
        <w:tc>
          <w:tcPr>
            <w:tcW w:w="2080" w:type="dxa"/>
            <w:vAlign w:val="bottom"/>
            <w:tcBorders>
              <w:right w:val="single" w:sz="8" w:color="B7E4FF"/>
            </w:tcBorders>
            <w:shd w:val="clear" w:color="auto" w:fill="B7E4FF"/>
          </w:tcPr>
          <w:p>
            <w:pPr>
              <w:jc w:val="center"/>
              <w:spacing w:after="0"/>
              <w:rPr>
                <w:sz w:val="20"/>
                <w:szCs w:val="20"/>
                <w:color w:val="auto"/>
              </w:rPr>
            </w:pPr>
            <w:r>
              <w:rPr>
                <w:rFonts w:ascii="Arial" w:cs="Arial" w:eastAsia="Arial" w:hAnsi="Arial"/>
                <w:sz w:val="14"/>
                <w:szCs w:val="14"/>
                <w:color w:val="4D4D4F"/>
              </w:rPr>
              <w:t>April 28, 2020</w:t>
            </w:r>
          </w:p>
        </w:tc>
        <w:tc>
          <w:tcPr>
            <w:tcW w:w="2060" w:type="dxa"/>
            <w:vAlign w:val="bottom"/>
            <w:tcBorders>
              <w:right w:val="single" w:sz="8" w:color="B7E4FF"/>
            </w:tcBorders>
            <w:shd w:val="clear" w:color="auto" w:fill="B7E4FF"/>
          </w:tcPr>
          <w:p>
            <w:pPr>
              <w:jc w:val="center"/>
              <w:spacing w:after="0"/>
              <w:rPr>
                <w:sz w:val="20"/>
                <w:szCs w:val="20"/>
                <w:color w:val="auto"/>
              </w:rPr>
            </w:pPr>
            <w:r>
              <w:rPr>
                <w:rFonts w:ascii="Arial" w:cs="Arial" w:eastAsia="Arial" w:hAnsi="Arial"/>
                <w:sz w:val="14"/>
                <w:szCs w:val="14"/>
                <w:color w:val="4D4D4F"/>
              </w:rPr>
              <w:t>260,000</w:t>
            </w:r>
          </w:p>
        </w:tc>
        <w:tc>
          <w:tcPr>
            <w:tcW w:w="2060" w:type="dxa"/>
            <w:vAlign w:val="bottom"/>
            <w:shd w:val="clear" w:color="auto" w:fill="B7E4FF"/>
          </w:tcPr>
          <w:p>
            <w:pPr>
              <w:jc w:val="center"/>
              <w:spacing w:after="0"/>
              <w:rPr>
                <w:sz w:val="20"/>
                <w:szCs w:val="20"/>
                <w:color w:val="auto"/>
              </w:rPr>
            </w:pPr>
            <w:r>
              <w:rPr>
                <w:rFonts w:ascii="Arial" w:cs="Arial" w:eastAsia="Arial" w:hAnsi="Arial"/>
                <w:sz w:val="14"/>
                <w:szCs w:val="14"/>
                <w:color w:val="4D4D4F"/>
              </w:rPr>
              <w:t>January 1, 2020</w:t>
            </w:r>
          </w:p>
        </w:tc>
        <w:tc>
          <w:tcPr>
            <w:tcW w:w="20" w:type="dxa"/>
            <w:vAlign w:val="bottom"/>
          </w:tcPr>
          <w:p>
            <w:pPr>
              <w:spacing w:after="0"/>
              <w:rPr>
                <w:sz w:val="15"/>
                <w:szCs w:val="15"/>
                <w:color w:val="auto"/>
              </w:rPr>
            </w:pPr>
          </w:p>
        </w:tc>
      </w:tr>
      <w:tr>
        <w:trPr>
          <w:trHeight w:val="226"/>
        </w:trPr>
        <w:tc>
          <w:tcPr>
            <w:tcW w:w="4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4"/>
                <w:szCs w:val="14"/>
                <w:color w:val="4D4D4F"/>
              </w:rPr>
              <w:t>Fuping Chen</w:t>
            </w:r>
          </w:p>
        </w:tc>
        <w:tc>
          <w:tcPr>
            <w:tcW w:w="2060" w:type="dxa"/>
            <w:vAlign w:val="bottom"/>
          </w:tcPr>
          <w:p>
            <w:pPr>
              <w:jc w:val="center"/>
              <w:spacing w:after="0"/>
              <w:rPr>
                <w:sz w:val="20"/>
                <w:szCs w:val="20"/>
                <w:color w:val="auto"/>
              </w:rPr>
            </w:pPr>
            <w:r>
              <w:rPr>
                <w:rFonts w:ascii="Arial" w:cs="Arial" w:eastAsia="Arial" w:hAnsi="Arial"/>
                <w:sz w:val="14"/>
                <w:szCs w:val="14"/>
                <w:color w:val="4D4D4F"/>
              </w:rPr>
              <w:t>20,000</w:t>
            </w:r>
          </w:p>
        </w:tc>
        <w:tc>
          <w:tcPr>
            <w:tcW w:w="2080" w:type="dxa"/>
            <w:vAlign w:val="bottom"/>
          </w:tcPr>
          <w:p>
            <w:pPr>
              <w:jc w:val="center"/>
              <w:spacing w:after="0"/>
              <w:rPr>
                <w:sz w:val="20"/>
                <w:szCs w:val="20"/>
                <w:color w:val="auto"/>
              </w:rPr>
            </w:pPr>
            <w:r>
              <w:rPr>
                <w:rFonts w:ascii="Arial" w:cs="Arial" w:eastAsia="Arial" w:hAnsi="Arial"/>
                <w:sz w:val="14"/>
                <w:szCs w:val="14"/>
                <w:color w:val="4D4D4F"/>
              </w:rPr>
              <w:t>July 28, 2020</w:t>
            </w:r>
          </w:p>
        </w:tc>
        <w:tc>
          <w:tcPr>
            <w:tcW w:w="2060" w:type="dxa"/>
            <w:vAlign w:val="bottom"/>
          </w:tcPr>
          <w:p>
            <w:pPr>
              <w:jc w:val="center"/>
              <w:spacing w:after="0"/>
              <w:rPr>
                <w:sz w:val="20"/>
                <w:szCs w:val="20"/>
                <w:color w:val="auto"/>
              </w:rPr>
            </w:pPr>
            <w:r>
              <w:rPr>
                <w:rFonts w:ascii="Arial" w:cs="Arial" w:eastAsia="Arial" w:hAnsi="Arial"/>
                <w:sz w:val="14"/>
                <w:szCs w:val="14"/>
                <w:color w:val="4D4D4F"/>
              </w:rPr>
              <w:t>260,000</w:t>
            </w:r>
          </w:p>
        </w:tc>
        <w:tc>
          <w:tcPr>
            <w:tcW w:w="2060" w:type="dxa"/>
            <w:vAlign w:val="bottom"/>
          </w:tcPr>
          <w:p>
            <w:pPr>
              <w:jc w:val="center"/>
              <w:spacing w:after="0"/>
              <w:rPr>
                <w:sz w:val="20"/>
                <w:szCs w:val="20"/>
                <w:color w:val="auto"/>
              </w:rPr>
            </w:pPr>
            <w:r>
              <w:rPr>
                <w:rFonts w:ascii="Arial" w:cs="Arial" w:eastAsia="Arial" w:hAnsi="Arial"/>
                <w:sz w:val="14"/>
                <w:szCs w:val="14"/>
                <w:color w:val="4D4D4F"/>
              </w:rPr>
              <w:t>January 1, 2020</w:t>
            </w:r>
          </w:p>
        </w:tc>
        <w:tc>
          <w:tcPr>
            <w:tcW w:w="20" w:type="dxa"/>
            <w:vAlign w:val="bottom"/>
          </w:tcPr>
          <w:p>
            <w:pPr>
              <w:spacing w:after="0"/>
              <w:rPr>
                <w:sz w:val="19"/>
                <w:szCs w:val="19"/>
                <w:color w:val="auto"/>
              </w:rPr>
            </w:pPr>
          </w:p>
        </w:tc>
      </w:tr>
      <w:tr>
        <w:trPr>
          <w:trHeight w:val="561"/>
        </w:trPr>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80" w:type="dxa"/>
            <w:vAlign w:val="bottom"/>
          </w:tcPr>
          <w:p>
            <w:pPr>
              <w:jc w:val="right"/>
              <w:ind w:right="1308"/>
              <w:spacing w:after="0"/>
              <w:rPr>
                <w:sz w:val="20"/>
                <w:szCs w:val="20"/>
                <w:color w:val="auto"/>
              </w:rPr>
            </w:pPr>
            <w:r>
              <w:rPr>
                <w:rFonts w:ascii="Arial" w:cs="Arial" w:eastAsia="Arial" w:hAnsi="Arial"/>
                <w:sz w:val="14"/>
                <w:szCs w:val="14"/>
                <w:color w:val="auto"/>
              </w:rPr>
              <w:t>41</w:t>
            </w: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
        </w:trPr>
        <w:tc>
          <w:tcPr>
            <w:tcW w:w="4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30" w:right="33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To closely align his interests with our stockholders, to provide him with incentives linked to long-term performance, and to foster an ownership culture among executives, we granted a performance-based stock option to David Wang on March 20, 2020 covering Class A common stock. This performance-based stock option is subject to performance conditions linked to our market capitalization, which totaled $553,383,586 on the date the option was granted. The option vests and becomes exercisable as follows, in each case generally subject to Dr. Wang’s continued service through the vesting date:</w:t>
      </w:r>
    </w:p>
    <w:p>
      <w:pPr>
        <w:spacing w:after="0" w:line="81" w:lineRule="exact"/>
        <w:rPr>
          <w:sz w:val="20"/>
          <w:szCs w:val="20"/>
          <w:color w:val="auto"/>
        </w:rPr>
      </w:pPr>
    </w:p>
    <w:p>
      <w:pPr>
        <w:ind w:left="340" w:hanging="332"/>
        <w:spacing w:after="0" w:line="246" w:lineRule="auto"/>
        <w:tabs>
          <w:tab w:leader="none" w:pos="340" w:val="left"/>
        </w:tabs>
        <w:numPr>
          <w:ilvl w:val="0"/>
          <w:numId w:val="65"/>
        </w:numPr>
        <w:rPr>
          <w:rFonts w:ascii="Arial" w:cs="Arial" w:eastAsia="Arial" w:hAnsi="Arial"/>
          <w:sz w:val="18"/>
          <w:szCs w:val="18"/>
          <w:color w:val="4D4D4F"/>
        </w:rPr>
      </w:pPr>
      <w:r>
        <w:rPr>
          <w:rFonts w:ascii="Arial" w:cs="Arial" w:eastAsia="Arial" w:hAnsi="Arial"/>
          <w:sz w:val="18"/>
          <w:szCs w:val="18"/>
          <w:color w:val="4D4D4F"/>
        </w:rPr>
        <w:t>one-third of the covered shares vested as of October 1, 2020, which was the first trading day on which our market capitalization equaled or exceeded $1,553,383,586;</w:t>
      </w:r>
    </w:p>
    <w:p>
      <w:pPr>
        <w:spacing w:after="0" w:line="61"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65"/>
        </w:numPr>
        <w:rPr>
          <w:rFonts w:ascii="Arial" w:cs="Arial" w:eastAsia="Arial" w:hAnsi="Arial"/>
          <w:sz w:val="18"/>
          <w:szCs w:val="18"/>
          <w:color w:val="4D4D4F"/>
        </w:rPr>
      </w:pPr>
      <w:r>
        <w:rPr>
          <w:rFonts w:ascii="Arial" w:cs="Arial" w:eastAsia="Arial" w:hAnsi="Arial"/>
          <w:sz w:val="18"/>
          <w:szCs w:val="18"/>
          <w:color w:val="4D4D4F"/>
        </w:rPr>
        <w:t>one-third of the covered shares will vest as of the first trading day on which our market capitalization equals or exceeds $2,553,383,586; and</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65"/>
        </w:numPr>
        <w:rPr>
          <w:rFonts w:ascii="Arial" w:cs="Arial" w:eastAsia="Arial" w:hAnsi="Arial"/>
          <w:sz w:val="18"/>
          <w:szCs w:val="18"/>
          <w:color w:val="4D4D4F"/>
        </w:rPr>
      </w:pPr>
      <w:r>
        <w:rPr>
          <w:rFonts w:ascii="Arial" w:cs="Arial" w:eastAsia="Arial" w:hAnsi="Arial"/>
          <w:sz w:val="18"/>
          <w:szCs w:val="18"/>
          <w:color w:val="4D4D4F"/>
        </w:rPr>
        <w:t>one-third of the covered shares will vest as of the first trading day on which our market capitalization equals or exceeds $3,553,383,586.</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To achieve specified business objectives and to foster an ownership culture among executives, we granted a performance-based stock option grant to Fuping Chen on July 28, 2020 covering Class A common stock. This performance-based stock option is subject to performance conditions described below and vests and becomes exercisable as follows, in each case generally subject to Mr. Chen’s continued service through the vesting date and subject to accelerated vesting in </w:t>
      </w:r>
      <w:r>
        <w:rPr>
          <w:rFonts w:ascii="Arial" w:cs="Arial" w:eastAsia="Arial" w:hAnsi="Arial"/>
          <w:sz w:val="18"/>
          <w:szCs w:val="18"/>
          <w:color w:val="000000"/>
        </w:rPr>
        <w:t>full upon the occurrence of a defined change in control of</w:t>
      </w:r>
      <w:r>
        <w:rPr>
          <w:rFonts w:ascii="Arial" w:cs="Arial" w:eastAsia="Arial" w:hAnsi="Arial"/>
          <w:sz w:val="18"/>
          <w:szCs w:val="18"/>
          <w:color w:val="4D4D4F"/>
        </w:rPr>
        <w:t xml:space="preserve"> </w:t>
      </w:r>
      <w:r>
        <w:rPr>
          <w:rFonts w:ascii="Arial" w:cs="Arial" w:eastAsia="Arial" w:hAnsi="Arial"/>
          <w:sz w:val="18"/>
          <w:szCs w:val="18"/>
          <w:color w:val="000000"/>
        </w:rPr>
        <w:t>our company</w:t>
      </w:r>
      <w:r>
        <w:rPr>
          <w:rFonts w:ascii="Arial" w:cs="Arial" w:eastAsia="Arial" w:hAnsi="Arial"/>
          <w:sz w:val="18"/>
          <w:szCs w:val="18"/>
          <w:color w:val="4D4D4F"/>
        </w:rPr>
        <w:t>:</w:t>
      </w:r>
    </w:p>
    <w:p>
      <w:pPr>
        <w:spacing w:after="0" w:line="81"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4D4D4F"/>
        </w:rPr>
      </w:pPr>
      <w:r>
        <w:rPr>
          <w:rFonts w:ascii="Arial" w:cs="Arial" w:eastAsia="Arial" w:hAnsi="Arial"/>
          <w:sz w:val="18"/>
          <w:szCs w:val="18"/>
          <w:color w:val="4D4D4F"/>
        </w:rPr>
        <w:t>10,000 shares will vest upon our receipt of our first demo tool order from a specified major semiconductor company; and</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6"/>
        </w:numPr>
        <w:rPr>
          <w:rFonts w:ascii="Arial" w:cs="Arial" w:eastAsia="Arial" w:hAnsi="Arial"/>
          <w:sz w:val="18"/>
          <w:szCs w:val="18"/>
          <w:color w:val="4D4D4F"/>
        </w:rPr>
      </w:pPr>
      <w:r>
        <w:rPr>
          <w:rFonts w:ascii="Arial" w:cs="Arial" w:eastAsia="Arial" w:hAnsi="Arial"/>
          <w:sz w:val="18"/>
          <w:szCs w:val="18"/>
          <w:color w:val="4D4D4F"/>
        </w:rPr>
        <w:t>10,000 shares will vest upon the qualification of our first demo tool for a specified major semiconductor company.</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options covering ACM Shanghai stock, one-half of the option vests on January 1, 2023, generally subject to continued service and key financial metrics. The remaining half of the option vests on January 1, 2024, generally subject to continued service and key financial metrics. In each case, vesting is also contingent on the applicable NEO’s performance rating for the year prior to the applicable time-based vesting date, such that 100% of the option that would otherwise vest pursuant to the foregoing two sentences will vest if such performance rating is “excellent” or “good,” 80% if such performance rating is “medium,” 60% if such performance rating is “pass,” and 0% if such performance rating is below “pass.” All such options accelerate vesting upon a defined change in control of ACM.</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Hedging and Pledging Prohibitions</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Under our Insider Trading Policy, employees and directors, as well as their family members, including our NEOs, may not hedge or pledge any ACM securities that they hold directly. An exception to this prohibition may be granted where a person wishes to pledge ACM securities as collateral for a loan (not including margin debt) and clearly demonstrates the financial capacity to repay the loan without resort to the pledged securities. Any employee (including each NEO) or director, as well as their family members, who wishes to pledge ACM securities as collateral for a loan must submit a request for approval to the chief financial officer at least two weeks prior to the proposed execution of documents evidencing the proposed pledge, except that any proposed pledge by the chief financial officer must be submitted to and either approved or prohibited by the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Clawbacks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Under our 2016 Omnibus Incentive Plan, all awards, amounts or benefits received or outstanding under the plan are subject to clawback, cancellation, recoupment, rescission, payback, reduction or other similar action in accordance with the terms of any clawback or similar policy we may adopt, or any applicable law related to such actions, as may be in effect from time to time. We have not adopted any clawback or similar policy to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Other Benefits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PRC-based NEOs, which include all NEOs except U.S.-based Mark McKechnie, are generally eligible to participate in our health and welfare programs and retirement plans on the same basis as other PRC employees.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Perquisites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PRC-based members of senior management, including PRC-based NEOs, with an allowance for housing, which the compensation committee views as an essential tool to recruit and retain talented NEOs and which is an element of compensation commonly provided by international companies operating in China. In 2020 the following NEOs received a housing allowance: David Wang ,Fuping Chen, Jian Wang and Lisa Feng. For additional information, see “Executive Compensation—Summary Compensation Table”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Employment Agreements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enter into employment agreements with our employees located principally in the PRC, including all of our NEOs other than U.S.-based NEO Mark McKechnie, that contain an employment term and other statutorily required terms and conditions but do not include compensatory terms. In addition, ACM Shanghai was a party to an employment agreement with Lisa Feng that was entered into as of January 8, 2018 and extended through January 7, 2021. The agreement contained provisions with respect to base salary, annual bonus eligibility and certain severance payments.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9C0"/>
        </w:rPr>
        <w:t>Potential Payments Upon Termination or Change in Control</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Our option awards gr</w:t>
      </w:r>
      <w:r>
        <w:rPr>
          <w:rFonts w:ascii="Arial" w:cs="Arial" w:eastAsia="Arial" w:hAnsi="Arial"/>
          <w:sz w:val="18"/>
          <w:szCs w:val="18"/>
          <w:color w:val="000000"/>
        </w:rPr>
        <w:t>anted under our 2016 Omnibus Incentive Plan to employees, including NEOs, provide for acceleration upon a change in</w:t>
      </w:r>
      <w:r>
        <w:rPr>
          <w:rFonts w:ascii="Arial" w:cs="Arial" w:eastAsia="Arial" w:hAnsi="Arial"/>
          <w:sz w:val="18"/>
          <w:szCs w:val="18"/>
          <w:color w:val="4D4D4F"/>
        </w:rPr>
        <w:t xml:space="preserve"> </w:t>
      </w:r>
      <w:r>
        <w:rPr>
          <w:rFonts w:ascii="Arial" w:cs="Arial" w:eastAsia="Arial" w:hAnsi="Arial"/>
          <w:sz w:val="18"/>
          <w:szCs w:val="18"/>
          <w:color w:val="000000"/>
        </w:rPr>
        <w:t>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NEOs based in the PRC, who include all NEOs other than U.S.-based Mark McKechnie, may be entitled to statutory severance as required by applicable law.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Internal Revenue Code Section 162(m) Considerations</w:t>
      </w:r>
    </w:p>
    <w:p>
      <w:pPr>
        <w:spacing w:after="0" w:line="26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Internal Revenue Code Section 162(m) limits the deductibility of compensation in excess of $1 million paid to any one NEO in any calendar year. Under the tax rules in effect before 2018, compensation that qualified as “performance-based” under Section 162(m) was deductible without regard to this $1 million limit. However, the Tax Cuts and Jobs Act, which was signed into law December 22, 2017, eliminated this performance-based compensation exception effective January 1, 2018, subject to a special rule that “grandfathers” certain awards and arrangements that were in effect on or before November 2, 2017. Moreover, from and after January 1, 2018, compensation awarded in excess of $1 million to our NEOs generally will not be deductible. While Section 162(m) limits the deductibility of compensation paid to the NEOs, the compensation committee will design compensation programs that are intended to be in the best long-term interests of our company and stockholders, with deductibility of compensation being one of a variety of considerations taken into account.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Internal Revenue Code Sections 280G and 409A</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We have not provided or committed to provide any NEO with a gross-up or other reimbursement for tax amounts the executive might pay pursuant to Section 280G or Section 409A of the Internal Revenue Code. Section 280G and related sections of the Internal Revenue Code provide that an executive officer and certain persons who hold significant stockholder interests and certain other service providers could be subject to significant additional taxes if they receive payments or benefits in connection with a change in control that exceeds certain limits, and that we or our successor could lose a deduction on the amounts subject to the additional tax. Section 409A also imposes additional significant taxes on the individual in the event that an executive officer, director or service provider of certain types receives “deferred compensation” that does not meet the requirements of Section 409A.</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Accounting for Stock-Based Compensation</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follow the Financial Accounting Standard Board’s Accounting Standards Codification Topic 718 for our stock-based compensation awards, which requires us to measure the compensation expense for all share-based awards made to our employees and members of our Board, based on the grant date “fair value” of these awards. This calculation is performed for accounting purposes and reported in the executive compensation tables required by the federal securities laws, even though the recipient of the awards may realize no value from their awards.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Report of the Compensation Committee</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compensation committee of the board of directors has reviewed and discussed with management the section entitled “Compensation Discussion and Analysis” required by Item 402(b) of Regulation S-K and, based on such review and discussions, the compensation committee has recommended to the board that the section entitled “Compensation Discussion and Analysis” be included in this Proxy Statement and incorporated by reference into the Annual Report on Form 10-K of ACM Research, Inc. for the fiscal year ended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4D4D4F"/>
        </w:rPr>
        <w:t>Haiping Dun (Chair)</w:t>
      </w:r>
    </w:p>
    <w:p>
      <w:pPr>
        <w:spacing w:after="0"/>
        <w:rPr>
          <w:sz w:val="20"/>
          <w:szCs w:val="20"/>
          <w:color w:val="auto"/>
        </w:rPr>
      </w:pPr>
      <w:r>
        <w:rPr>
          <w:rFonts w:ascii="Arial" w:cs="Arial" w:eastAsia="Arial" w:hAnsi="Arial"/>
          <w:sz w:val="18"/>
          <w:szCs w:val="18"/>
          <w:color w:val="4D4D4F"/>
        </w:rPr>
        <w:t>Tracy Liu</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57175" cy="26606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 cy="266065"/>
                    </a:xfrm>
                    <a:prstGeom prst="rect">
                      <a:avLst/>
                    </a:prstGeom>
                    <a:noFill/>
                    <a:ln>
                      <a:noFill/>
                    </a:ln>
                  </pic:spPr>
                </pic:pic>
              </a:graphicData>
            </a:graphic>
          </wp:inline>
        </w:drawing>
      </w:r>
      <w:r>
        <w:rPr>
          <w:rFonts w:ascii="Arial" w:cs="Arial" w:eastAsia="Arial" w:hAnsi="Arial"/>
          <w:sz w:val="25"/>
          <w:szCs w:val="25"/>
          <w:b w:val="1"/>
          <w:bCs w:val="1"/>
          <w:color w:val="003E64"/>
        </w:rPr>
        <w:t xml:space="preserve"> — Amendment to Certificate of Incorporation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Charter Amendment Generally</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board of directors has adopted, subject to stockholder approval, amendments to our certificate of incorporation that we refer to collectively as the Charter Amendment. The Charter Amendment would:</w:t>
      </w:r>
    </w:p>
    <w:p>
      <w:pPr>
        <w:spacing w:after="0" w:line="62" w:lineRule="exact"/>
        <w:rPr>
          <w:sz w:val="20"/>
          <w:szCs w:val="20"/>
          <w:color w:val="auto"/>
        </w:rPr>
      </w:pPr>
    </w:p>
    <w:p>
      <w:pPr>
        <w:jc w:val="both"/>
        <w:ind w:left="340" w:hanging="332"/>
        <w:spacing w:after="0"/>
        <w:tabs>
          <w:tab w:leader="none" w:pos="340" w:val="left"/>
        </w:tabs>
        <w:numPr>
          <w:ilvl w:val="0"/>
          <w:numId w:val="67"/>
        </w:numPr>
        <w:rPr>
          <w:rFonts w:ascii="Arial" w:cs="Arial" w:eastAsia="Arial" w:hAnsi="Arial"/>
          <w:sz w:val="18"/>
          <w:szCs w:val="18"/>
          <w:color w:val="4D4D4F"/>
        </w:rPr>
      </w:pPr>
      <w:r>
        <w:rPr>
          <w:rFonts w:ascii="Arial" w:cs="Arial" w:eastAsia="Arial" w:hAnsi="Arial"/>
          <w:sz w:val="18"/>
          <w:szCs w:val="18"/>
          <w:color w:val="4D4D4F"/>
        </w:rPr>
        <w:t>Increase the aggregate number of shares of Class A common stock, or Class A Common, that we are authorized to issue from 50,000,000 to 150,000,000, with 60,000,000 of the 100,000,000 additional authorized shares being available for issuance only as dividends on outstanding shares of Class A Common; and</w:t>
      </w:r>
    </w:p>
    <w:p>
      <w:pPr>
        <w:spacing w:after="0" w:line="81" w:lineRule="exact"/>
        <w:rPr>
          <w:rFonts w:ascii="Arial" w:cs="Arial" w:eastAsia="Arial" w:hAnsi="Arial"/>
          <w:sz w:val="18"/>
          <w:szCs w:val="18"/>
          <w:color w:val="4D4D4F"/>
        </w:rPr>
      </w:pPr>
    </w:p>
    <w:p>
      <w:pPr>
        <w:jc w:val="both"/>
        <w:ind w:left="340" w:hanging="332"/>
        <w:spacing w:after="0"/>
        <w:tabs>
          <w:tab w:leader="none" w:pos="340" w:val="left"/>
        </w:tabs>
        <w:numPr>
          <w:ilvl w:val="0"/>
          <w:numId w:val="67"/>
        </w:numPr>
        <w:rPr>
          <w:rFonts w:ascii="Arial" w:cs="Arial" w:eastAsia="Arial" w:hAnsi="Arial"/>
          <w:sz w:val="18"/>
          <w:szCs w:val="18"/>
          <w:color w:val="4D4D4F"/>
        </w:rPr>
      </w:pPr>
      <w:r>
        <w:rPr>
          <w:rFonts w:ascii="Arial" w:cs="Arial" w:eastAsia="Arial" w:hAnsi="Arial"/>
          <w:sz w:val="18"/>
          <w:szCs w:val="18"/>
          <w:color w:val="4D4D4F"/>
        </w:rPr>
        <w:t>increase the aggregate number of shares of Class B common stock, or Class B Common, that we are authorized to issue from 2,409,738 to 5,307,816, with all of the authorized but unissued shares of Class B Common being available for issuance only as dividends on outstanding shares of Class B Common.</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 xml:space="preserve">The Charter Amendment would also remove a now-obsolete provision related to the automatic conversion of Class B Common into Class A Common. Under the dual class structure of common stock created in our certificate of incorporation, Class A Common has one vote per share and Class B Common has twenty votes per share. Class B Common is convertible into Class A Common in circumstances specified in our certificate of incorporation. The terms of our certificate of incorporation currently state that all outstanding shares of Class B Common would convert automatically into shares of Class A Common, on a one for one basis, upon the first December 31 occurring in or after 2022 as of which the “October Market Cap” (as defined) for the immediately preceding month of October exceeds $1.0 billion, </w:t>
      </w:r>
      <w:r>
        <w:rPr>
          <w:rFonts w:ascii="Arial" w:cs="Arial" w:eastAsia="Arial" w:hAnsi="Arial"/>
          <w:sz w:val="18"/>
          <w:szCs w:val="18"/>
          <w:i w:val="1"/>
          <w:iCs w:val="1"/>
          <w:color w:val="4D4D4F"/>
        </w:rPr>
        <w:t>provided</w:t>
      </w:r>
      <w:r>
        <w:rPr>
          <w:rFonts w:ascii="Arial" w:cs="Arial" w:eastAsia="Arial" w:hAnsi="Arial"/>
          <w:sz w:val="18"/>
          <w:szCs w:val="18"/>
          <w:color w:val="4D4D4F"/>
        </w:rPr>
        <w:t xml:space="preserve"> that no such automatic conversion will ever occur if the October Market Cap for the month of October in any year from 2018 through 2021 exceeds $1.0 billion. For these purposes, the “October Market Cap” was $1.2 billion as of October 2020, and as a result, no automatic conversion of Class B Common into Class A Common will ever occur under the above-described provisions. The Charter Amendment, if approved, would remove this now-obsolete provision for simplicity and clarity.</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D4D4F"/>
        </w:rPr>
        <w:t>As of April 8, 2021, the record date for the Annual Meeting, 17,263,562 shares of Class A Common and 1,769,272 shares of Class B Common were outstanding. As of such date, (a) 3,782,942 shares of Class A Common were reserved for issuance pursuant to outstanding options, (b) an additional 2,338,272 shares of Class A Common were reserved for issuance under our 2016 Omnibus Incentive Plan, (c) 242,681 shares of Class A Common were reserved for issuance pursuant to an outstanding warrant, and (d) 1,769,272 shares of Class A Common were reserved for issuance upon conversion of Class B Common. Accordingly, we currently have only approximately 1,220,531 shares of Class A Common that are available for future issuance (other than in accordance with outstanding securities and plans). Under our certificate of incorporation , no authorized but unissued shares of Class B Stock may be issued for any purpose.</w:t>
      </w:r>
    </w:p>
    <w:p>
      <w:pPr>
        <w:spacing w:after="0" w:line="33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4D4D4F"/>
        </w:rPr>
        <w:t xml:space="preserve">The full text of the Charter Amendment, marked to show the proposed deletions and insertions, is set forth in Appendix A to this Proxy Statement. </w:t>
      </w:r>
      <w:r>
        <w:rPr>
          <w:rFonts w:ascii="Arial" w:cs="Arial" w:eastAsia="Arial" w:hAnsi="Arial"/>
          <w:sz w:val="18"/>
          <w:szCs w:val="18"/>
          <w:color w:val="4D4D4F"/>
        </w:rPr>
        <w:t>The general description of provisions of our certificate of incorporation and the Charter Amendment set forth herein are qualified</w:t>
      </w:r>
      <w:r>
        <w:rPr>
          <w:rFonts w:ascii="Arial" w:cs="Arial" w:eastAsia="Arial" w:hAnsi="Arial"/>
          <w:sz w:val="18"/>
          <w:szCs w:val="18"/>
          <w:i w:val="1"/>
          <w:iCs w:val="1"/>
          <w:color w:val="4D4D4F"/>
        </w:rPr>
        <w:t xml:space="preserve"> </w:t>
      </w:r>
      <w:r>
        <w:rPr>
          <w:rFonts w:ascii="Arial" w:cs="Arial" w:eastAsia="Arial" w:hAnsi="Arial"/>
          <w:sz w:val="18"/>
          <w:szCs w:val="18"/>
          <w:color w:val="4D4D4F"/>
        </w:rPr>
        <w:t xml:space="preserve">in their entirety by reference to the text of </w:t>
      </w:r>
      <w:r>
        <w:rPr>
          <w:rFonts w:ascii="Arial" w:cs="Arial" w:eastAsia="Arial" w:hAnsi="Arial"/>
          <w:sz w:val="18"/>
          <w:szCs w:val="18"/>
          <w:i w:val="1"/>
          <w:iCs w:val="1"/>
          <w:color w:val="4D4D4F"/>
        </w:rPr>
        <w:t>Appendix A</w:t>
      </w:r>
      <w:r>
        <w:rPr>
          <w:rFonts w:ascii="Arial" w:cs="Arial" w:eastAsia="Arial" w:hAnsi="Arial"/>
          <w:sz w:val="18"/>
          <w:szCs w:val="18"/>
          <w:color w:val="4D4D4F"/>
        </w:rPr>
        <w:t>. If stockholders approve the Charter Amendment, we will file a Certificate of Amendment that includes only those amendments that were approved by the stockholders with the Secretary of State of the State of Delaware following the Annual Meeting. The Certificate of Amendment will become effective upon acceptance of the filing by the Secretary of State of the State of Delaware.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Purpose and Effect of Authorized Share Increases</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D4D4F"/>
        </w:rPr>
        <w:t>The principal purpose of the Charter Amendment is to increase the total number of shares of Class A Common that we are authorized to issue from 50,000,000 to 150,000,000, with 60,000,000 shares of Class A Common to be reserved for issuance exclusively in connection with dividends on Class A Common, and to increase the total number of shares of Class B Common that we are authorized to issue from 2,409,738 to 5,307,816, with all authorized but unissued shares of Class B Common to be reserved for issuance only in connection with dividends on Class B Common. As a result, the number of shares of common stock authorized for issuance would increase from an aggregate of 52,409,738 shares of common stock to 155,307,816 shares of common stock.</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4D4D4F"/>
        </w:rPr>
        <w:t>We do not believe that the number of currently authorized shares of Class A Common available for future issuance provides us with the necessary flexibility to be able to continue to grow our company and operations in 2021 and future years. The board of directors believes that the proposed Charter Amendment is advisable and in the best interests of our company and stockholders in order to maintain our flexibility in considering and planning for future corporate needs in today’s competitive and fast-changing environment. Additionally, we believe that an increase in the number of authorized shares of Class A Common will give us greater flexibility in the future by allowing us to take any one or a combination of the following general corporate initiatives to support our growth plans:</w:t>
      </w:r>
    </w:p>
    <w:p>
      <w:pPr>
        <w:spacing w:after="0" w:line="52"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4D4D4F"/>
        </w:rPr>
      </w:pPr>
      <w:r>
        <w:rPr>
          <w:rFonts w:ascii="Arial" w:cs="Arial" w:eastAsia="Arial" w:hAnsi="Arial"/>
          <w:sz w:val="18"/>
          <w:szCs w:val="18"/>
          <w:color w:val="4D4D4F"/>
        </w:rPr>
        <w:t>issue share dividends on our Class A and Class B Common;</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68"/>
        </w:numPr>
        <w:rPr>
          <w:rFonts w:ascii="Arial" w:cs="Arial" w:eastAsia="Arial" w:hAnsi="Arial"/>
          <w:sz w:val="18"/>
          <w:szCs w:val="18"/>
          <w:color w:val="4D4D4F"/>
        </w:rPr>
      </w:pPr>
      <w:r>
        <w:rPr>
          <w:rFonts w:ascii="Arial" w:cs="Arial" w:eastAsia="Arial" w:hAnsi="Arial"/>
          <w:sz w:val="18"/>
          <w:szCs w:val="18"/>
          <w:color w:val="4D4D4F"/>
        </w:rPr>
        <w:t>raise additional capital through Class A Common offerings;</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68"/>
        </w:numPr>
        <w:rPr>
          <w:rFonts w:ascii="Arial" w:cs="Arial" w:eastAsia="Arial" w:hAnsi="Arial"/>
          <w:sz w:val="18"/>
          <w:szCs w:val="18"/>
          <w:color w:val="4D4D4F"/>
        </w:rPr>
      </w:pPr>
      <w:r>
        <w:rPr>
          <w:rFonts w:ascii="Arial" w:cs="Arial" w:eastAsia="Arial" w:hAnsi="Arial"/>
          <w:sz w:val="18"/>
          <w:szCs w:val="18"/>
          <w:color w:val="4D4D4F"/>
        </w:rPr>
        <w:t>provide equity incentives to attract or retain employees, officers, or directors;</w:t>
      </w:r>
    </w:p>
    <w:p>
      <w:pPr>
        <w:spacing w:after="0" w:line="90"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68"/>
        </w:numPr>
        <w:rPr>
          <w:rFonts w:ascii="Arial" w:cs="Arial" w:eastAsia="Arial" w:hAnsi="Arial"/>
          <w:sz w:val="18"/>
          <w:szCs w:val="18"/>
          <w:color w:val="4D4D4F"/>
        </w:rPr>
      </w:pPr>
      <w:r>
        <w:rPr>
          <w:rFonts w:ascii="Arial" w:cs="Arial" w:eastAsia="Arial" w:hAnsi="Arial"/>
          <w:sz w:val="18"/>
          <w:szCs w:val="18"/>
          <w:color w:val="4D4D4F"/>
        </w:rPr>
        <w:t>acquire businesses, technologies, product franchises, or other assets through acquisition activity using Class A Common as consideration; or</w:t>
      </w:r>
    </w:p>
    <w:p>
      <w:pPr>
        <w:spacing w:after="0" w:line="61" w:lineRule="exact"/>
        <w:rPr>
          <w:rFonts w:ascii="Arial" w:cs="Arial" w:eastAsia="Arial" w:hAnsi="Arial"/>
          <w:sz w:val="18"/>
          <w:szCs w:val="18"/>
          <w:color w:val="4D4D4F"/>
        </w:rPr>
      </w:pPr>
    </w:p>
    <w:p>
      <w:pPr>
        <w:ind w:left="340" w:hanging="332"/>
        <w:spacing w:after="0"/>
        <w:tabs>
          <w:tab w:leader="none" w:pos="340" w:val="left"/>
        </w:tabs>
        <w:numPr>
          <w:ilvl w:val="0"/>
          <w:numId w:val="68"/>
        </w:numPr>
        <w:rPr>
          <w:rFonts w:ascii="Arial" w:cs="Arial" w:eastAsia="Arial" w:hAnsi="Arial"/>
          <w:sz w:val="18"/>
          <w:szCs w:val="18"/>
          <w:color w:val="4D4D4F"/>
        </w:rPr>
      </w:pPr>
      <w:r>
        <w:rPr>
          <w:rFonts w:ascii="Arial" w:cs="Arial" w:eastAsia="Arial" w:hAnsi="Arial"/>
          <w:sz w:val="18"/>
          <w:szCs w:val="18"/>
          <w:color w:val="4D4D4F"/>
        </w:rPr>
        <w:t>issue Class A Common for other corporate purposes.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Without an increase in the number of authorized shares of Class A Common, the number of remaining shares of Class A Common may be insufficient to complete one or more of the above transactions when and if the board deems it advisable and in the best interests of our company and stockholders to do so. We believe that having the additional authorized shares of Class A Common available for issuance, upon approval of the board, will be beneficial to our company and stockholders by allowing us to promptly consider and respond to future business opportunities as they arise, including in relation to acquisition opportunities. Due to market, industry and other factors, the delay involved in calling and holding a stockholder meeting to approve an increase in authorized shares at the time a business opportunity presents itself may prevent us from timely pursuing that opportunity, or may significantly adversely affect the economic or strategic value of that opportunity.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4D4D4F"/>
        </w:rPr>
        <w:t>We currently have no specific plans, arrangements, or understandings to issue additional shares of Class A Common, except for issuances</w:t>
      </w:r>
    </w:p>
    <w:p>
      <w:pPr>
        <w:ind w:firstLine="8"/>
        <w:spacing w:after="0" w:line="246" w:lineRule="auto"/>
        <w:tabs>
          <w:tab w:leader="none" w:pos="219" w:val="left"/>
        </w:tabs>
        <w:numPr>
          <w:ilvl w:val="0"/>
          <w:numId w:val="69"/>
        </w:numPr>
        <w:rPr>
          <w:rFonts w:ascii="Arial" w:cs="Arial" w:eastAsia="Arial" w:hAnsi="Arial"/>
          <w:sz w:val="18"/>
          <w:szCs w:val="18"/>
          <w:color w:val="4D4D4F"/>
        </w:rPr>
      </w:pPr>
      <w:r>
        <w:rPr>
          <w:rFonts w:ascii="Arial" w:cs="Arial" w:eastAsia="Arial" w:hAnsi="Arial"/>
          <w:sz w:val="18"/>
          <w:szCs w:val="18"/>
          <w:color w:val="4D4D4F"/>
        </w:rPr>
        <w:t xml:space="preserve">pursuant to the exercise of outstanding options to purchase shares of Class A Common, (ii) under the 2016 Omnibus Incentive Plan, (iii) </w:t>
      </w:r>
      <w:r>
        <w:rPr>
          <w:rFonts w:ascii="Arial" w:cs="Arial" w:eastAsia="Arial" w:hAnsi="Arial"/>
          <w:sz w:val="18"/>
          <w:szCs w:val="18"/>
          <w:color w:val="000000"/>
        </w:rPr>
        <w:t xml:space="preserve">pursuant to the exercise of an outstanding warrant, and (iv) </w:t>
      </w:r>
      <w:r>
        <w:rPr>
          <w:rFonts w:ascii="Arial" w:cs="Arial" w:eastAsia="Arial" w:hAnsi="Arial"/>
          <w:sz w:val="18"/>
          <w:szCs w:val="18"/>
          <w:color w:val="4D4D4F"/>
        </w:rPr>
        <w:t>upon conversion of Class B Common.</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While we have allocated shares of Class A Common to be reserved for use exclusively in connection with dividends on Class A Common and all of the authorized but unissued shares of Class B Common to be reserved for use only in connection with dividends on Class B Common, we currently have no specific plans, arrangements or understandings to issue a stock dividend. We continually evaluate our capital structure and may consider a stock dividend if, among other things, market conditions are favorable or there is a favorable business opportunity for the company.</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proposed Charter Amendment will not affect the rights of existing stockholders of Class A Common or Class B Common, except to the extent that future issuances of common stock (which, in the case of Class B Common, would be limited to dividends on Class B Common), including the additional shares that would be authorized if the proposed Charter Amendment is approved, may dilute the current equity ownership position of current holders of common stock and may be made without further stockholder approval, unless otherwise required by applicable laws or stock exchange regulations.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Although the board is motivated by business and financial considerations in proposing this Charter Amendment, stockholders should be aware that the Charter Amendment could be viewed as an anti-takeover provision. This proposed Charter Amendment, if approved, might discourage an attempt by a third party to gain control of us by acquiring a substantial number of shares of Class A Common in order to complete a merger, sale of all or any part of our assets, or similar transactions, because the issuance of new shares could be used to dilute the stock ownership of that third party.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Any newly authorized shares of Class A Common and Class B Common that would be authorized by the approval of this proposed Charter Amendment will be equal in rank and have the same voting, dividend and liquidation rights to the shares of Class A Common and Class B Common, respectively, now outstanding. If the proposed Charter Amendment is approved, it will become effective upon the filing of a certificate of amendment to our certificate of incorporation with the Secretary of State of the State of Delaware.</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Currently, our certificate of incorporation authorizes us to issue 10,000,000 shares of preferred stock. No other class of capital stock of the company is authorized. We are not proposing, and the proposed Charter Amendment will not result in, any change to our authorized preferred stock.</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79C0"/>
        </w:rPr>
        <w:t>FOR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79C0"/>
        </w:rPr>
        <w:t>the amendment to our certificate of incorporation.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57175" cy="27432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175" cy="274320"/>
                    </a:xfrm>
                    <a:prstGeom prst="rect">
                      <a:avLst/>
                    </a:prstGeom>
                    <a:noFill/>
                    <a:ln>
                      <a:noFill/>
                    </a:ln>
                  </pic:spPr>
                </pic:pic>
              </a:graphicData>
            </a:graphic>
          </wp:inline>
        </w:drawing>
      </w:r>
      <w:r>
        <w:rPr>
          <w:rFonts w:ascii="Arial" w:cs="Arial" w:eastAsia="Arial" w:hAnsi="Arial"/>
          <w:sz w:val="25"/>
          <w:szCs w:val="25"/>
          <w:b w:val="1"/>
          <w:bCs w:val="1"/>
          <w:color w:val="003E64"/>
        </w:rPr>
        <w:t xml:space="preserve"> — Ratification of Appointment of Independent Auditor for 2021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Appointment of Independent Auditor by Audit Committee</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The audit committee annually evaluates the performance of our independent auditor, including the senior audit engagement team, and determines whether to reengage the current independent auditor or consider other audit firms.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4D4D4F"/>
        </w:rPr>
        <w:t>This year the audit committee has approved the retention of BDO China Shu Lun Pan Certified Public Accountants LLP, or BDO, as our independent auditor to report on our consolidated financial statements and the effectiveness of our internal control over financial reporting for the year ending December 31, 2021. Factors considered by the audit committee in deciding whether to retain BDO included:</w:t>
      </w:r>
    </w:p>
    <w:p>
      <w:pPr>
        <w:spacing w:after="0" w:line="81"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4D4D4F"/>
        </w:rPr>
      </w:pPr>
      <w:r>
        <w:rPr>
          <w:rFonts w:ascii="Arial" w:cs="Arial" w:eastAsia="Arial" w:hAnsi="Arial"/>
          <w:sz w:val="18"/>
          <w:szCs w:val="18"/>
          <w:color w:val="4D4D4F"/>
        </w:rPr>
        <w:t>BDO’s global capabilities;</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70"/>
        </w:numPr>
        <w:rPr>
          <w:rFonts w:ascii="Arial" w:cs="Arial" w:eastAsia="Arial" w:hAnsi="Arial"/>
          <w:sz w:val="18"/>
          <w:szCs w:val="18"/>
          <w:color w:val="4D4D4F"/>
        </w:rPr>
      </w:pPr>
      <w:r>
        <w:rPr>
          <w:rFonts w:ascii="Arial" w:cs="Arial" w:eastAsia="Arial" w:hAnsi="Arial"/>
          <w:sz w:val="18"/>
          <w:szCs w:val="18"/>
          <w:color w:val="4D4D4F"/>
        </w:rPr>
        <w:t>BDO’s technical expertise and knowledge of our global operations and industry;</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70"/>
        </w:numPr>
        <w:rPr>
          <w:rFonts w:ascii="Arial" w:cs="Arial" w:eastAsia="Arial" w:hAnsi="Arial"/>
          <w:sz w:val="18"/>
          <w:szCs w:val="18"/>
          <w:color w:val="4D4D4F"/>
        </w:rPr>
      </w:pPr>
      <w:r>
        <w:rPr>
          <w:rFonts w:ascii="Arial" w:cs="Arial" w:eastAsia="Arial" w:hAnsi="Arial"/>
          <w:sz w:val="18"/>
          <w:szCs w:val="18"/>
          <w:color w:val="4D4D4F"/>
        </w:rPr>
        <w:t>the quality and candor of BDO’s communications with the audit committee and management;</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70"/>
        </w:numPr>
        <w:rPr>
          <w:rFonts w:ascii="Arial" w:cs="Arial" w:eastAsia="Arial" w:hAnsi="Arial"/>
          <w:sz w:val="18"/>
          <w:szCs w:val="18"/>
          <w:color w:val="4D4D4F"/>
        </w:rPr>
      </w:pPr>
      <w:r>
        <w:rPr>
          <w:rFonts w:ascii="Arial" w:cs="Arial" w:eastAsia="Arial" w:hAnsi="Arial"/>
          <w:sz w:val="18"/>
          <w:szCs w:val="18"/>
          <w:color w:val="4D4D4F"/>
        </w:rPr>
        <w:t>the quality and efficiency of the services provided by BDO, including input from management on BDO’s performance;</w:t>
      </w:r>
    </w:p>
    <w:p>
      <w:pPr>
        <w:spacing w:after="0" w:line="76" w:lineRule="exact"/>
        <w:rPr>
          <w:rFonts w:ascii="Arial" w:cs="Arial" w:eastAsia="Arial" w:hAnsi="Arial"/>
          <w:sz w:val="18"/>
          <w:szCs w:val="18"/>
          <w:color w:val="4D4D4F"/>
        </w:rPr>
      </w:pPr>
    </w:p>
    <w:p>
      <w:pPr>
        <w:ind w:left="340" w:hanging="332"/>
        <w:spacing w:after="0"/>
        <w:tabs>
          <w:tab w:leader="none" w:pos="340" w:val="left"/>
        </w:tabs>
        <w:numPr>
          <w:ilvl w:val="0"/>
          <w:numId w:val="70"/>
        </w:numPr>
        <w:rPr>
          <w:rFonts w:ascii="Arial" w:cs="Arial" w:eastAsia="Arial" w:hAnsi="Arial"/>
          <w:sz w:val="18"/>
          <w:szCs w:val="18"/>
          <w:color w:val="4D4D4F"/>
        </w:rPr>
      </w:pPr>
      <w:r>
        <w:rPr>
          <w:rFonts w:ascii="Arial" w:cs="Arial" w:eastAsia="Arial" w:hAnsi="Arial"/>
          <w:sz w:val="18"/>
          <w:szCs w:val="18"/>
          <w:color w:val="4D4D4F"/>
        </w:rPr>
        <w:t>BDO’s objectivity and professional skepticism;</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70"/>
        </w:numPr>
        <w:rPr>
          <w:rFonts w:ascii="Arial" w:cs="Arial" w:eastAsia="Arial" w:hAnsi="Arial"/>
          <w:sz w:val="18"/>
          <w:szCs w:val="18"/>
          <w:color w:val="4D4D4F"/>
        </w:rPr>
      </w:pPr>
      <w:r>
        <w:rPr>
          <w:rFonts w:ascii="Arial" w:cs="Arial" w:eastAsia="Arial" w:hAnsi="Arial"/>
          <w:sz w:val="18"/>
          <w:szCs w:val="18"/>
          <w:color w:val="4D4D4F"/>
        </w:rPr>
        <w:t>external data on audit quality and performance ;</w:t>
      </w:r>
    </w:p>
    <w:p>
      <w:pPr>
        <w:spacing w:after="0" w:line="90" w:lineRule="exact"/>
        <w:rPr>
          <w:rFonts w:ascii="Arial" w:cs="Arial" w:eastAsia="Arial" w:hAnsi="Arial"/>
          <w:sz w:val="18"/>
          <w:szCs w:val="18"/>
          <w:color w:val="4D4D4F"/>
        </w:rPr>
      </w:pPr>
    </w:p>
    <w:p>
      <w:pPr>
        <w:ind w:left="340" w:hanging="332"/>
        <w:spacing w:after="0"/>
        <w:tabs>
          <w:tab w:leader="none" w:pos="340" w:val="left"/>
        </w:tabs>
        <w:numPr>
          <w:ilvl w:val="0"/>
          <w:numId w:val="70"/>
        </w:numPr>
        <w:rPr>
          <w:rFonts w:ascii="Arial" w:cs="Arial" w:eastAsia="Arial" w:hAnsi="Arial"/>
          <w:sz w:val="18"/>
          <w:szCs w:val="18"/>
          <w:color w:val="4D4D4F"/>
        </w:rPr>
      </w:pPr>
      <w:r>
        <w:rPr>
          <w:rFonts w:ascii="Arial" w:cs="Arial" w:eastAsia="Arial" w:hAnsi="Arial"/>
          <w:sz w:val="18"/>
          <w:szCs w:val="18"/>
          <w:color w:val="4D4D4F"/>
        </w:rPr>
        <w:t>BDO’s use of technology to aid in audit efficiency;</w:t>
      </w:r>
    </w:p>
    <w:p>
      <w:pPr>
        <w:spacing w:after="0" w:line="76"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70"/>
        </w:numPr>
        <w:rPr>
          <w:rFonts w:ascii="Arial" w:cs="Arial" w:eastAsia="Arial" w:hAnsi="Arial"/>
          <w:sz w:val="18"/>
          <w:szCs w:val="18"/>
          <w:color w:val="4D4D4F"/>
        </w:rPr>
      </w:pPr>
      <w:r>
        <w:rPr>
          <w:rFonts w:ascii="Arial" w:cs="Arial" w:eastAsia="Arial" w:hAnsi="Arial"/>
          <w:sz w:val="18"/>
          <w:szCs w:val="18"/>
          <w:color w:val="4D4D4F"/>
        </w:rPr>
        <w:t>BDO’s independence, how effectively BDO demonstrated its independent judgment, and the controls and processes in place that help ensure BDO’s independence;</w:t>
      </w:r>
    </w:p>
    <w:p>
      <w:pPr>
        <w:spacing w:after="0" w:line="75" w:lineRule="exact"/>
        <w:rPr>
          <w:rFonts w:ascii="Arial" w:cs="Arial" w:eastAsia="Arial" w:hAnsi="Arial"/>
          <w:sz w:val="18"/>
          <w:szCs w:val="18"/>
          <w:color w:val="4D4D4F"/>
        </w:rPr>
      </w:pPr>
    </w:p>
    <w:p>
      <w:pPr>
        <w:ind w:left="340" w:hanging="332"/>
        <w:spacing w:after="0"/>
        <w:tabs>
          <w:tab w:leader="none" w:pos="340" w:val="left"/>
        </w:tabs>
        <w:numPr>
          <w:ilvl w:val="0"/>
          <w:numId w:val="70"/>
        </w:numPr>
        <w:rPr>
          <w:rFonts w:ascii="Arial" w:cs="Arial" w:eastAsia="Arial" w:hAnsi="Arial"/>
          <w:sz w:val="18"/>
          <w:szCs w:val="18"/>
          <w:color w:val="4D4D4F"/>
        </w:rPr>
      </w:pPr>
      <w:r>
        <w:rPr>
          <w:rFonts w:ascii="Arial" w:cs="Arial" w:eastAsia="Arial" w:hAnsi="Arial"/>
          <w:sz w:val="18"/>
          <w:szCs w:val="18"/>
          <w:color w:val="4D4D4F"/>
        </w:rPr>
        <w:t>the appropriateness of BDO’s fees; and</w:t>
      </w:r>
    </w:p>
    <w:p>
      <w:pPr>
        <w:spacing w:after="0" w:line="90" w:lineRule="exact"/>
        <w:rPr>
          <w:rFonts w:ascii="Arial" w:cs="Arial" w:eastAsia="Arial" w:hAnsi="Arial"/>
          <w:sz w:val="18"/>
          <w:szCs w:val="18"/>
          <w:color w:val="4D4D4F"/>
        </w:rPr>
      </w:pPr>
    </w:p>
    <w:p>
      <w:pPr>
        <w:jc w:val="both"/>
        <w:ind w:left="340" w:hanging="332"/>
        <w:spacing w:after="0"/>
        <w:tabs>
          <w:tab w:leader="none" w:pos="340" w:val="left"/>
        </w:tabs>
        <w:numPr>
          <w:ilvl w:val="0"/>
          <w:numId w:val="70"/>
        </w:numPr>
        <w:rPr>
          <w:rFonts w:ascii="Arial" w:cs="Arial" w:eastAsia="Arial" w:hAnsi="Arial"/>
          <w:sz w:val="18"/>
          <w:szCs w:val="18"/>
          <w:color w:val="4D4D4F"/>
        </w:rPr>
      </w:pPr>
      <w:r>
        <w:rPr>
          <w:rFonts w:ascii="Arial" w:cs="Arial" w:eastAsia="Arial" w:hAnsi="Arial"/>
          <w:sz w:val="18"/>
          <w:szCs w:val="18"/>
          <w:color w:val="4D4D4F"/>
        </w:rPr>
        <w:t>the potential impact of proposed legislation and exchange regulations regarding audits by an accounting firm, such as BDO, with a branch or office located in a foreign jurisdiction, such as the PRC, that the Public Company Accounting Oversight Board is unable to inspect or investigate due to a position taken by an authority in the foreign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Proposed Ratification of Independent Auditor</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audit committee is responsible for the appointment, retention, termination, compensation and oversight of the work of our independent registered public accounting firm for the purpose of preparing or issuing an audit report or related work. Although ratification of the appointment of our independent auditor is not required by our bylaws or otherwise, the board of directors is submitting the appointment of BDO to our stockholders for ratification because we value the views of our stockholders.</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The audit committee considers BDO to be well qualified. In the absence of contrary specification, the proxy holders will vote proxies received in response to this solicitation in favor of ratification of the appointment. In the event that stockholders fail to ratify the appointment of BDO, the audit committee will reconsider the appointment of BDO. Even if the appointment is ratified, the ratification is not binding and the audit committee may in its discretion select a different independent auditor at any time during the year if it determines that such a change would be in the best interests of our company and stockholders.</w:t>
      </w:r>
    </w:p>
    <w:p>
      <w:pPr>
        <w:spacing w:after="0" w:line="1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4D4D4F"/>
        </w:rPr>
        <w:t>Representatives of BDO are expected to be present at the Annual Meeting and will have an opportunity to make a statement, if they desire.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FOR</w:t>
      </w:r>
    </w:p>
    <w:p>
      <w:pPr>
        <w:jc w:val="center"/>
        <w:spacing w:after="0"/>
        <w:rPr>
          <w:sz w:val="20"/>
          <w:szCs w:val="20"/>
          <w:color w:val="auto"/>
        </w:rPr>
      </w:pPr>
      <w:r>
        <w:rPr>
          <w:rFonts w:ascii="Arial" w:cs="Arial" w:eastAsia="Arial" w:hAnsi="Arial"/>
          <w:sz w:val="22"/>
          <w:szCs w:val="22"/>
          <w:b w:val="1"/>
          <w:bCs w:val="1"/>
          <w:color w:val="0079C0"/>
        </w:rPr>
        <w:t>the ratification of the appointment of BDO as our independent auditor for 2021.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Accounting Matters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Principal Independent Auditor Fees</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The following table sets forth the aggregate fees billed to us by BDO for professional services rendered for the years ended December 31, 2020 and 2019:</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shd w:val="clear" w:color="auto" w:fill="003E64"/>
          </w:tcPr>
          <w:p>
            <w:pPr>
              <w:spacing w:after="0"/>
              <w:rPr>
                <w:sz w:val="16"/>
                <w:szCs w:val="16"/>
                <w:color w:val="auto"/>
              </w:rPr>
            </w:pPr>
          </w:p>
        </w:tc>
        <w:tc>
          <w:tcPr>
            <w:tcW w:w="4540" w:type="dxa"/>
            <w:vAlign w:val="bottom"/>
            <w:shd w:val="clear" w:color="auto" w:fill="003E64"/>
          </w:tcPr>
          <w:p>
            <w:pPr>
              <w:jc w:val="center"/>
              <w:ind w:left="3335"/>
              <w:spacing w:after="0"/>
              <w:rPr>
                <w:sz w:val="20"/>
                <w:szCs w:val="20"/>
                <w:color w:val="auto"/>
              </w:rPr>
            </w:pPr>
            <w:r>
              <w:rPr>
                <w:rFonts w:ascii="Arial" w:cs="Arial" w:eastAsia="Arial" w:hAnsi="Arial"/>
                <w:sz w:val="14"/>
                <w:szCs w:val="14"/>
                <w:b w:val="1"/>
                <w:bCs w:val="1"/>
                <w:color w:val="FFFFFF"/>
              </w:rPr>
              <w:t>2020</w:t>
            </w:r>
          </w:p>
        </w:tc>
        <w:tc>
          <w:tcPr>
            <w:tcW w:w="1120" w:type="dxa"/>
            <w:vAlign w:val="bottom"/>
            <w:shd w:val="clear" w:color="auto" w:fill="003E64"/>
          </w:tcPr>
          <w:p>
            <w:pPr>
              <w:jc w:val="center"/>
              <w:spacing w:after="0"/>
              <w:rPr>
                <w:sz w:val="20"/>
                <w:szCs w:val="20"/>
                <w:color w:val="auto"/>
              </w:rPr>
            </w:pPr>
            <w:r>
              <w:rPr>
                <w:rFonts w:ascii="Arial" w:cs="Arial" w:eastAsia="Arial" w:hAnsi="Arial"/>
                <w:sz w:val="14"/>
                <w:szCs w:val="14"/>
                <w:b w:val="1"/>
                <w:bCs w:val="1"/>
                <w:color w:val="FFFFFF"/>
              </w:rPr>
              <w:t>2019</w:t>
            </w: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4D4D4F"/>
              </w:rPr>
              <w:t>Audit Fees(1)</w:t>
            </w:r>
          </w:p>
        </w:tc>
        <w:tc>
          <w:tcPr>
            <w:tcW w:w="4540" w:type="dxa"/>
            <w:vAlign w:val="bottom"/>
          </w:tcPr>
          <w:p>
            <w:pPr>
              <w:jc w:val="center"/>
              <w:ind w:left="3335"/>
              <w:spacing w:after="0" w:line="202" w:lineRule="exact"/>
              <w:rPr>
                <w:sz w:val="20"/>
                <w:szCs w:val="20"/>
                <w:color w:val="auto"/>
              </w:rPr>
            </w:pPr>
            <w:r>
              <w:rPr>
                <w:rFonts w:ascii="Arial" w:cs="Arial" w:eastAsia="Arial" w:hAnsi="Arial"/>
                <w:sz w:val="18"/>
                <w:szCs w:val="18"/>
                <w:color w:val="4D4D4F"/>
              </w:rPr>
              <w:t>$479,225</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4D4D4F"/>
              </w:rPr>
              <w:t>$293,725</w:t>
            </w: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4D4D4F"/>
              </w:rPr>
              <w:t>Audit-related Fees(2)</w:t>
            </w:r>
          </w:p>
        </w:tc>
        <w:tc>
          <w:tcPr>
            <w:tcW w:w="4540" w:type="dxa"/>
            <w:vAlign w:val="bottom"/>
            <w:shd w:val="clear" w:color="auto" w:fill="CCEEFF"/>
          </w:tcPr>
          <w:p>
            <w:pPr>
              <w:jc w:val="center"/>
              <w:ind w:left="3335"/>
              <w:spacing w:after="0" w:line="202" w:lineRule="exact"/>
              <w:rPr>
                <w:sz w:val="20"/>
                <w:szCs w:val="20"/>
                <w:color w:val="auto"/>
              </w:rPr>
            </w:pPr>
            <w:r>
              <w:rPr>
                <w:rFonts w:ascii="Arial" w:cs="Arial" w:eastAsia="Arial" w:hAnsi="Arial"/>
                <w:sz w:val="18"/>
                <w:szCs w:val="18"/>
                <w:color w:val="4D4D4F"/>
              </w:rPr>
              <w:t>$410,350</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4D4D4F"/>
              </w:rPr>
              <w:t>$167,120</w:t>
            </w:r>
          </w:p>
        </w:tc>
      </w:tr>
      <w:tr>
        <w:trPr>
          <w:trHeight w:val="283"/>
        </w:trPr>
        <w:tc>
          <w:tcPr>
            <w:tcW w:w="5580" w:type="dxa"/>
            <w:vAlign w:val="bottom"/>
          </w:tcPr>
          <w:p>
            <w:pPr>
              <w:ind w:left="120"/>
              <w:spacing w:after="0"/>
              <w:rPr>
                <w:sz w:val="20"/>
                <w:szCs w:val="20"/>
                <w:color w:val="auto"/>
              </w:rPr>
            </w:pPr>
            <w:r>
              <w:rPr>
                <w:rFonts w:ascii="Arial" w:cs="Arial" w:eastAsia="Arial" w:hAnsi="Arial"/>
                <w:sz w:val="18"/>
                <w:szCs w:val="18"/>
                <w:color w:val="4D4D4F"/>
              </w:rPr>
              <w:t>Total</w:t>
            </w:r>
          </w:p>
        </w:tc>
        <w:tc>
          <w:tcPr>
            <w:tcW w:w="4540" w:type="dxa"/>
            <w:vAlign w:val="bottom"/>
          </w:tcPr>
          <w:p>
            <w:pPr>
              <w:jc w:val="center"/>
              <w:ind w:left="3335"/>
              <w:spacing w:after="0"/>
              <w:rPr>
                <w:sz w:val="20"/>
                <w:szCs w:val="20"/>
                <w:color w:val="auto"/>
              </w:rPr>
            </w:pPr>
            <w:r>
              <w:rPr>
                <w:rFonts w:ascii="Arial" w:cs="Arial" w:eastAsia="Arial" w:hAnsi="Arial"/>
                <w:sz w:val="18"/>
                <w:szCs w:val="18"/>
                <w:color w:val="4D4D4F"/>
              </w:rPr>
              <w:t>$889,575</w:t>
            </w:r>
          </w:p>
        </w:tc>
        <w:tc>
          <w:tcPr>
            <w:tcW w:w="1120" w:type="dxa"/>
            <w:vAlign w:val="bottom"/>
          </w:tcPr>
          <w:p>
            <w:pPr>
              <w:jc w:val="center"/>
              <w:spacing w:after="0"/>
              <w:rPr>
                <w:sz w:val="20"/>
                <w:szCs w:val="20"/>
                <w:color w:val="auto"/>
              </w:rPr>
            </w:pPr>
            <w:r>
              <w:rPr>
                <w:rFonts w:ascii="Arial" w:cs="Arial" w:eastAsia="Arial" w:hAnsi="Arial"/>
                <w:sz w:val="18"/>
                <w:szCs w:val="18"/>
                <w:color w:val="4D4D4F"/>
              </w:rPr>
              <w:t>$463,020</w:t>
            </w:r>
          </w:p>
        </w:tc>
      </w:tr>
    </w:tbl>
    <w:p>
      <w:pPr>
        <w:spacing w:after="0" w:line="5" w:lineRule="exact"/>
        <w:rPr>
          <w:sz w:val="20"/>
          <w:szCs w:val="20"/>
          <w:color w:val="auto"/>
        </w:rPr>
      </w:pPr>
    </w:p>
    <w:p>
      <w:pPr>
        <w:ind w:left="340" w:hanging="332"/>
        <w:spacing w:after="0" w:line="258" w:lineRule="auto"/>
        <w:tabs>
          <w:tab w:leader="none" w:pos="340" w:val="left"/>
        </w:tabs>
        <w:numPr>
          <w:ilvl w:val="0"/>
          <w:numId w:val="71"/>
        </w:numPr>
        <w:rPr>
          <w:rFonts w:ascii="Arial" w:cs="Arial" w:eastAsia="Arial" w:hAnsi="Arial"/>
          <w:sz w:val="14"/>
          <w:szCs w:val="14"/>
          <w:color w:val="4D4D4F"/>
        </w:rPr>
      </w:pPr>
      <w:r>
        <w:rPr>
          <w:rFonts w:ascii="Arial" w:cs="Arial" w:eastAsia="Arial" w:hAnsi="Arial"/>
          <w:sz w:val="14"/>
          <w:szCs w:val="14"/>
          <w:color w:val="4D4D4F"/>
        </w:rPr>
        <w:t>Includes services relating to the audit of the annual consolidated financial statements, review of quarterly consolidated financial statements, statutory audits, comfort letters, and consents and review of documentation filed with SEC-registered and other securities offerings.</w:t>
      </w:r>
    </w:p>
    <w:p>
      <w:pPr>
        <w:spacing w:after="0" w:line="31" w:lineRule="exact"/>
        <w:rPr>
          <w:rFonts w:ascii="Arial" w:cs="Arial" w:eastAsia="Arial" w:hAnsi="Arial"/>
          <w:sz w:val="14"/>
          <w:szCs w:val="14"/>
          <w:color w:val="4D4D4F"/>
        </w:rPr>
      </w:pPr>
    </w:p>
    <w:p>
      <w:pPr>
        <w:ind w:left="340" w:hanging="332"/>
        <w:spacing w:after="0" w:line="258" w:lineRule="auto"/>
        <w:tabs>
          <w:tab w:leader="none" w:pos="340" w:val="left"/>
        </w:tabs>
        <w:numPr>
          <w:ilvl w:val="0"/>
          <w:numId w:val="71"/>
        </w:numPr>
        <w:rPr>
          <w:rFonts w:ascii="Arial" w:cs="Arial" w:eastAsia="Arial" w:hAnsi="Arial"/>
          <w:sz w:val="14"/>
          <w:szCs w:val="14"/>
          <w:color w:val="4D4D4F"/>
        </w:rPr>
      </w:pPr>
      <w:r>
        <w:rPr>
          <w:rFonts w:ascii="Arial" w:cs="Arial" w:eastAsia="Arial" w:hAnsi="Arial"/>
          <w:sz w:val="14"/>
          <w:szCs w:val="14"/>
          <w:color w:val="4D4D4F"/>
        </w:rPr>
        <w:t>Includes services relating to the audit of the financial statements of ACM Shanghai in connection with its proposed initial public offering on the Shanghai Stock Exchange’s Sci-Tech innovAtion boaRd.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Audit Committee Pre-Approval Policies and Procedures</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9C0"/>
        </w:rPr>
        <w:t>Report of the Audit Committee</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 xml:space="preserve">The Audit Committee of the Board of Directors consists entirely of members who meet the independence requirements of the listing standards of Nasdaq and the rules and regulations of the SEC, as determined by the board. The Audit Committee is responsible for providing independent, objective oversight of the financial reporting processes and internal controls of ACM Research, Inc., or ACM. The Audit Committee operates under a written charter approved by the board. A copy of the current charter is available at </w:t>
      </w:r>
      <w:r>
        <w:rPr>
          <w:rFonts w:ascii="Arial" w:cs="Arial" w:eastAsia="Arial" w:hAnsi="Arial"/>
          <w:sz w:val="18"/>
          <w:szCs w:val="18"/>
          <w:i w:val="1"/>
          <w:iCs w:val="1"/>
          <w:color w:val="4D4D4F"/>
        </w:rPr>
        <w:t>media.corporate-ir.net/media_files/IROL/25/254659/acm-ac-charter-final.pdf</w:t>
      </w:r>
      <w:r>
        <w:rPr>
          <w:rFonts w:ascii="Arial" w:cs="Arial" w:eastAsia="Arial" w:hAnsi="Arial"/>
          <w:sz w:val="18"/>
          <w:szCs w:val="18"/>
          <w:color w:val="4D4D4F"/>
        </w:rPr>
        <w:t>.</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Management is responsible for ACM’s system of internal control and financial reporting processes, for the preparation of consolidated financial statements in accordance with U.S. generally accepted accounting principles and for the annual report on ACM’s internal control over financial reporting. The independent auditor is responsible for performing an independent audit of ACM’s consolidated financial statements in accordance with the standards of the Public Company Accounting Oversight Board, or PCAOB, and for issuing a report on the financial statements and the effectiveness of ACM’s internal control over financial reporting. The Audit Committee’s responsibility is to monitor and oversee these processes. In performing its functions, the Audit Committee acts only in an oversight capacity and necessarily relied on the work and assurances of management, the internal audit group, and the independent auditor. Audit Committee members do not serve as professional accountants or auditors for ACM, and their functions are not intended to duplicate or certify the activities of ACM’s management or independent auditor.</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Consistent with its monitoring and oversight responsibilities, the Audit Committee met with management and BDO Shu Lun Pan, LLC, or BDO, the independent auditor of ACM, to review and discuss the December 31, 2020 audited consolidated financial statements. Management represented that ACM had prepared the consolidated financial statements in accordance with U.S. generally accepted accounting principles. The Audit Committee discussed with BDO the matters required by the PCAOB in accordance with Auditing Standard No. 1301, “Communications with Audit Committees.”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4D4D4F"/>
        </w:rPr>
        <w:t>The Audit Committee received from BDO the written communication that is required by PCAOB Rule 3526, “Communication with Audit Committees Concerning Independence,” and the Audit Committee discussed with BDO that firm’s independence. The Audit Committee also considered whether BDO’s provision of non-audit services and the audit and non-audit fees paid to BDO were compatible with maintaining that firm’s independence. On the basis of these reviews, the Audit Committee determined that BDO has the requisite independence.</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Management completed the documentation, testing and evaluation of ACM’s system of internal control over financial reporting as of December 31, 2020 as required by Section 404 of the Sarbanes-Oxley Act of 2002. The Audit Committee received periodic updates from management and BDO at Audit Committee meetings throughout the year and provided oversight of the process. Prior to filing ACM’s Annual Report on Form 10-K for the fiscal year ended December 31, 2020, or the Form 10-K, with the SEC, the Audit Committee also reviewed management’s report on the effectiveness of ACM’s internal control over financial reporting contained in the Form 10-K, as well as the Report of Independent Registered Public Accounting Firm provided by BDO and also included in the Form 10-K. BDO’s report included in the Form 10-K related to its audit of ACM’s consolidated financial statements.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Based upon the Audit Committee’s discussions with management and BDO and the Audit Committee’s review of the information provided by, and the representations of, management and BDO, the Audit Committee recommended to the board that the audited consolidated financial statements as of and for the year ended December 31, 2020 be included in BDO’s Annual Report on Form 10-K for the year ended December 31, 2020. The Audit Committee selected BDO as ACM’s independent auditor for the fiscal year ending December 31, 2021, and recommended that the selection be submitted for ratification by the stockholders of ACM.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Respectfully submitted by the members of the </w:t>
      </w:r>
      <w:r>
        <w:rPr>
          <w:rFonts w:ascii="Arial" w:cs="Arial" w:eastAsia="Arial" w:hAnsi="Arial"/>
          <w:sz w:val="18"/>
          <w:szCs w:val="18"/>
          <w:color w:val="4D4D4F"/>
        </w:rPr>
        <w:t>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4D4D4F"/>
        </w:rPr>
        <w:t>Tracy Liu (Chair)</w:t>
      </w:r>
    </w:p>
    <w:p>
      <w:pPr>
        <w:spacing w:after="0" w:line="234" w:lineRule="auto"/>
        <w:rPr>
          <w:sz w:val="20"/>
          <w:szCs w:val="20"/>
          <w:color w:val="auto"/>
        </w:rPr>
      </w:pPr>
      <w:r>
        <w:rPr>
          <w:rFonts w:ascii="Arial" w:cs="Arial" w:eastAsia="Arial" w:hAnsi="Arial"/>
          <w:sz w:val="18"/>
          <w:szCs w:val="18"/>
          <w:color w:val="4D4D4F"/>
        </w:rPr>
        <w:t>Haiping Dun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4D4D4F"/>
        </w:rPr>
        <w:t>Yinan Xiang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28"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3E64"/>
        </w:rPr>
        <w:t xml:space="preserve">Proposal </w:t>
      </w:r>
      <w:r>
        <w:rPr>
          <w:sz w:val="1"/>
          <w:szCs w:val="1"/>
          <w:color w:val="auto"/>
        </w:rPr>
        <w:drawing>
          <wp:inline distT="0" distB="0" distL="0" distR="0">
            <wp:extent cx="265430" cy="26606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430" cy="266065"/>
                    </a:xfrm>
                    <a:prstGeom prst="rect">
                      <a:avLst/>
                    </a:prstGeom>
                    <a:noFill/>
                    <a:ln>
                      <a:noFill/>
                    </a:ln>
                  </pic:spPr>
                </pic:pic>
              </a:graphicData>
            </a:graphic>
          </wp:inline>
        </w:drawing>
      </w:r>
      <w:r>
        <w:rPr>
          <w:rFonts w:ascii="Arial" w:cs="Arial" w:eastAsia="Arial" w:hAnsi="Arial"/>
          <w:sz w:val="25"/>
          <w:szCs w:val="25"/>
          <w:b w:val="1"/>
          <w:bCs w:val="1"/>
          <w:color w:val="003E64"/>
        </w:rPr>
        <w:t xml:space="preserve"> — Advisory Vote on 2020 Executive Compensation</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Our stockholders have the opportunity at the Annual Meeting to vote to approve, on a non-binding, advisory basis, the compensation of our NEOs in 2020 as disclosed in this Proxy Statement.</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Our compensation program is intended to provide appropriate and balanced incentives toward achieving our annual and long-term strategic objectives and to create an alignment of interests between our NEOs and stockholders. This approach is intended to motivate our existing NEOs and to attract new executives with the skills and attributes that we need. Please refer to “Executive Compensation” for an overview of the compensation of our NEOs.</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We are asking for stockholder approval of the compensation of our NEOs as disclosed in this Proxy Statement in accordance with SEC rules. Those disclosures include the information in the compensation tables and narrative disclosures included under “Executive Compensation.” This vote is not intended to address any specific item of compensation, but rather the overall compensation of our NEOs and the policies and practices described in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4D4D4F"/>
        </w:rPr>
        <w:t>Accordingly, stockholders are being asked to vote on the following resolution:</w:t>
      </w:r>
    </w:p>
    <w:p>
      <w:pPr>
        <w:spacing w:after="0" w:line="77" w:lineRule="exact"/>
        <w:rPr>
          <w:sz w:val="20"/>
          <w:szCs w:val="20"/>
          <w:color w:val="auto"/>
        </w:rPr>
      </w:pPr>
    </w:p>
    <w:p>
      <w:pPr>
        <w:jc w:val="both"/>
        <w:ind w:left="1460" w:hanging="1133"/>
        <w:spacing w:after="0" w:line="238" w:lineRule="auto"/>
        <w:tabs>
          <w:tab w:leader="none" w:pos="1440" w:val="left"/>
        </w:tabs>
        <w:rPr>
          <w:sz w:val="20"/>
          <w:szCs w:val="20"/>
          <w:color w:val="auto"/>
        </w:rPr>
      </w:pPr>
      <w:r>
        <w:rPr>
          <w:rFonts w:ascii="Arial" w:cs="Arial" w:eastAsia="Arial" w:hAnsi="Arial"/>
          <w:sz w:val="18"/>
          <w:szCs w:val="18"/>
          <w:color w:val="4D4D4F"/>
        </w:rPr>
        <w:t>R</w:t>
      </w:r>
      <w:r>
        <w:rPr>
          <w:rFonts w:ascii="Arial" w:cs="Arial" w:eastAsia="Arial" w:hAnsi="Arial"/>
          <w:sz w:val="12"/>
          <w:szCs w:val="12"/>
          <w:color w:val="4D4D4F"/>
        </w:rPr>
        <w:t>ESOLVED</w:t>
      </w:r>
      <w:r>
        <w:rPr>
          <w:rFonts w:ascii="Arial" w:cs="Arial" w:eastAsia="Arial" w:hAnsi="Arial"/>
          <w:sz w:val="18"/>
          <w:szCs w:val="18"/>
          <w:color w:val="4D4D4F"/>
        </w:rPr>
        <w:t>:</w:t>
      </w:r>
      <w:r>
        <w:rPr>
          <w:sz w:val="20"/>
          <w:szCs w:val="20"/>
          <w:color w:val="auto"/>
        </w:rPr>
        <w:tab/>
      </w:r>
      <w:r>
        <w:rPr>
          <w:rFonts w:ascii="Arial" w:cs="Arial" w:eastAsia="Arial" w:hAnsi="Arial"/>
          <w:sz w:val="18"/>
          <w:szCs w:val="18"/>
          <w:color w:val="4D4D4F"/>
        </w:rPr>
        <w:t>That the stockholders approve the compensation paid to the “named executive officers” of ACM Research, Inc. with respect to the fiscal year ended December 31, 2020, as disclosed, pursuant to Item 402 of Regulation S-K promulgated by the Securities and Exchange Commission, in the Proxy Statement for the 2021 Annual Meeting of Stockholders, including the compensation tables and narrative discussion set forth under “Executive Compensation” therein.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This vote is advisory and not binding on us, the board of directors or the compensation committee. The board and the compensation committee value the opinions of our stockholders, however, and to the extent there is any significant vote against the NEO compensation disclosed in this Proxy Statement, we will consider our stockholders concerns and the compensation committee will evaluate whether any actions are necessary or appropriate to address those concerns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The board of directors recommends a vote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the approval of the compensation paid to our named executive oﬃcers with respect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as disclosed in the compensation tables and narrative discussion set forth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“Executive Compensation” and elsewhere in the Proxy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Stockholder Proposals for 2022 Annual Meeting</w:t>
      </w:r>
    </w:p>
    <w:p>
      <w:pPr>
        <w:spacing w:after="0" w:line="3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D4D4F"/>
        </w:rPr>
        <w:t>In order for stockholder proposals for the 2022 Annual Meeting of Stockholders to be eligible for inclusion in the proxy statement and form of proxy card for that meeting, we must receive the proposals at our corporate headquarters, 42307 Osgood Road, Suite I, Fremont, California 94539, directed to the attention of our Corporate Secretary, no later than December 24, 2021. In addition, all proposals will need to comply with Rule 14a-8 of the Securities Exchange Act, which sets forth the requirements for the inclusion of stockholder proposals in our sponsored proxy materials.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4D4D4F"/>
        </w:rPr>
        <w:t xml:space="preserve">Our bylaws set forth the procedures you must follow in order to nominate a director for election or present any other proposal at an annual meeting of our stockholders, other than proposals intended to be included in our sponsored proxy materials. In addition to any other applicable requirements, for a stockholder to properly bring business before the 2022 Annual Meeting of Stockholders, the stockholder must give us notice thereof in proper written form, including all required information, at our corporate headquarters, 42307 Osgood Road, Suite I, Fremont, California 94539, directed to the attention of our Corporate Secretary, no later than the close of business on March 4, 2022, nor earlier than the close of business on February 2, 2022. A copy of our bylaws is available at </w:t>
      </w:r>
      <w:r>
        <w:rPr>
          <w:rFonts w:ascii="Arial" w:cs="Arial" w:eastAsia="Arial" w:hAnsi="Arial"/>
          <w:sz w:val="18"/>
          <w:szCs w:val="18"/>
          <w:i w:val="1"/>
          <w:iCs w:val="1"/>
          <w:color w:val="4D4D4F"/>
        </w:rPr>
        <w:t>sec.gov/Archives/edgar/data/1680062/000119312517342650/d407541dex302.htm.</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Delivery of Documents to Security Holders Sharing an Address</w:t>
      </w: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4D4D4F"/>
        </w:rPr>
        <w:t xml:space="preserve">SEC rules permit us to deliver one copy of the proxy materials, or one Notice of Internet Availability, to two or more stockholders who share an address, unless we have received contrary instructions from one or more of the stockholders. This delivery method, which is known as “householding,” can reduce our expenses for printing and mailing. Any stockholder of record at a shared address to which a single copy of the proxy materials or Notice of Internet Availability, was delivered may request a separate copy of the proxy materials, or Notice of Internet Availability, as applicable, by (a) sending a letter to Shareholder Services at ACM Research, Inc., 42307 Osgood Road, Suite I, Fremont, California 94539, to the attention of our Corporate Secretary, or (b) sending us an email at </w:t>
      </w:r>
      <w:r>
        <w:rPr>
          <w:rFonts w:ascii="Arial" w:cs="Arial" w:eastAsia="Arial" w:hAnsi="Arial"/>
          <w:sz w:val="18"/>
          <w:szCs w:val="18"/>
          <w:i w:val="1"/>
          <w:iCs w:val="1"/>
          <w:color w:val="4D4D4F"/>
        </w:rPr>
        <w:t>investor.relations@acmrcsh.com</w:t>
      </w:r>
      <w:r>
        <w:rPr>
          <w:rFonts w:ascii="Arial" w:cs="Arial" w:eastAsia="Arial" w:hAnsi="Arial"/>
          <w:sz w:val="18"/>
          <w:szCs w:val="18"/>
          <w:color w:val="4D4D4F"/>
        </w:rPr>
        <w:t>. Stockholders of record who wish to receive separate copies of these documents in the future may also contact us as stated above. Stockholders of record who share an address and receive two or more copies of the proxy materials or Notice of Internet Availability may contact us as stated above to request delivery of a single copy. A stockholder who holds shares in “street name” and who wishes to obtain copies of proxy materials should follow the instructions on the stockholder’s voting instruction form or should contact the holder of record.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Other Matters</w:t>
      </w:r>
    </w:p>
    <w:p>
      <w:pPr>
        <w:spacing w:after="0" w:line="3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4D4D4F"/>
        </w:rPr>
        <w:t>We will pay all expenses of preparing, printing and mailing the Annual Meeting proxy materials, as well as all other expenses of soliciting proxies for the Annual Meeting on behalf of the board of directors.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4D4D4F"/>
        </w:rPr>
        <w:t>Appendix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Proposed Amendments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to Restated Certificate of Incorporation</w:t>
      </w:r>
    </w:p>
    <w:p>
      <w:pPr>
        <w:spacing w:after="0" w:line="215"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4D4D4F"/>
        </w:rPr>
        <w:t>Set forth below is the text of the provisions of our Restated Certificate of Incorporation proposed to be amended by Proposal 2 being considered at the Annual Meeting. Changed text is in bold. Proposed additions are indicated by double underlining, and proposed deletions are indicated by strike</w:t>
      </w:r>
      <w:r>
        <w:rPr>
          <w:rFonts w:ascii="MS PGothic" w:cs="MS PGothic" w:eastAsia="MS PGothic" w:hAnsi="MS PGothic"/>
          <w:sz w:val="18"/>
          <w:szCs w:val="18"/>
          <w:color w:val="4D4D4F"/>
        </w:rPr>
        <w:t>‑</w:t>
      </w:r>
      <w:r>
        <w:rPr>
          <w:rFonts w:ascii="Arial" w:cs="Arial" w:eastAsia="Arial" w:hAnsi="Arial"/>
          <w:sz w:val="18"/>
          <w:szCs w:val="18"/>
          <w:color w:val="4D4D4F"/>
        </w:rPr>
        <w:t>throughs. The full text of our Restated Certificate of Incorporation is available at: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D4D4F"/>
        </w:rPr>
        <w:t>https://www.sec.gov/Archives/edgar/data/1680062/000119312517342650/d407541dex301.htm</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Proposed Amendment to the First Paragraph of Article III of the Restated Certificate of Incorporation</w:t>
      </w:r>
    </w:p>
    <w:p>
      <w:pPr>
        <w:spacing w:after="0" w:line="198"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1F497D"/>
        </w:rPr>
        <w:t xml:space="preserve">The total number of shares of capital stock that the Corporation is authorized to issue is </w:t>
      </w:r>
      <w:r>
        <w:rPr>
          <w:rFonts w:ascii="Arial" w:cs="Arial" w:eastAsia="Arial" w:hAnsi="Arial"/>
          <w:sz w:val="18"/>
          <w:szCs w:val="18"/>
          <w:b w:val="1"/>
          <w:bCs w:val="1"/>
          <w:color w:val="1F497D"/>
          <w:strike w:val="1"/>
        </w:rPr>
        <w:t>62,409,738</w:t>
      </w:r>
      <w:r>
        <w:rPr>
          <w:rFonts w:ascii="Arial" w:cs="Arial" w:eastAsia="Arial" w:hAnsi="Arial"/>
          <w:sz w:val="18"/>
          <w:szCs w:val="18"/>
          <w:b w:val="1"/>
          <w:bCs w:val="1"/>
          <w:u w:val="single" w:color="auto"/>
          <w:color w:val="1F497D"/>
        </w:rPr>
        <w:t>165,307,816</w:t>
      </w:r>
      <w:r>
        <w:rPr>
          <w:rFonts w:ascii="Arial" w:cs="Arial" w:eastAsia="Arial" w:hAnsi="Arial"/>
          <w:sz w:val="18"/>
          <w:szCs w:val="18"/>
          <w:color w:val="1F497D"/>
        </w:rPr>
        <w:t>, each of which shares has a par value of $0.0001. The Corporation is authorized to issue three classes of capital stock, which are designated “</w:t>
      </w:r>
      <w:r>
        <w:rPr>
          <w:rFonts w:ascii="Arial" w:cs="Arial" w:eastAsia="Arial" w:hAnsi="Arial"/>
          <w:sz w:val="18"/>
          <w:szCs w:val="18"/>
          <w:i w:val="1"/>
          <w:iCs w:val="1"/>
          <w:color w:val="1F497D"/>
        </w:rPr>
        <w:t>Class A Common</w:t>
      </w:r>
      <w:r>
        <w:rPr>
          <w:rFonts w:ascii="Arial" w:cs="Arial" w:eastAsia="Arial" w:hAnsi="Arial"/>
          <w:sz w:val="18"/>
          <w:szCs w:val="18"/>
          <w:color w:val="1F497D"/>
        </w:rPr>
        <w:t xml:space="preserve"> </w:t>
      </w:r>
      <w:r>
        <w:rPr>
          <w:rFonts w:ascii="Arial" w:cs="Arial" w:eastAsia="Arial" w:hAnsi="Arial"/>
          <w:sz w:val="18"/>
          <w:szCs w:val="18"/>
          <w:i w:val="1"/>
          <w:iCs w:val="1"/>
          <w:color w:val="1F497D"/>
        </w:rPr>
        <w:t>Stock</w:t>
      </w:r>
      <w:r>
        <w:rPr>
          <w:rFonts w:ascii="Arial" w:cs="Arial" w:eastAsia="Arial" w:hAnsi="Arial"/>
          <w:sz w:val="18"/>
          <w:szCs w:val="18"/>
          <w:color w:val="1F497D"/>
        </w:rPr>
        <w:t>,”</w:t>
      </w:r>
      <w:r>
        <w:rPr>
          <w:rFonts w:ascii="Arial" w:cs="Arial" w:eastAsia="Arial" w:hAnsi="Arial"/>
          <w:sz w:val="18"/>
          <w:szCs w:val="18"/>
          <w:i w:val="1"/>
          <w:iCs w:val="1"/>
          <w:color w:val="1F497D"/>
        </w:rPr>
        <w:t xml:space="preserve"> “Class B Common Stock</w:t>
      </w:r>
      <w:r>
        <w:rPr>
          <w:rFonts w:ascii="Arial" w:cs="Arial" w:eastAsia="Arial" w:hAnsi="Arial"/>
          <w:sz w:val="18"/>
          <w:szCs w:val="18"/>
          <w:color w:val="1F497D"/>
        </w:rPr>
        <w:t>” and “</w:t>
      </w:r>
      <w:r>
        <w:rPr>
          <w:rFonts w:ascii="Arial" w:cs="Arial" w:eastAsia="Arial" w:hAnsi="Arial"/>
          <w:sz w:val="18"/>
          <w:szCs w:val="18"/>
          <w:i w:val="1"/>
          <w:iCs w:val="1"/>
          <w:color w:val="1F497D"/>
        </w:rPr>
        <w:t>Preferred Stock</w:t>
      </w:r>
      <w:r>
        <w:rPr>
          <w:rFonts w:ascii="Arial" w:cs="Arial" w:eastAsia="Arial" w:hAnsi="Arial"/>
          <w:sz w:val="18"/>
          <w:szCs w:val="18"/>
          <w:color w:val="1F497D"/>
        </w:rPr>
        <w:t>.” Of the</w:t>
      </w:r>
      <w:r>
        <w:rPr>
          <w:rFonts w:ascii="Arial" w:cs="Arial" w:eastAsia="Arial" w:hAnsi="Arial"/>
          <w:sz w:val="18"/>
          <w:szCs w:val="18"/>
          <w:i w:val="1"/>
          <w:iCs w:val="1"/>
          <w:color w:val="1F497D"/>
        </w:rPr>
        <w:t xml:space="preserve"> </w:t>
      </w:r>
      <w:r>
        <w:rPr>
          <w:rFonts w:ascii="Arial" w:cs="Arial" w:eastAsia="Arial" w:hAnsi="Arial"/>
          <w:sz w:val="18"/>
          <w:szCs w:val="18"/>
          <w:b w:val="1"/>
          <w:bCs w:val="1"/>
          <w:color w:val="1F497D"/>
          <w:strike w:val="1"/>
        </w:rPr>
        <w:t>62,409,738</w:t>
      </w:r>
      <w:r>
        <w:rPr>
          <w:rFonts w:ascii="Arial" w:cs="Arial" w:eastAsia="Arial" w:hAnsi="Arial"/>
          <w:sz w:val="18"/>
          <w:szCs w:val="18"/>
          <w:b w:val="1"/>
          <w:bCs w:val="1"/>
          <w:u w:val="single" w:color="auto"/>
          <w:color w:val="1F497D"/>
        </w:rPr>
        <w:t>165,307,816</w:t>
      </w:r>
      <w:r>
        <w:rPr>
          <w:rFonts w:ascii="Arial" w:cs="Arial" w:eastAsia="Arial" w:hAnsi="Arial"/>
          <w:sz w:val="18"/>
          <w:szCs w:val="18"/>
          <w:i w:val="1"/>
          <w:iCs w:val="1"/>
          <w:color w:val="1F497D"/>
        </w:rPr>
        <w:t xml:space="preserve"> </w:t>
      </w:r>
      <w:r>
        <w:rPr>
          <w:rFonts w:ascii="Arial" w:cs="Arial" w:eastAsia="Arial" w:hAnsi="Arial"/>
          <w:sz w:val="18"/>
          <w:szCs w:val="18"/>
          <w:color w:val="1F497D"/>
        </w:rPr>
        <w:t>authorized shares of capital stock,</w:t>
      </w:r>
      <w:r>
        <w:rPr>
          <w:rFonts w:ascii="Arial" w:cs="Arial" w:eastAsia="Arial" w:hAnsi="Arial"/>
          <w:sz w:val="18"/>
          <w:szCs w:val="18"/>
          <w:i w:val="1"/>
          <w:iCs w:val="1"/>
          <w:color w:val="1F497D"/>
        </w:rPr>
        <w:t xml:space="preserve"> </w:t>
      </w:r>
      <w:r>
        <w:rPr>
          <w:rFonts w:ascii="Arial" w:cs="Arial" w:eastAsia="Arial" w:hAnsi="Arial"/>
          <w:sz w:val="18"/>
          <w:szCs w:val="18"/>
          <w:b w:val="1"/>
          <w:bCs w:val="1"/>
          <w:color w:val="1F497D"/>
          <w:strike w:val="1"/>
        </w:rPr>
        <w:t>50,000,000</w:t>
      </w:r>
      <w:r>
        <w:rPr>
          <w:rFonts w:ascii="Arial" w:cs="Arial" w:eastAsia="Arial" w:hAnsi="Arial"/>
          <w:sz w:val="18"/>
          <w:szCs w:val="18"/>
          <w:b w:val="1"/>
          <w:bCs w:val="1"/>
          <w:u w:val="single" w:color="auto"/>
          <w:color w:val="1F497D"/>
        </w:rPr>
        <w:t>150,000,000</w:t>
      </w:r>
      <w:r>
        <w:rPr>
          <w:rFonts w:ascii="Arial" w:cs="Arial" w:eastAsia="Arial" w:hAnsi="Arial"/>
          <w:sz w:val="18"/>
          <w:szCs w:val="18"/>
          <w:b w:val="1"/>
          <w:bCs w:val="1"/>
          <w:color w:val="1F497D"/>
        </w:rPr>
        <w:t xml:space="preserve"> </w:t>
      </w:r>
      <w:r>
        <w:rPr>
          <w:rFonts w:ascii="Arial" w:cs="Arial" w:eastAsia="Arial" w:hAnsi="Arial"/>
          <w:sz w:val="18"/>
          <w:szCs w:val="18"/>
          <w:color w:val="1F497D"/>
        </w:rPr>
        <w:t>shares shall be designated as Class A Common Stock (“</w:t>
      </w:r>
      <w:r>
        <w:rPr>
          <w:rFonts w:ascii="Arial" w:cs="Arial" w:eastAsia="Arial" w:hAnsi="Arial"/>
          <w:sz w:val="18"/>
          <w:szCs w:val="18"/>
          <w:i w:val="1"/>
          <w:iCs w:val="1"/>
          <w:color w:val="1F497D"/>
        </w:rPr>
        <w:t>Class A Common Shares</w:t>
      </w:r>
      <w:r>
        <w:rPr>
          <w:rFonts w:ascii="Arial" w:cs="Arial" w:eastAsia="Arial" w:hAnsi="Arial"/>
          <w:sz w:val="18"/>
          <w:szCs w:val="18"/>
          <w:color w:val="1F497D"/>
        </w:rPr>
        <w:t>”),</w:t>
      </w:r>
      <w:r>
        <w:rPr>
          <w:rFonts w:ascii="Arial" w:cs="Arial" w:eastAsia="Arial" w:hAnsi="Arial"/>
          <w:sz w:val="18"/>
          <w:szCs w:val="18"/>
          <w:b w:val="1"/>
          <w:bCs w:val="1"/>
          <w:color w:val="1F497D"/>
        </w:rPr>
        <w:t xml:space="preserve"> </w:t>
      </w:r>
      <w:r>
        <w:rPr>
          <w:rFonts w:ascii="Arial" w:cs="Arial" w:eastAsia="Arial" w:hAnsi="Arial"/>
          <w:sz w:val="18"/>
          <w:szCs w:val="18"/>
          <w:b w:val="1"/>
          <w:bCs w:val="1"/>
          <w:color w:val="1F497D"/>
          <w:strike w:val="1"/>
        </w:rPr>
        <w:t>2,409,738</w:t>
      </w:r>
      <w:r>
        <w:rPr>
          <w:rFonts w:ascii="Arial" w:cs="Arial" w:eastAsia="Arial" w:hAnsi="Arial"/>
          <w:sz w:val="18"/>
          <w:szCs w:val="18"/>
          <w:b w:val="1"/>
          <w:bCs w:val="1"/>
          <w:u w:val="single" w:color="auto"/>
          <w:color w:val="1F497D"/>
        </w:rPr>
        <w:t>5,307,816</w:t>
      </w:r>
      <w:r>
        <w:rPr>
          <w:rFonts w:ascii="Arial" w:cs="Arial" w:eastAsia="Arial" w:hAnsi="Arial"/>
          <w:sz w:val="18"/>
          <w:szCs w:val="18"/>
          <w:b w:val="1"/>
          <w:bCs w:val="1"/>
          <w:color w:val="1F497D"/>
        </w:rPr>
        <w:t xml:space="preserve"> </w:t>
      </w:r>
      <w:r>
        <w:rPr>
          <w:rFonts w:ascii="Arial" w:cs="Arial" w:eastAsia="Arial" w:hAnsi="Arial"/>
          <w:sz w:val="18"/>
          <w:szCs w:val="18"/>
          <w:color w:val="1F497D"/>
        </w:rPr>
        <w:t>shares</w:t>
      </w:r>
      <w:r>
        <w:rPr>
          <w:rFonts w:ascii="Arial" w:cs="Arial" w:eastAsia="Arial" w:hAnsi="Arial"/>
          <w:sz w:val="18"/>
          <w:szCs w:val="18"/>
          <w:b w:val="1"/>
          <w:bCs w:val="1"/>
          <w:color w:val="1F497D"/>
        </w:rPr>
        <w:t xml:space="preserve"> </w:t>
      </w:r>
      <w:r>
        <w:rPr>
          <w:rFonts w:ascii="Arial" w:cs="Arial" w:eastAsia="Arial" w:hAnsi="Arial"/>
          <w:sz w:val="18"/>
          <w:szCs w:val="18"/>
          <w:color w:val="1F497D"/>
        </w:rPr>
        <w:t>shall be designated as Class B Common Stock (“</w:t>
      </w:r>
      <w:r>
        <w:rPr>
          <w:rFonts w:ascii="Arial" w:cs="Arial" w:eastAsia="Arial" w:hAnsi="Arial"/>
          <w:sz w:val="18"/>
          <w:szCs w:val="18"/>
          <w:i w:val="1"/>
          <w:iCs w:val="1"/>
          <w:color w:val="1F497D"/>
        </w:rPr>
        <w:t>Class B Common Shares</w:t>
      </w:r>
      <w:r>
        <w:rPr>
          <w:rFonts w:ascii="Arial" w:cs="Arial" w:eastAsia="Arial" w:hAnsi="Arial"/>
          <w:sz w:val="18"/>
          <w:szCs w:val="18"/>
          <w:color w:val="1F497D"/>
        </w:rPr>
        <w:t>”) and 10,000,000 shares shall be designated as Preferred Stock (“</w:t>
      </w:r>
      <w:r>
        <w:rPr>
          <w:rFonts w:ascii="Arial" w:cs="Arial" w:eastAsia="Arial" w:hAnsi="Arial"/>
          <w:sz w:val="18"/>
          <w:szCs w:val="18"/>
          <w:i w:val="1"/>
          <w:iCs w:val="1"/>
          <w:color w:val="1F497D"/>
        </w:rPr>
        <w:t>Preferred Shares</w:t>
      </w:r>
      <w:r>
        <w:rPr>
          <w:rFonts w:ascii="Arial" w:cs="Arial" w:eastAsia="Arial" w:hAnsi="Arial"/>
          <w:sz w:val="18"/>
          <w:szCs w:val="18"/>
          <w:color w:val="1F497D"/>
        </w:rPr>
        <w:t>”). Class A Common Shares and Class B Common Shares are referred to collectively as “</w:t>
      </w:r>
      <w:r>
        <w:rPr>
          <w:rFonts w:ascii="Arial" w:cs="Arial" w:eastAsia="Arial" w:hAnsi="Arial"/>
          <w:sz w:val="18"/>
          <w:szCs w:val="18"/>
          <w:i w:val="1"/>
          <w:iCs w:val="1"/>
          <w:color w:val="1F497D"/>
        </w:rPr>
        <w:t>Common Shares</w:t>
      </w:r>
      <w:r>
        <w:rPr>
          <w:rFonts w:ascii="Arial" w:cs="Arial" w:eastAsia="Arial" w:hAnsi="Arial"/>
          <w:sz w:val="18"/>
          <w:szCs w:val="18"/>
          <w:color w:val="1F497D"/>
        </w:rPr>
        <w:t xml:space="preserve">”. </w:t>
      </w:r>
      <w:r>
        <w:rPr>
          <w:rFonts w:ascii="Arial" w:cs="Arial" w:eastAsia="Arial" w:hAnsi="Arial"/>
          <w:sz w:val="18"/>
          <w:szCs w:val="18"/>
          <w:b w:val="1"/>
          <w:bCs w:val="1"/>
          <w:u w:val="single" w:color="auto"/>
          <w:color w:val="1F497D"/>
        </w:rPr>
        <w:t>Of the</w:t>
      </w:r>
      <w:r>
        <w:rPr>
          <w:rFonts w:ascii="Arial" w:cs="Arial" w:eastAsia="Arial" w:hAnsi="Arial"/>
          <w:sz w:val="18"/>
          <w:szCs w:val="18"/>
          <w:color w:val="1F497D"/>
        </w:rPr>
        <w:t xml:space="preserve"> </w:t>
      </w:r>
      <w:r>
        <w:rPr>
          <w:rFonts w:ascii="Arial" w:cs="Arial" w:eastAsia="Arial" w:hAnsi="Arial"/>
          <w:sz w:val="18"/>
          <w:szCs w:val="18"/>
          <w:b w:val="1"/>
          <w:bCs w:val="1"/>
          <w:u w:val="single" w:color="auto"/>
          <w:color w:val="1F497D"/>
        </w:rPr>
        <w:t>150,000,000 authorized Class A Common Shares, 60,000,000 shall be reserved for issuance only as dividends on outstanding Class A Common Shares. Of the 5,307,816 authorized Class B Common Shares, 3,538,544 shall be reserved for issuance only as dividends on outstanding Class B Common Shares.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1F497D"/>
        </w:rPr>
        <w:t>[continued on following page]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Proposed Amendments to Section A(4)(b)(i) and (c)(ii) of Article III of the Restated Certificate of Incorporation</w:t>
      </w:r>
      <w:r>
        <w:rPr>
          <w:rFonts w:ascii="Arial" w:cs="Arial" w:eastAsia="Arial" w:hAnsi="Arial"/>
          <w:sz w:val="29"/>
          <w:szCs w:val="29"/>
          <w:color w:val="000000"/>
          <w:vertAlign w:val="superscript"/>
        </w:rPr>
        <w:t>*</w:t>
      </w:r>
    </w:p>
    <w:p>
      <w:pPr>
        <w:spacing w:after="0" w:line="94" w:lineRule="exact"/>
        <w:rPr>
          <w:sz w:val="20"/>
          <w:szCs w:val="20"/>
          <w:color w:val="auto"/>
        </w:rPr>
      </w:pPr>
    </w:p>
    <w:p>
      <w:pPr>
        <w:ind w:left="1240" w:hanging="377"/>
        <w:spacing w:after="0"/>
        <w:tabs>
          <w:tab w:leader="none" w:pos="1240" w:val="left"/>
        </w:tabs>
        <w:numPr>
          <w:ilvl w:val="0"/>
          <w:numId w:val="72"/>
        </w:numPr>
        <w:rPr>
          <w:rFonts w:ascii="Arial" w:cs="Arial" w:eastAsia="Arial" w:hAnsi="Arial"/>
          <w:sz w:val="18"/>
          <w:szCs w:val="18"/>
          <w:color w:val="4D4D4F"/>
        </w:rPr>
      </w:pPr>
      <w:r>
        <w:rPr>
          <w:rFonts w:ascii="Arial" w:cs="Arial" w:eastAsia="Arial" w:hAnsi="Arial"/>
          <w:sz w:val="18"/>
          <w:szCs w:val="18"/>
          <w:u w:val="single" w:color="auto"/>
          <w:color w:val="4D4D4F"/>
        </w:rPr>
        <w:t>Automatic Conversion.</w:t>
      </w:r>
    </w:p>
    <w:p>
      <w:pPr>
        <w:spacing w:after="0" w:line="103" w:lineRule="exact"/>
        <w:rPr>
          <w:rFonts w:ascii="Arial" w:cs="Arial" w:eastAsia="Arial" w:hAnsi="Arial"/>
          <w:sz w:val="18"/>
          <w:szCs w:val="18"/>
          <w:color w:val="4D4D4F"/>
        </w:rPr>
      </w:pPr>
    </w:p>
    <w:p>
      <w:pPr>
        <w:jc w:val="both"/>
        <w:ind w:left="880" w:firstLine="424"/>
        <w:spacing w:after="0"/>
        <w:tabs>
          <w:tab w:leader="none" w:pos="1906" w:val="left"/>
        </w:tabs>
        <w:numPr>
          <w:ilvl w:val="1"/>
          <w:numId w:val="72"/>
        </w:numPr>
        <w:rPr>
          <w:rFonts w:ascii="Arial" w:cs="Arial" w:eastAsia="Arial" w:hAnsi="Arial"/>
          <w:sz w:val="18"/>
          <w:szCs w:val="18"/>
          <w:color w:val="4D4D4F"/>
        </w:rPr>
      </w:pPr>
      <w:r>
        <w:rPr>
          <w:rFonts w:ascii="Arial" w:cs="Arial" w:eastAsia="Arial" w:hAnsi="Arial"/>
          <w:sz w:val="18"/>
          <w:szCs w:val="18"/>
          <w:color w:val="4D4D4F"/>
        </w:rPr>
        <w:t>A Class B Common Share shall be immediately and automatically converted into one fully paid and nonassessable Class A Common Share, upon any of the following (each a “</w:t>
      </w:r>
      <w:r>
        <w:rPr>
          <w:rFonts w:ascii="Arial" w:cs="Arial" w:eastAsia="Arial" w:hAnsi="Arial"/>
          <w:sz w:val="18"/>
          <w:szCs w:val="18"/>
          <w:i w:val="1"/>
          <w:iCs w:val="1"/>
          <w:color w:val="4D4D4F"/>
        </w:rPr>
        <w:t>Common Conversion Event</w:t>
      </w:r>
      <w:r>
        <w:rPr>
          <w:rFonts w:ascii="Arial" w:cs="Arial" w:eastAsia="Arial" w:hAnsi="Arial"/>
          <w:sz w:val="18"/>
          <w:szCs w:val="18"/>
          <w:color w:val="4D4D4F"/>
        </w:rPr>
        <w:t>” with respect to such Class B Common Share):</w:t>
      </w:r>
    </w:p>
    <w:p>
      <w:pPr>
        <w:spacing w:after="0" w:line="94" w:lineRule="exact"/>
        <w:rPr>
          <w:rFonts w:ascii="Arial" w:cs="Arial" w:eastAsia="Arial" w:hAnsi="Arial"/>
          <w:sz w:val="18"/>
          <w:szCs w:val="18"/>
          <w:color w:val="4D4D4F"/>
        </w:rPr>
      </w:pPr>
    </w:p>
    <w:p>
      <w:pPr>
        <w:ind w:left="2140" w:hanging="418"/>
        <w:spacing w:after="0"/>
        <w:tabs>
          <w:tab w:leader="none" w:pos="2140" w:val="left"/>
        </w:tabs>
        <w:numPr>
          <w:ilvl w:val="2"/>
          <w:numId w:val="72"/>
        </w:numPr>
        <w:rPr>
          <w:rFonts w:ascii="Arial" w:cs="Arial" w:eastAsia="Arial" w:hAnsi="Arial"/>
          <w:sz w:val="18"/>
          <w:szCs w:val="18"/>
          <w:color w:val="4D4D4F"/>
        </w:rPr>
      </w:pPr>
      <w:r>
        <w:rPr>
          <w:rFonts w:ascii="Arial" w:cs="Arial" w:eastAsia="Arial" w:hAnsi="Arial"/>
          <w:sz w:val="18"/>
          <w:szCs w:val="18"/>
          <w:color w:val="4D4D4F"/>
        </w:rPr>
        <w:t>the occurrence of a Transfer, other than a Permitted Transfer, of such Class B Common Share; or</w:t>
      </w:r>
    </w:p>
    <w:p>
      <w:pPr>
        <w:spacing w:after="0" w:line="103" w:lineRule="exact"/>
        <w:rPr>
          <w:rFonts w:ascii="Arial" w:cs="Arial" w:eastAsia="Arial" w:hAnsi="Arial"/>
          <w:sz w:val="18"/>
          <w:szCs w:val="18"/>
          <w:color w:val="4D4D4F"/>
        </w:rPr>
      </w:pPr>
    </w:p>
    <w:p>
      <w:pPr>
        <w:jc w:val="both"/>
        <w:ind w:left="2140" w:hanging="418"/>
        <w:spacing w:after="0"/>
        <w:tabs>
          <w:tab w:leader="none" w:pos="2140" w:val="left"/>
        </w:tabs>
        <w:numPr>
          <w:ilvl w:val="2"/>
          <w:numId w:val="72"/>
        </w:numPr>
        <w:rPr>
          <w:rFonts w:ascii="Arial" w:cs="Arial" w:eastAsia="Arial" w:hAnsi="Arial"/>
          <w:sz w:val="18"/>
          <w:szCs w:val="18"/>
          <w:color w:val="4D4D4F"/>
        </w:rPr>
      </w:pPr>
      <w:r>
        <w:rPr>
          <w:rFonts w:ascii="Arial" w:cs="Arial" w:eastAsia="Arial" w:hAnsi="Arial"/>
          <w:sz w:val="18"/>
          <w:szCs w:val="18"/>
          <w:color w:val="4D4D4F"/>
        </w:rPr>
        <w:t>the receipt by the Corporation of the affirmative vote at a duly noticed stockholders meeting of the holders of a majority of the Class B Common Shares then outstanding in favor of the conversion of all of the Class B Common Shares</w:t>
      </w:r>
      <w:r>
        <w:rPr>
          <w:rFonts w:ascii="Arial" w:cs="Arial" w:eastAsia="Arial" w:hAnsi="Arial"/>
          <w:sz w:val="18"/>
          <w:szCs w:val="18"/>
          <w:b w:val="1"/>
          <w:bCs w:val="1"/>
          <w:u w:val="single" w:color="auto"/>
          <w:color w:val="1F497D"/>
        </w:rPr>
        <w:t>.</w:t>
      </w:r>
      <w:r>
        <w:rPr>
          <w:rFonts w:ascii="Arial" w:cs="Arial" w:eastAsia="Arial" w:hAnsi="Arial"/>
          <w:sz w:val="18"/>
          <w:szCs w:val="18"/>
          <w:b w:val="1"/>
          <w:bCs w:val="1"/>
          <w:color w:val="1F497D"/>
          <w:strike w:val="1"/>
        </w:rPr>
        <w:t>; or</w:t>
      </w:r>
    </w:p>
    <w:p>
      <w:pPr>
        <w:spacing w:after="0" w:line="72" w:lineRule="exact"/>
        <w:rPr>
          <w:rFonts w:ascii="Arial" w:cs="Arial" w:eastAsia="Arial" w:hAnsi="Arial"/>
          <w:sz w:val="18"/>
          <w:szCs w:val="18"/>
          <w:color w:val="4D4D4F"/>
        </w:rPr>
      </w:pPr>
    </w:p>
    <w:p>
      <w:pPr>
        <w:jc w:val="both"/>
        <w:ind w:left="2140" w:hanging="418"/>
        <w:spacing w:after="0"/>
        <w:tabs>
          <w:tab w:leader="none" w:pos="2140" w:val="left"/>
        </w:tabs>
        <w:numPr>
          <w:ilvl w:val="2"/>
          <w:numId w:val="72"/>
        </w:numPr>
        <w:rPr>
          <w:rFonts w:ascii="Arial" w:cs="Arial" w:eastAsia="Arial" w:hAnsi="Arial"/>
          <w:sz w:val="18"/>
          <w:szCs w:val="18"/>
          <w:b w:val="1"/>
          <w:bCs w:val="1"/>
          <w:color w:val="1F497D"/>
          <w:strike w:val="1"/>
        </w:rPr>
      </w:pPr>
      <w:r>
        <w:rPr>
          <w:rFonts w:ascii="Arial" w:cs="Arial" w:eastAsia="Arial" w:hAnsi="Arial"/>
          <w:sz w:val="18"/>
          <w:szCs w:val="18"/>
          <w:b w:val="1"/>
          <w:bCs w:val="1"/>
          <w:color w:val="1F497D"/>
          <w:strike w:val="1"/>
        </w:rPr>
        <w:t>at 11:59 p.m. (Eastern standard time) on the first December 31 that occurs more than five years after the date of filing of this Restated Certificate of Incorporation with the Secretary of State of the State of Delaware (the “Filing Date”) if the October Market Cap with respect to the month of October immediately preceding such December 31 exceeds $1,000,000,000.00, provided that this clause (C) shall be of no further effect, and no Common Conversion Event shall ever occur pursuant to this clause (C), as of any December 31 occurring less than five years after the Filing Date if the October Market Cap for the month of October immediately preceding such December 31 exceeds $1,000,000,000.00.</w:t>
      </w:r>
    </w:p>
    <w:p>
      <w:pPr>
        <w:spacing w:after="0" w:line="99" w:lineRule="exact"/>
        <w:rPr>
          <w:sz w:val="20"/>
          <w:szCs w:val="20"/>
          <w:color w:val="auto"/>
        </w:rPr>
      </w:pPr>
    </w:p>
    <w:p>
      <w:pPr>
        <w:jc w:val="both"/>
        <w:ind w:left="880"/>
        <w:spacing w:after="0" w:line="238" w:lineRule="auto"/>
        <w:rPr>
          <w:sz w:val="20"/>
          <w:szCs w:val="20"/>
          <w:color w:val="auto"/>
        </w:rPr>
      </w:pPr>
      <w:r>
        <w:rPr>
          <w:rFonts w:ascii="Arial" w:cs="Arial" w:eastAsia="Arial" w:hAnsi="Arial"/>
          <w:sz w:val="18"/>
          <w:szCs w:val="18"/>
          <w:color w:val="4D4D4F"/>
        </w:rPr>
        <w:t xml:space="preserve">For purposes of clarity, a Common Conversion Event pursuant to the preceding clause (A) shall apply only with respect to the share or shares being Transferred (other than in a Permitted Transfer) and not with respect to any other outstanding Class B Common Shares and a Common Conversion Event pursuant to the preceding clause (B) </w:t>
      </w:r>
      <w:r>
        <w:rPr>
          <w:rFonts w:ascii="Arial" w:cs="Arial" w:eastAsia="Arial" w:hAnsi="Arial"/>
          <w:sz w:val="18"/>
          <w:szCs w:val="18"/>
          <w:b w:val="1"/>
          <w:bCs w:val="1"/>
          <w:color w:val="1F497D"/>
          <w:strike w:val="1"/>
        </w:rPr>
        <w:t>or (C)</w:t>
      </w:r>
      <w:r>
        <w:rPr>
          <w:rFonts w:ascii="Arial" w:cs="Arial" w:eastAsia="Arial" w:hAnsi="Arial"/>
          <w:sz w:val="18"/>
          <w:szCs w:val="18"/>
          <w:color w:val="4D4D4F"/>
        </w:rPr>
        <w:t xml:space="preserve"> shall apply to all outstanding Class B Common Shares.</w:t>
      </w:r>
    </w:p>
    <w:p>
      <w:pPr>
        <w:spacing w:after="0" w:line="97" w:lineRule="exact"/>
        <w:rPr>
          <w:sz w:val="20"/>
          <w:szCs w:val="20"/>
          <w:color w:val="auto"/>
        </w:rPr>
      </w:pPr>
    </w:p>
    <w:p>
      <w:pPr>
        <w:jc w:val="center"/>
        <w:spacing w:after="0"/>
        <w:tabs>
          <w:tab w:leader="none" w:pos="260" w:val="left"/>
          <w:tab w:leader="none" w:pos="300" w:val="left"/>
        </w:tabs>
        <w:rPr>
          <w:sz w:val="20"/>
          <w:szCs w:val="20"/>
          <w:color w:val="auto"/>
        </w:rPr>
      </w:pPr>
      <w:r>
        <w:rPr>
          <w:rFonts w:ascii="Arial" w:cs="Arial" w:eastAsia="Arial" w:hAnsi="Arial"/>
          <w:sz w:val="18"/>
          <w:szCs w:val="18"/>
          <w:color w:val="4D4D4F"/>
        </w:rPr>
        <w:t>*</w:t>
        <w:tab/>
        <w:t>*</w:t>
      </w:r>
      <w:r>
        <w:rPr>
          <w:sz w:val="20"/>
          <w:szCs w:val="20"/>
          <w:color w:val="auto"/>
        </w:rPr>
        <w:tab/>
      </w:r>
      <w:r>
        <w:rPr>
          <w:rFonts w:ascii="Arial" w:cs="Arial" w:eastAsia="Arial" w:hAnsi="Arial"/>
          <w:sz w:val="15"/>
          <w:szCs w:val="15"/>
          <w:color w:val="4D4D4F"/>
        </w:rPr>
        <w:t>*</w:t>
      </w:r>
    </w:p>
    <w:p>
      <w:pPr>
        <w:spacing w:after="0" w:line="104" w:lineRule="exact"/>
        <w:rPr>
          <w:sz w:val="20"/>
          <w:szCs w:val="20"/>
          <w:color w:val="auto"/>
        </w:rPr>
      </w:pPr>
    </w:p>
    <w:p>
      <w:pPr>
        <w:ind w:left="1240" w:hanging="377"/>
        <w:spacing w:after="0"/>
        <w:tabs>
          <w:tab w:leader="none" w:pos="1240" w:val="left"/>
        </w:tabs>
        <w:numPr>
          <w:ilvl w:val="0"/>
          <w:numId w:val="73"/>
        </w:numPr>
        <w:rPr>
          <w:rFonts w:ascii="Arial" w:cs="Arial" w:eastAsia="Arial" w:hAnsi="Arial"/>
          <w:sz w:val="18"/>
          <w:szCs w:val="18"/>
          <w:color w:val="4D4D4F"/>
        </w:rPr>
      </w:pPr>
      <w:r>
        <w:rPr>
          <w:rFonts w:ascii="Arial" w:cs="Arial" w:eastAsia="Arial" w:hAnsi="Arial"/>
          <w:sz w:val="18"/>
          <w:szCs w:val="18"/>
          <w:u w:val="single" w:color="auto"/>
          <w:color w:val="4D4D4F"/>
        </w:rPr>
        <w:t>Special Definitions.</w:t>
      </w:r>
    </w:p>
    <w:p>
      <w:pPr>
        <w:spacing w:after="0" w:line="103" w:lineRule="exact"/>
        <w:rPr>
          <w:rFonts w:ascii="Arial" w:cs="Arial" w:eastAsia="Arial" w:hAnsi="Arial"/>
          <w:sz w:val="18"/>
          <w:szCs w:val="18"/>
          <w:color w:val="4D4D4F"/>
        </w:rPr>
      </w:pPr>
    </w:p>
    <w:p>
      <w:pPr>
        <w:ind w:left="1300"/>
        <w:spacing w:after="0"/>
        <w:rPr>
          <w:rFonts w:ascii="Arial" w:cs="Arial" w:eastAsia="Arial" w:hAnsi="Arial"/>
          <w:sz w:val="18"/>
          <w:szCs w:val="18"/>
          <w:color w:val="4D4D4F"/>
        </w:rPr>
      </w:pPr>
      <w:r>
        <w:rPr>
          <w:rFonts w:ascii="Arial" w:cs="Arial" w:eastAsia="Arial" w:hAnsi="Arial"/>
          <w:sz w:val="18"/>
          <w:szCs w:val="18"/>
          <w:color w:val="1F497D"/>
        </w:rPr>
        <w:t>*   *   *</w:t>
      </w:r>
    </w:p>
    <w:p>
      <w:pPr>
        <w:spacing w:after="0" w:line="82" w:lineRule="exact"/>
        <w:rPr>
          <w:sz w:val="20"/>
          <w:szCs w:val="20"/>
          <w:color w:val="auto"/>
        </w:rPr>
      </w:pPr>
    </w:p>
    <w:p>
      <w:pPr>
        <w:jc w:val="both"/>
        <w:ind w:left="880" w:firstLine="424"/>
        <w:spacing w:after="0" w:line="253" w:lineRule="auto"/>
        <w:tabs>
          <w:tab w:leader="none" w:pos="1825" w:val="left"/>
        </w:tabs>
        <w:numPr>
          <w:ilvl w:val="1"/>
          <w:numId w:val="74"/>
        </w:numPr>
        <w:rPr>
          <w:rFonts w:ascii="Arial" w:cs="Arial" w:eastAsia="Arial" w:hAnsi="Arial"/>
          <w:sz w:val="18"/>
          <w:szCs w:val="18"/>
          <w:color w:val="1F497D"/>
        </w:rPr>
      </w:pPr>
      <w:r>
        <w:rPr>
          <w:rFonts w:ascii="Arial" w:cs="Arial" w:eastAsia="Arial" w:hAnsi="Arial"/>
          <w:sz w:val="18"/>
          <w:szCs w:val="18"/>
          <w:b w:val="1"/>
          <w:bCs w:val="1"/>
          <w:color w:val="1F497D"/>
        </w:rPr>
        <w:t>[</w:t>
      </w:r>
      <w:r>
        <w:rPr>
          <w:rFonts w:ascii="Arial" w:cs="Arial" w:eastAsia="Arial" w:hAnsi="Arial"/>
          <w:sz w:val="18"/>
          <w:szCs w:val="18"/>
          <w:b w:val="1"/>
          <w:bCs w:val="1"/>
          <w:u w:val="single" w:color="auto"/>
          <w:color w:val="1F497D"/>
        </w:rPr>
        <w:t>THIS SECTION INTENTIONALLY LEFT BLANK]</w:t>
      </w:r>
      <w:r>
        <w:rPr>
          <w:rFonts w:ascii="Arial" w:cs="Arial" w:eastAsia="Arial" w:hAnsi="Arial"/>
          <w:sz w:val="18"/>
          <w:szCs w:val="18"/>
          <w:b w:val="1"/>
          <w:bCs w:val="1"/>
          <w:color w:val="1F497D"/>
          <w:strike w:val="1"/>
        </w:rPr>
        <w:t>“October Market Cap” shall mean, with respect to any October</w:t>
      </w:r>
      <w:r>
        <w:rPr>
          <w:rFonts w:ascii="Arial" w:cs="Arial" w:eastAsia="Arial" w:hAnsi="Arial"/>
          <w:sz w:val="18"/>
          <w:szCs w:val="18"/>
          <w:b w:val="1"/>
          <w:bCs w:val="1"/>
          <w:color w:val="1F497D"/>
        </w:rPr>
        <w:t xml:space="preserve"> </w:t>
      </w:r>
      <w:r>
        <w:rPr>
          <w:rFonts w:ascii="Arial" w:cs="Arial" w:eastAsia="Arial" w:hAnsi="Arial"/>
          <w:sz w:val="18"/>
          <w:szCs w:val="18"/>
          <w:b w:val="1"/>
          <w:bCs w:val="1"/>
          <w:color w:val="1F497D"/>
          <w:strike w:val="1"/>
        </w:rPr>
        <w:t>throughout which Class A Common Stock is traded on a securities exchange registered with the Securities and Exchange Commission, the product of:</w:t>
      </w:r>
    </w:p>
    <w:p>
      <w:pPr>
        <w:spacing w:after="0" w:line="60" w:lineRule="exact"/>
        <w:rPr>
          <w:rFonts w:ascii="Arial" w:cs="Arial" w:eastAsia="Arial" w:hAnsi="Arial"/>
          <w:sz w:val="18"/>
          <w:szCs w:val="18"/>
          <w:color w:val="1F497D"/>
        </w:rPr>
      </w:pPr>
    </w:p>
    <w:p>
      <w:pPr>
        <w:jc w:val="both"/>
        <w:ind w:left="2140" w:hanging="418"/>
        <w:spacing w:after="0"/>
        <w:tabs>
          <w:tab w:leader="none" w:pos="2140" w:val="left"/>
        </w:tabs>
        <w:numPr>
          <w:ilvl w:val="2"/>
          <w:numId w:val="74"/>
        </w:numPr>
        <w:rPr>
          <w:rFonts w:ascii="Arial" w:cs="Arial" w:eastAsia="Arial" w:hAnsi="Arial"/>
          <w:sz w:val="18"/>
          <w:szCs w:val="18"/>
          <w:b w:val="1"/>
          <w:bCs w:val="1"/>
          <w:color w:val="1F497D"/>
          <w:strike w:val="1"/>
        </w:rPr>
      </w:pPr>
      <w:r>
        <w:rPr>
          <w:rFonts w:ascii="Arial" w:cs="Arial" w:eastAsia="Arial" w:hAnsi="Arial"/>
          <w:sz w:val="18"/>
          <w:szCs w:val="18"/>
          <w:b w:val="1"/>
          <w:bCs w:val="1"/>
          <w:color w:val="1F497D"/>
          <w:strike w:val="1"/>
        </w:rPr>
        <w:t>the average of the VWAPs for each of the days in such month of October on which Class A Common Stock is traded on a securities exchange registered with the Securities and Exchange Commission, where “VWAP” means, for any such trading day, the daily volume weighted average price for the regular trading day session (the total dollar amount traded during regular trading hours on such day divided by trading volume during such trading hours) of the Class A Common Stock on The NASDAQ Global Market (or such other exchange or market as is then the principal trading exchange or market for the Class A Common Stock). as reported by Bloomberg L.P. (or, if not reported on Bloomberg, L.P., on such reporting service as shall be approved by the Board), multiplied by</w:t>
      </w:r>
    </w:p>
    <w:p>
      <w:pPr>
        <w:spacing w:after="0" w:line="153" w:lineRule="exact"/>
        <w:rPr>
          <w:rFonts w:ascii="Arial" w:cs="Arial" w:eastAsia="Arial" w:hAnsi="Arial"/>
          <w:sz w:val="18"/>
          <w:szCs w:val="18"/>
          <w:b w:val="1"/>
          <w:bCs w:val="1"/>
          <w:color w:val="1F497D"/>
          <w:strike w:val="1"/>
        </w:rPr>
      </w:pPr>
    </w:p>
    <w:p>
      <w:pPr>
        <w:ind w:left="2140" w:hanging="418"/>
        <w:spacing w:after="0" w:line="271" w:lineRule="auto"/>
        <w:tabs>
          <w:tab w:leader="none" w:pos="2140" w:val="left"/>
        </w:tabs>
        <w:numPr>
          <w:ilvl w:val="2"/>
          <w:numId w:val="74"/>
        </w:numPr>
        <w:rPr>
          <w:rFonts w:ascii="Arial" w:cs="Arial" w:eastAsia="Arial" w:hAnsi="Arial"/>
          <w:sz w:val="18"/>
          <w:szCs w:val="18"/>
          <w:b w:val="1"/>
          <w:bCs w:val="1"/>
          <w:color w:val="1F497D"/>
          <w:strike w:val="1"/>
        </w:rPr>
      </w:pPr>
      <w:r>
        <w:rPr>
          <w:rFonts w:ascii="Arial" w:cs="Arial" w:eastAsia="Arial" w:hAnsi="Arial"/>
          <w:sz w:val="18"/>
          <w:szCs w:val="18"/>
          <w:b w:val="1"/>
          <w:bCs w:val="1"/>
          <w:color w:val="1F497D"/>
          <w:strike w:val="1"/>
        </w:rPr>
        <w:t>the number of Common Shares outstanding as of 11:59 p.m. (Eastern daylight saving time) on the last trading day of such month of October.</w:t>
      </w:r>
    </w:p>
    <w:p>
      <w:pPr>
        <w:spacing w:after="0" w:line="200" w:lineRule="exact"/>
        <w:rPr>
          <w:rFonts w:ascii="Arial" w:cs="Arial" w:eastAsia="Arial" w:hAnsi="Arial"/>
          <w:sz w:val="18"/>
          <w:szCs w:val="18"/>
          <w:b w:val="1"/>
          <w:bCs w:val="1"/>
          <w:color w:val="1F497D"/>
          <w:strike w:val="1"/>
        </w:rPr>
      </w:pPr>
    </w:p>
    <w:p>
      <w:pPr>
        <w:spacing w:after="0" w:line="200" w:lineRule="exact"/>
        <w:rPr>
          <w:rFonts w:ascii="Arial" w:cs="Arial" w:eastAsia="Arial" w:hAnsi="Arial"/>
          <w:sz w:val="18"/>
          <w:szCs w:val="18"/>
          <w:b w:val="1"/>
          <w:bCs w:val="1"/>
          <w:color w:val="1F497D"/>
          <w:strike w:val="1"/>
        </w:rPr>
      </w:pPr>
    </w:p>
    <w:p>
      <w:pPr>
        <w:spacing w:after="0" w:line="221" w:lineRule="exact"/>
        <w:rPr>
          <w:rFonts w:ascii="Arial" w:cs="Arial" w:eastAsia="Arial" w:hAnsi="Arial"/>
          <w:sz w:val="18"/>
          <w:szCs w:val="18"/>
          <w:b w:val="1"/>
          <w:bCs w:val="1"/>
          <w:color w:val="1F497D"/>
          <w:strike w:val="1"/>
        </w:rPr>
      </w:pPr>
    </w:p>
    <w:p>
      <w:pPr>
        <w:ind w:left="500" w:hanging="486"/>
        <w:spacing w:after="0" w:line="258" w:lineRule="auto"/>
        <w:rPr>
          <w:rFonts w:ascii="Arial" w:cs="Arial" w:eastAsia="Arial" w:hAnsi="Arial"/>
          <w:sz w:val="18"/>
          <w:szCs w:val="18"/>
          <w:b w:val="1"/>
          <w:bCs w:val="1"/>
          <w:color w:val="1F497D"/>
          <w:strike w:val="1"/>
        </w:rPr>
      </w:pPr>
      <w:r>
        <w:rPr>
          <w:rFonts w:ascii="Arial" w:cs="Arial" w:eastAsia="Arial" w:hAnsi="Arial"/>
          <w:sz w:val="26"/>
          <w:szCs w:val="26"/>
          <w:color w:val="000000"/>
          <w:vertAlign w:val="superscript"/>
        </w:rPr>
        <w:t>*</w:t>
      </w:r>
      <w:r>
        <w:rPr>
          <w:rFonts w:ascii="Arial" w:cs="Arial" w:eastAsia="Arial" w:hAnsi="Arial"/>
          <w:sz w:val="14"/>
          <w:szCs w:val="14"/>
          <w:color w:val="4D4D4F"/>
        </w:rPr>
        <w:t>These amendments are non-substantive, in that they would delete text that, under the existing terms of the Restated Certificate of Incorporation, is no longer in effect. These amendments are being proposed in order to simplify and clarify the continuing terms of the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16459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-2370455</wp:posOffset>
            </wp:positionV>
            <wp:extent cx="25203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4D4D4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977265" cy="6083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7726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ACM RESEARCH,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2021 Annual Meeting of Stockholders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3E64"/>
        </w:rPr>
        <w:t>Rules of Conduct and Procedures</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4D4D4F"/>
        </w:rPr>
        <w:t>Welcome to the 2021 Annual Meeting of Stockholders (the “Annual Meeting”) of ACM Research, Inc. (the “Company”). In the interest of providing a fair and informative Annual Meeting, participants are required to honor the following Rules of Conduct and Procedures:</w:t>
      </w:r>
    </w:p>
    <w:p>
      <w:pPr>
        <w:spacing w:after="0" w:line="156" w:lineRule="exact"/>
        <w:rPr>
          <w:sz w:val="20"/>
          <w:szCs w:val="20"/>
          <w:color w:val="auto"/>
        </w:rPr>
      </w:pPr>
    </w:p>
    <w:p>
      <w:pPr>
        <w:ind w:left="340" w:hanging="332"/>
        <w:spacing w:after="0" w:line="246"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The Company’s bylaws describe requirements for meetings of our stockholders, and the Annual Meeting will be conducted consistent with those requirements.</w:t>
      </w:r>
    </w:p>
    <w:p>
      <w:pPr>
        <w:spacing w:after="0" w:line="169" w:lineRule="exact"/>
        <w:rPr>
          <w:rFonts w:ascii="Arial" w:cs="Arial" w:eastAsia="Arial" w:hAnsi="Arial"/>
          <w:sz w:val="18"/>
          <w:szCs w:val="18"/>
          <w:color w:val="4D4D4F"/>
        </w:rPr>
      </w:pPr>
    </w:p>
    <w:p>
      <w:pPr>
        <w:jc w:val="both"/>
        <w:ind w:left="340" w:hanging="332"/>
        <w:spacing w:after="0" w:line="237"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The Chair of the Company’s Board of Directors will serve as the chair of the Annual Meeting (the “Chair”) and will have the authority and discretion necessary to preside over the Annual Meeting, including following adjournment of the formal business of the Annual Meeting. In the event of disorder, technical malfunction or any other issue that disrupts the Annual Meeting, the Chair may adjourn, recess or expedite the Annual Meeting or take such other action that he determines is appropriate in light of the circumstances. In the event of any question of conduct or procedures that is not addressed expressly and clearly by these Rules of Conduct and Procedure, the Chair is authorized to address the question in such manner as he determines, in his reasonable judgment, to be in the best interest of conducting a fair and informative Annual Meeting consistent with the purposes of the Annual Meeting.</w:t>
      </w:r>
    </w:p>
    <w:p>
      <w:pPr>
        <w:spacing w:after="0" w:line="162"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The Annual Meeting is a virtual-only meeting. The live audio webcast of the Annual Meeting will be available for listening by the general public, but participation in the Annual Meeting, including voting shares and submitting questions, will be limited to stockholders.</w:t>
      </w:r>
    </w:p>
    <w:p>
      <w:pPr>
        <w:spacing w:after="0" w:line="156" w:lineRule="exact"/>
        <w:rPr>
          <w:rFonts w:ascii="Arial" w:cs="Arial" w:eastAsia="Arial" w:hAnsi="Arial"/>
          <w:sz w:val="18"/>
          <w:szCs w:val="18"/>
          <w:color w:val="4D4D4F"/>
        </w:rPr>
      </w:pPr>
    </w:p>
    <w:p>
      <w:pPr>
        <w:ind w:left="340" w:hanging="332"/>
        <w:spacing w:after="0" w:line="246"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 xml:space="preserve">Participants may access a live webcast of the Annual Meeting, and stockholders may submit questions and vote their shares, at </w:t>
      </w:r>
      <w:r>
        <w:rPr>
          <w:rFonts w:ascii="Arial" w:cs="Arial" w:eastAsia="Arial" w:hAnsi="Arial"/>
          <w:sz w:val="18"/>
          <w:szCs w:val="18"/>
          <w:i w:val="1"/>
          <w:iCs w:val="1"/>
          <w:color w:val="4D4D4F"/>
        </w:rPr>
        <w:t>virtualshareholdermeeting.com/ACMR2021</w:t>
      </w:r>
      <w:r>
        <w:rPr>
          <w:rFonts w:ascii="Arial" w:cs="Arial" w:eastAsia="Arial" w:hAnsi="Arial"/>
          <w:sz w:val="18"/>
          <w:szCs w:val="18"/>
          <w:color w:val="4D4D4F"/>
        </w:rPr>
        <w:t>.</w:t>
      </w:r>
    </w:p>
    <w:p>
      <w:pPr>
        <w:spacing w:after="0" w:line="169" w:lineRule="exact"/>
        <w:rPr>
          <w:rFonts w:ascii="Arial" w:cs="Arial" w:eastAsia="Arial" w:hAnsi="Arial"/>
          <w:sz w:val="18"/>
          <w:szCs w:val="18"/>
          <w:color w:val="4D4D4F"/>
        </w:rPr>
      </w:pPr>
    </w:p>
    <w:p>
      <w:pPr>
        <w:jc w:val="both"/>
        <w:ind w:left="340" w:hanging="332"/>
        <w:spacing w:after="0" w:line="238"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Each stockholder of record as of 5 p.m., Eastern time, on April 8, 2021 may log into the webcast by entering the 16-digit control number included on the Notice of Internet Availability of Proxy Materials or proxy card received from the Company. If you have voted your shares prior to the start of the Annual Meeting, your vote has been received by the Company’s inspector of elections and there is no need to vote those shares during the Annual Meeting, unless you wish to revoke or change your vote.</w:t>
      </w:r>
    </w:p>
    <w:p>
      <w:pPr>
        <w:spacing w:after="0" w:line="164" w:lineRule="exact"/>
        <w:rPr>
          <w:rFonts w:ascii="Arial" w:cs="Arial" w:eastAsia="Arial" w:hAnsi="Arial"/>
          <w:sz w:val="18"/>
          <w:szCs w:val="18"/>
          <w:color w:val="4D4D4F"/>
        </w:rPr>
      </w:pPr>
    </w:p>
    <w:p>
      <w:pPr>
        <w:jc w:val="both"/>
        <w:ind w:left="340" w:hanging="332"/>
        <w:spacing w:after="0"/>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The Meeting will begin at 7:00 a.m., Pacific time, on June 2, 2021. The only business to be conducted at the Annual Meeting will consist of the consideration of, and voting on, the four proposals set forth in the Proxy Statement for the Annual Meeting. These proposals will be considered sequentially at the Annual Meeting, in the order they are enumerated and set forth in the Proxy Statement.</w:t>
      </w:r>
    </w:p>
    <w:p>
      <w:pPr>
        <w:spacing w:after="0" w:line="162" w:lineRule="exact"/>
        <w:rPr>
          <w:rFonts w:ascii="Arial" w:cs="Arial" w:eastAsia="Arial" w:hAnsi="Arial"/>
          <w:sz w:val="18"/>
          <w:szCs w:val="18"/>
          <w:color w:val="4D4D4F"/>
        </w:rPr>
      </w:pPr>
    </w:p>
    <w:p>
      <w:pPr>
        <w:jc w:val="both"/>
        <w:ind w:left="340" w:hanging="332"/>
        <w:spacing w:after="0" w:line="237"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If a stockholder has a question about one of the agenda matters that is to be voted on at the Annual Meeting as set forth in the Company’s 2021 Proxy Statement, the question may be submitted in the field provided in the web portal at or before the time the matters are presented for consideration at the Annual Meeting. We will answer questions on any matters set forth in the Company’s 2021 Proxy Statement to be voted on by the stockholders at the Annual Meeting before voting is closed. During this period, the Company will not permit discussions or questions that are not relevant or pertinent to the agenda matter then being discussed, as determined by the Chair in his reasonable judgment.</w:t>
      </w:r>
    </w:p>
    <w:p>
      <w:pPr>
        <w:spacing w:after="0" w:line="177" w:lineRule="exact"/>
        <w:rPr>
          <w:rFonts w:ascii="Arial" w:cs="Arial" w:eastAsia="Arial" w:hAnsi="Arial"/>
          <w:sz w:val="18"/>
          <w:szCs w:val="18"/>
          <w:color w:val="4D4D4F"/>
        </w:rPr>
      </w:pPr>
    </w:p>
    <w:p>
      <w:pPr>
        <w:jc w:val="both"/>
        <w:ind w:left="340" w:hanging="332"/>
        <w:spacing w:after="0"/>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Following adjournment of the formal business of the Annual Meeting, the Company’s management will give a presentation about the Company’s business. At the conclusion of this presentation, the Company will address appropriate general questions from stockholders regarding the Company. The following rules will apply to this process: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171" w:lineRule="exact"/>
        <w:rPr>
          <w:sz w:val="20"/>
          <w:szCs w:val="20"/>
          <w:color w:val="auto"/>
        </w:rPr>
      </w:pPr>
    </w:p>
    <w:p>
      <w:pPr>
        <w:jc w:val="both"/>
        <w:ind w:left="660" w:hanging="328"/>
        <w:spacing w:after="0" w:line="238" w:lineRule="auto"/>
        <w:tabs>
          <w:tab w:leader="none" w:pos="660" w:val="left"/>
        </w:tabs>
        <w:numPr>
          <w:ilvl w:val="1"/>
          <w:numId w:val="76"/>
        </w:numPr>
        <w:rPr>
          <w:rFonts w:ascii="Arial" w:cs="Arial" w:eastAsia="Arial" w:hAnsi="Arial"/>
          <w:sz w:val="18"/>
          <w:szCs w:val="18"/>
          <w:color w:val="4D4D4F"/>
        </w:rPr>
      </w:pPr>
      <w:r>
        <w:rPr>
          <w:rFonts w:ascii="Arial" w:cs="Arial" w:eastAsia="Arial" w:hAnsi="Arial"/>
          <w:sz w:val="18"/>
          <w:szCs w:val="18"/>
          <w:color w:val="4D4D4F"/>
        </w:rPr>
        <w:t>To ensure that as many stockholders as possible are able to ask questions, each stockholder will be permitted to submit no more than two questions. Questions must be succinct and cover a single topic. All questions will be presented as submitted, uncensored and unedited, except that we may omit certain personal details for data protection issues and we may edit profanity or other inappropriate language.</w:t>
      </w:r>
    </w:p>
    <w:p>
      <w:pPr>
        <w:spacing w:after="0" w:line="164" w:lineRule="exact"/>
        <w:rPr>
          <w:rFonts w:ascii="Arial" w:cs="Arial" w:eastAsia="Arial" w:hAnsi="Arial"/>
          <w:sz w:val="18"/>
          <w:szCs w:val="18"/>
          <w:color w:val="4D4D4F"/>
        </w:rPr>
      </w:pPr>
    </w:p>
    <w:p>
      <w:pPr>
        <w:ind w:left="660" w:hanging="328"/>
        <w:spacing w:after="0"/>
        <w:tabs>
          <w:tab w:leader="none" w:pos="660" w:val="left"/>
        </w:tabs>
        <w:numPr>
          <w:ilvl w:val="1"/>
          <w:numId w:val="76"/>
        </w:numPr>
        <w:rPr>
          <w:rFonts w:ascii="Arial" w:cs="Arial" w:eastAsia="Arial" w:hAnsi="Arial"/>
          <w:sz w:val="18"/>
          <w:szCs w:val="18"/>
          <w:color w:val="4D4D4F"/>
        </w:rPr>
      </w:pPr>
      <w:r>
        <w:rPr>
          <w:rFonts w:ascii="Arial" w:cs="Arial" w:eastAsia="Arial" w:hAnsi="Arial"/>
          <w:sz w:val="18"/>
          <w:szCs w:val="18"/>
          <w:color w:val="4D4D4F"/>
        </w:rPr>
        <w:t>We will answer questions in the order received, except that:</w:t>
      </w:r>
    </w:p>
    <w:p>
      <w:pPr>
        <w:spacing w:after="0" w:line="184" w:lineRule="exact"/>
        <w:rPr>
          <w:rFonts w:ascii="Arial" w:cs="Arial" w:eastAsia="Arial" w:hAnsi="Arial"/>
          <w:sz w:val="18"/>
          <w:szCs w:val="18"/>
          <w:color w:val="4D4D4F"/>
        </w:rPr>
      </w:pPr>
    </w:p>
    <w:p>
      <w:pPr>
        <w:ind w:left="980" w:hanging="162"/>
        <w:spacing w:after="0" w:line="246" w:lineRule="auto"/>
        <w:tabs>
          <w:tab w:leader="none" w:pos="980" w:val="left"/>
        </w:tabs>
        <w:numPr>
          <w:ilvl w:val="2"/>
          <w:numId w:val="76"/>
        </w:numPr>
        <w:rPr>
          <w:rFonts w:ascii="Arial" w:cs="Arial" w:eastAsia="Arial" w:hAnsi="Arial"/>
          <w:sz w:val="18"/>
          <w:szCs w:val="18"/>
          <w:color w:val="4D4D4F"/>
        </w:rPr>
      </w:pPr>
      <w:r>
        <w:rPr>
          <w:rFonts w:ascii="Arial" w:cs="Arial" w:eastAsia="Arial" w:hAnsi="Arial"/>
          <w:sz w:val="18"/>
          <w:szCs w:val="18"/>
          <w:color w:val="4D4D4F"/>
        </w:rPr>
        <w:t>Questions from multiple stockholders related to the same topic or that are otherwise related may be grouped and answered together.</w:t>
      </w:r>
    </w:p>
    <w:p>
      <w:pPr>
        <w:spacing w:after="0" w:line="156" w:lineRule="exact"/>
        <w:rPr>
          <w:rFonts w:ascii="Arial" w:cs="Arial" w:eastAsia="Arial" w:hAnsi="Arial"/>
          <w:sz w:val="18"/>
          <w:szCs w:val="18"/>
          <w:color w:val="4D4D4F"/>
        </w:rPr>
      </w:pPr>
    </w:p>
    <w:p>
      <w:pPr>
        <w:ind w:left="1300" w:hanging="482"/>
        <w:spacing w:after="0" w:line="246" w:lineRule="auto"/>
        <w:tabs>
          <w:tab w:leader="none" w:pos="1300" w:val="left"/>
        </w:tabs>
        <w:numPr>
          <w:ilvl w:val="2"/>
          <w:numId w:val="76"/>
        </w:numPr>
        <w:rPr>
          <w:rFonts w:ascii="Arial" w:cs="Arial" w:eastAsia="Arial" w:hAnsi="Arial"/>
          <w:sz w:val="18"/>
          <w:szCs w:val="18"/>
          <w:color w:val="4D4D4F"/>
        </w:rPr>
      </w:pPr>
      <w:r>
        <w:rPr>
          <w:rFonts w:ascii="Arial" w:cs="Arial" w:eastAsia="Arial" w:hAnsi="Arial"/>
          <w:sz w:val="18"/>
          <w:szCs w:val="18"/>
          <w:color w:val="4D4D4F"/>
        </w:rPr>
        <w:t>Any second question from a stockholder will be deferred until such time as all appropriate first questions from stockholders have been addressed.</w:t>
      </w:r>
    </w:p>
    <w:p>
      <w:pPr>
        <w:spacing w:after="0" w:line="156" w:lineRule="exact"/>
        <w:rPr>
          <w:rFonts w:ascii="Arial" w:cs="Arial" w:eastAsia="Arial" w:hAnsi="Arial"/>
          <w:sz w:val="18"/>
          <w:szCs w:val="18"/>
          <w:color w:val="4D4D4F"/>
        </w:rPr>
      </w:pPr>
    </w:p>
    <w:p>
      <w:pPr>
        <w:jc w:val="both"/>
        <w:ind w:left="1300" w:hanging="482"/>
        <w:spacing w:after="0" w:line="238" w:lineRule="auto"/>
        <w:tabs>
          <w:tab w:leader="none" w:pos="1300" w:val="left"/>
        </w:tabs>
        <w:numPr>
          <w:ilvl w:val="2"/>
          <w:numId w:val="76"/>
        </w:numPr>
        <w:rPr>
          <w:rFonts w:ascii="Arial" w:cs="Arial" w:eastAsia="Arial" w:hAnsi="Arial"/>
          <w:sz w:val="18"/>
          <w:szCs w:val="18"/>
          <w:color w:val="4D4D4F"/>
        </w:rPr>
      </w:pPr>
      <w:r>
        <w:rPr>
          <w:rFonts w:ascii="Arial" w:cs="Arial" w:eastAsia="Arial" w:hAnsi="Arial"/>
          <w:sz w:val="18"/>
          <w:szCs w:val="18"/>
          <w:color w:val="4D4D4F"/>
        </w:rPr>
        <w:t>If more questions are presented than time permits to be answered, the list of questions to be considered will be shortened by removing from the list: first, any question determined by the Chair to be substantially duplicative of another question that has been discussed; second, any question presented by a stockholder whose first question has been discussed; and, third, the last submitted questions (ordered by time received).</w:t>
      </w:r>
    </w:p>
    <w:p>
      <w:pPr>
        <w:spacing w:after="0" w:line="177" w:lineRule="exact"/>
        <w:rPr>
          <w:rFonts w:ascii="Arial" w:cs="Arial" w:eastAsia="Arial" w:hAnsi="Arial"/>
          <w:sz w:val="18"/>
          <w:szCs w:val="18"/>
          <w:color w:val="4D4D4F"/>
        </w:rPr>
      </w:pPr>
    </w:p>
    <w:p>
      <w:pPr>
        <w:ind w:left="660" w:hanging="328"/>
        <w:spacing w:after="0" w:line="246" w:lineRule="auto"/>
        <w:tabs>
          <w:tab w:leader="none" w:pos="660" w:val="left"/>
        </w:tabs>
        <w:numPr>
          <w:ilvl w:val="1"/>
          <w:numId w:val="76"/>
        </w:numPr>
        <w:rPr>
          <w:rFonts w:ascii="Arial" w:cs="Arial" w:eastAsia="Arial" w:hAnsi="Arial"/>
          <w:sz w:val="18"/>
          <w:szCs w:val="18"/>
          <w:color w:val="4D4D4F"/>
        </w:rPr>
      </w:pPr>
      <w:r>
        <w:rPr>
          <w:rFonts w:ascii="Arial" w:cs="Arial" w:eastAsia="Arial" w:hAnsi="Arial"/>
          <w:sz w:val="18"/>
          <w:szCs w:val="18"/>
          <w:color w:val="4D4D4F"/>
        </w:rPr>
        <w:t>The views, questions and constructive comments of all stockholders are valued and welcomed. The purpose of the Annual Meeting must be observed, however, and the Company will not permit questions that:</w:t>
      </w:r>
    </w:p>
    <w:p>
      <w:pPr>
        <w:spacing w:after="0" w:line="156" w:lineRule="exact"/>
        <w:rPr>
          <w:rFonts w:ascii="Arial" w:cs="Arial" w:eastAsia="Arial" w:hAnsi="Arial"/>
          <w:sz w:val="18"/>
          <w:szCs w:val="18"/>
          <w:color w:val="4D4D4F"/>
        </w:rPr>
      </w:pPr>
    </w:p>
    <w:p>
      <w:pPr>
        <w:ind w:left="980" w:hanging="162"/>
        <w:spacing w:after="0"/>
        <w:tabs>
          <w:tab w:leader="none" w:pos="980" w:val="left"/>
        </w:tabs>
        <w:numPr>
          <w:ilvl w:val="2"/>
          <w:numId w:val="76"/>
        </w:numPr>
        <w:rPr>
          <w:rFonts w:ascii="Arial" w:cs="Arial" w:eastAsia="Arial" w:hAnsi="Arial"/>
          <w:sz w:val="18"/>
          <w:szCs w:val="18"/>
          <w:color w:val="4D4D4F"/>
        </w:rPr>
      </w:pPr>
      <w:r>
        <w:rPr>
          <w:rFonts w:ascii="Arial" w:cs="Arial" w:eastAsia="Arial" w:hAnsi="Arial"/>
          <w:sz w:val="18"/>
          <w:szCs w:val="18"/>
          <w:color w:val="4D4D4F"/>
        </w:rPr>
        <w:t>are not relevant or pertinent to the business of the Company;</w:t>
      </w:r>
    </w:p>
    <w:p>
      <w:pPr>
        <w:spacing w:after="0" w:line="171" w:lineRule="exact"/>
        <w:rPr>
          <w:rFonts w:ascii="Arial" w:cs="Arial" w:eastAsia="Arial" w:hAnsi="Arial"/>
          <w:sz w:val="18"/>
          <w:szCs w:val="18"/>
          <w:color w:val="4D4D4F"/>
        </w:rPr>
      </w:pPr>
    </w:p>
    <w:p>
      <w:pPr>
        <w:ind w:left="1300" w:hanging="482"/>
        <w:spacing w:after="0"/>
        <w:tabs>
          <w:tab w:leader="none" w:pos="1300" w:val="left"/>
        </w:tabs>
        <w:numPr>
          <w:ilvl w:val="2"/>
          <w:numId w:val="76"/>
        </w:numPr>
        <w:rPr>
          <w:rFonts w:ascii="Arial" w:cs="Arial" w:eastAsia="Arial" w:hAnsi="Arial"/>
          <w:sz w:val="18"/>
          <w:szCs w:val="18"/>
          <w:color w:val="4D4D4F"/>
        </w:rPr>
      </w:pPr>
      <w:r>
        <w:rPr>
          <w:rFonts w:ascii="Arial" w:cs="Arial" w:eastAsia="Arial" w:hAnsi="Arial"/>
          <w:sz w:val="18"/>
          <w:szCs w:val="18"/>
          <w:color w:val="4D4D4F"/>
        </w:rPr>
        <w:t>are related to material non-public information of the Company;</w:t>
      </w:r>
    </w:p>
    <w:p>
      <w:pPr>
        <w:spacing w:after="0" w:line="184" w:lineRule="exact"/>
        <w:rPr>
          <w:rFonts w:ascii="Arial" w:cs="Arial" w:eastAsia="Arial" w:hAnsi="Arial"/>
          <w:sz w:val="18"/>
          <w:szCs w:val="18"/>
          <w:color w:val="4D4D4F"/>
        </w:rPr>
      </w:pPr>
    </w:p>
    <w:p>
      <w:pPr>
        <w:ind w:left="1300" w:hanging="482"/>
        <w:spacing w:after="0"/>
        <w:tabs>
          <w:tab w:leader="none" w:pos="1300" w:val="left"/>
        </w:tabs>
        <w:numPr>
          <w:ilvl w:val="2"/>
          <w:numId w:val="76"/>
        </w:numPr>
        <w:rPr>
          <w:rFonts w:ascii="Arial" w:cs="Arial" w:eastAsia="Arial" w:hAnsi="Arial"/>
          <w:sz w:val="18"/>
          <w:szCs w:val="18"/>
          <w:color w:val="4D4D4F"/>
        </w:rPr>
      </w:pPr>
      <w:r>
        <w:rPr>
          <w:rFonts w:ascii="Arial" w:cs="Arial" w:eastAsia="Arial" w:hAnsi="Arial"/>
          <w:sz w:val="18"/>
          <w:szCs w:val="18"/>
          <w:color w:val="4D4D4F"/>
        </w:rPr>
        <w:t>are related to pending or threatened litigation or investigations;</w:t>
      </w:r>
    </w:p>
    <w:p>
      <w:pPr>
        <w:spacing w:after="0" w:line="171" w:lineRule="exact"/>
        <w:rPr>
          <w:rFonts w:ascii="Arial" w:cs="Arial" w:eastAsia="Arial" w:hAnsi="Arial"/>
          <w:sz w:val="18"/>
          <w:szCs w:val="18"/>
          <w:color w:val="4D4D4F"/>
        </w:rPr>
      </w:pPr>
    </w:p>
    <w:p>
      <w:pPr>
        <w:ind w:left="1300" w:hanging="482"/>
        <w:spacing w:after="0"/>
        <w:tabs>
          <w:tab w:leader="none" w:pos="1300" w:val="left"/>
        </w:tabs>
        <w:numPr>
          <w:ilvl w:val="2"/>
          <w:numId w:val="76"/>
        </w:numPr>
        <w:rPr>
          <w:rFonts w:ascii="Arial" w:cs="Arial" w:eastAsia="Arial" w:hAnsi="Arial"/>
          <w:sz w:val="18"/>
          <w:szCs w:val="18"/>
          <w:color w:val="4D4D4F"/>
        </w:rPr>
      </w:pPr>
      <w:r>
        <w:rPr>
          <w:rFonts w:ascii="Arial" w:cs="Arial" w:eastAsia="Arial" w:hAnsi="Arial"/>
          <w:sz w:val="18"/>
          <w:szCs w:val="18"/>
          <w:color w:val="4D4D4F"/>
        </w:rPr>
        <w:t>are in furtherance of a stockholder’s personal or business interests;</w:t>
      </w:r>
    </w:p>
    <w:p>
      <w:pPr>
        <w:spacing w:after="0" w:line="171" w:lineRule="exact"/>
        <w:rPr>
          <w:rFonts w:ascii="Arial" w:cs="Arial" w:eastAsia="Arial" w:hAnsi="Arial"/>
          <w:sz w:val="18"/>
          <w:szCs w:val="18"/>
          <w:color w:val="4D4D4F"/>
        </w:rPr>
      </w:pPr>
    </w:p>
    <w:p>
      <w:pPr>
        <w:ind w:left="1300" w:hanging="482"/>
        <w:spacing w:after="0"/>
        <w:tabs>
          <w:tab w:leader="none" w:pos="1300" w:val="left"/>
        </w:tabs>
        <w:numPr>
          <w:ilvl w:val="2"/>
          <w:numId w:val="76"/>
        </w:numPr>
        <w:rPr>
          <w:rFonts w:ascii="Arial" w:cs="Arial" w:eastAsia="Arial" w:hAnsi="Arial"/>
          <w:sz w:val="18"/>
          <w:szCs w:val="18"/>
          <w:color w:val="4D4D4F"/>
        </w:rPr>
      </w:pPr>
      <w:r>
        <w:rPr>
          <w:rFonts w:ascii="Arial" w:cs="Arial" w:eastAsia="Arial" w:hAnsi="Arial"/>
          <w:sz w:val="18"/>
          <w:szCs w:val="18"/>
          <w:color w:val="4D4D4F"/>
        </w:rPr>
        <w:t>are repetitious of statements made by another stockholder;</w:t>
      </w:r>
    </w:p>
    <w:p>
      <w:pPr>
        <w:spacing w:after="0" w:line="184" w:lineRule="exact"/>
        <w:rPr>
          <w:rFonts w:ascii="Arial" w:cs="Arial" w:eastAsia="Arial" w:hAnsi="Arial"/>
          <w:sz w:val="18"/>
          <w:szCs w:val="18"/>
          <w:color w:val="4D4D4F"/>
        </w:rPr>
      </w:pPr>
    </w:p>
    <w:p>
      <w:pPr>
        <w:ind w:left="1300" w:hanging="482"/>
        <w:spacing w:after="0"/>
        <w:tabs>
          <w:tab w:leader="none" w:pos="1300" w:val="left"/>
        </w:tabs>
        <w:numPr>
          <w:ilvl w:val="2"/>
          <w:numId w:val="76"/>
        </w:numPr>
        <w:rPr>
          <w:rFonts w:ascii="Arial" w:cs="Arial" w:eastAsia="Arial" w:hAnsi="Arial"/>
          <w:sz w:val="18"/>
          <w:szCs w:val="18"/>
          <w:color w:val="4D4D4F"/>
        </w:rPr>
      </w:pPr>
      <w:r>
        <w:rPr>
          <w:rFonts w:ascii="Arial" w:cs="Arial" w:eastAsia="Arial" w:hAnsi="Arial"/>
          <w:sz w:val="18"/>
          <w:szCs w:val="18"/>
          <w:color w:val="4D4D4F"/>
        </w:rPr>
        <w:t>are related to personal grievances;</w:t>
      </w:r>
    </w:p>
    <w:p>
      <w:pPr>
        <w:spacing w:after="0" w:line="171" w:lineRule="exact"/>
        <w:rPr>
          <w:rFonts w:ascii="Arial" w:cs="Arial" w:eastAsia="Arial" w:hAnsi="Arial"/>
          <w:sz w:val="18"/>
          <w:szCs w:val="18"/>
          <w:color w:val="4D4D4F"/>
        </w:rPr>
      </w:pPr>
    </w:p>
    <w:p>
      <w:pPr>
        <w:ind w:left="1300" w:hanging="482"/>
        <w:spacing w:after="0"/>
        <w:tabs>
          <w:tab w:leader="none" w:pos="1300" w:val="left"/>
        </w:tabs>
        <w:numPr>
          <w:ilvl w:val="2"/>
          <w:numId w:val="76"/>
        </w:numPr>
        <w:rPr>
          <w:rFonts w:ascii="Arial" w:cs="Arial" w:eastAsia="Arial" w:hAnsi="Arial"/>
          <w:sz w:val="18"/>
          <w:szCs w:val="18"/>
          <w:color w:val="4D4D4F"/>
        </w:rPr>
      </w:pPr>
      <w:r>
        <w:rPr>
          <w:rFonts w:ascii="Arial" w:cs="Arial" w:eastAsia="Arial" w:hAnsi="Arial"/>
          <w:sz w:val="18"/>
          <w:szCs w:val="18"/>
          <w:color w:val="4D4D4F"/>
        </w:rPr>
        <w:t>include derogatory references to individuals or are otherwise in bad taste; or</w:t>
      </w:r>
    </w:p>
    <w:p>
      <w:pPr>
        <w:spacing w:after="0" w:line="171" w:lineRule="exact"/>
        <w:rPr>
          <w:rFonts w:ascii="Arial" w:cs="Arial" w:eastAsia="Arial" w:hAnsi="Arial"/>
          <w:sz w:val="18"/>
          <w:szCs w:val="18"/>
          <w:color w:val="4D4D4F"/>
        </w:rPr>
      </w:pPr>
    </w:p>
    <w:p>
      <w:pPr>
        <w:ind w:left="1300" w:hanging="482"/>
        <w:spacing w:after="0" w:line="246" w:lineRule="auto"/>
        <w:tabs>
          <w:tab w:leader="none" w:pos="1300" w:val="left"/>
        </w:tabs>
        <w:numPr>
          <w:ilvl w:val="2"/>
          <w:numId w:val="76"/>
        </w:numPr>
        <w:rPr>
          <w:rFonts w:ascii="Arial" w:cs="Arial" w:eastAsia="Arial" w:hAnsi="Arial"/>
          <w:sz w:val="18"/>
          <w:szCs w:val="18"/>
          <w:color w:val="4D4D4F"/>
        </w:rPr>
      </w:pPr>
      <w:r>
        <w:rPr>
          <w:rFonts w:ascii="Arial" w:cs="Arial" w:eastAsia="Arial" w:hAnsi="Arial"/>
          <w:sz w:val="18"/>
          <w:szCs w:val="18"/>
          <w:color w:val="4D4D4F"/>
        </w:rPr>
        <w:t>are out of order or not otherwise suitable for the conduct of the Annual Meeting as determined by the Chair in his reasonable judgment.</w:t>
      </w:r>
    </w:p>
    <w:p>
      <w:pPr>
        <w:spacing w:after="0" w:line="169" w:lineRule="exact"/>
        <w:rPr>
          <w:rFonts w:ascii="Arial" w:cs="Arial" w:eastAsia="Arial" w:hAnsi="Arial"/>
          <w:sz w:val="18"/>
          <w:szCs w:val="18"/>
          <w:color w:val="4D4D4F"/>
        </w:rPr>
      </w:pPr>
    </w:p>
    <w:p>
      <w:pPr>
        <w:jc w:val="both"/>
        <w:ind w:left="340" w:hanging="332"/>
        <w:spacing w:after="0"/>
        <w:tabs>
          <w:tab w:leader="none" w:pos="340" w:val="left"/>
        </w:tabs>
        <w:numPr>
          <w:ilvl w:val="0"/>
          <w:numId w:val="77"/>
        </w:numPr>
        <w:rPr>
          <w:rFonts w:ascii="Arial" w:cs="Arial" w:eastAsia="Arial" w:hAnsi="Arial"/>
          <w:sz w:val="18"/>
          <w:szCs w:val="18"/>
          <w:color w:val="4D4D4F"/>
        </w:rPr>
      </w:pPr>
      <w:r>
        <w:rPr>
          <w:rFonts w:ascii="Arial" w:cs="Arial" w:eastAsia="Arial" w:hAnsi="Arial"/>
          <w:sz w:val="18"/>
          <w:szCs w:val="18"/>
          <w:color w:val="4D4D4F"/>
        </w:rPr>
        <w:t>If there are any matters of individual concern to a stockholder and not of general concern to all stockholders, or if a question posed was not otherwise answered, such matters may be raised separately after the Annual Meeting by contacting Investor Relations at investor.relations@acmrcsh.com.</w:t>
      </w:r>
    </w:p>
    <w:p>
      <w:pPr>
        <w:spacing w:after="0" w:line="162" w:lineRule="exact"/>
        <w:rPr>
          <w:rFonts w:ascii="Arial" w:cs="Arial" w:eastAsia="Arial" w:hAnsi="Arial"/>
          <w:sz w:val="18"/>
          <w:szCs w:val="18"/>
          <w:color w:val="4D4D4F"/>
        </w:rPr>
      </w:pPr>
    </w:p>
    <w:p>
      <w:pPr>
        <w:jc w:val="both"/>
        <w:ind w:left="340" w:hanging="332"/>
        <w:spacing w:after="0" w:line="238" w:lineRule="auto"/>
        <w:tabs>
          <w:tab w:leader="none" w:pos="340" w:val="left"/>
        </w:tabs>
        <w:numPr>
          <w:ilvl w:val="0"/>
          <w:numId w:val="77"/>
        </w:numPr>
        <w:rPr>
          <w:rFonts w:ascii="Arial" w:cs="Arial" w:eastAsia="Arial" w:hAnsi="Arial"/>
          <w:sz w:val="18"/>
          <w:szCs w:val="18"/>
          <w:color w:val="4D4D4F"/>
        </w:rPr>
      </w:pPr>
      <w:r>
        <w:rPr>
          <w:rFonts w:ascii="Arial" w:cs="Arial" w:eastAsia="Arial" w:hAnsi="Arial"/>
          <w:sz w:val="18"/>
          <w:szCs w:val="18"/>
          <w:color w:val="4D4D4F"/>
        </w:rPr>
        <w:t>Recording of the Annual Meeting is prohibited without the prior written permission of the Company. A webcast playback of the Annual Meeting will be available at http://ir.acmrcsh.com/presentations within approximately 24 hours after the completion of the Annual Meeting and will remain publicly available until our next annual meeting of stockholders in 2022. The webcast playback will include each stockholder question addressed during the Annual Meeting.</w:t>
      </w:r>
    </w:p>
    <w:p>
      <w:pPr>
        <w:spacing w:after="0" w:line="164" w:lineRule="exact"/>
        <w:rPr>
          <w:rFonts w:ascii="Arial" w:cs="Arial" w:eastAsia="Arial" w:hAnsi="Arial"/>
          <w:sz w:val="18"/>
          <w:szCs w:val="18"/>
          <w:color w:val="4D4D4F"/>
        </w:rPr>
      </w:pPr>
    </w:p>
    <w:p>
      <w:pPr>
        <w:ind w:left="340" w:hanging="332"/>
        <w:spacing w:after="0"/>
        <w:tabs>
          <w:tab w:leader="none" w:pos="340" w:val="left"/>
        </w:tabs>
        <w:numPr>
          <w:ilvl w:val="0"/>
          <w:numId w:val="77"/>
        </w:numPr>
        <w:rPr>
          <w:rFonts w:ascii="Arial" w:cs="Arial" w:eastAsia="Arial" w:hAnsi="Arial"/>
          <w:sz w:val="18"/>
          <w:szCs w:val="18"/>
          <w:color w:val="4D4D4F"/>
        </w:rPr>
      </w:pPr>
      <w:r>
        <w:rPr>
          <w:rFonts w:ascii="Arial" w:cs="Arial" w:eastAsia="Arial" w:hAnsi="Arial"/>
          <w:sz w:val="18"/>
          <w:szCs w:val="18"/>
          <w:color w:val="4D4D4F"/>
        </w:rPr>
        <w:t>A violation of any of the above conduct requirements will be cause for dismissal from the Annual Meeting.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THANK YOU FOR YOUR COOPERATION AND FOR JOINING THE ANNUAL MEETING.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4D4D4F"/>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05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7356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735695"/>
                    </a:xfrm>
                    <a:prstGeom prst="rect">
                      <a:avLst/>
                    </a:prstGeom>
                    <a:noFill/>
                  </pic:spPr>
                </pic:pic>
              </a:graphicData>
            </a:graphic>
          </wp:anchor>
        </w:drawing>
      </w:r>
    </w:p>
    <w:sectPr>
      <w:pgSz w:w="11900" w:h="16838" w:orient="portrait"/>
      <w:cols w:equalWidth="0" w:num="1">
        <w:col w:w="10139"/>
      </w:cols>
      <w:pgMar w:left="320" w:top="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lvl w:ilvl="1">
      <w:lvlJc w:val="left"/>
      <w:lvlText w:val="(%2)"/>
      <w:numFmt w:val="decimal"/>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upperLetter"/>
      <w:start w:val="1"/>
    </w:lvl>
  </w:abstractNum>
  <w:abstractNum w:abstractNumId="8">
    <w:nsid w:val="2A487CB0"/>
    <w:multiLevelType w:val="hybridMultilevel"/>
    <w:lvl w:ilvl="0">
      <w:lvlJc w:val="left"/>
      <w:lvlText w:val="%1:"/>
      <w:numFmt w:val="upperLetter"/>
      <w:start w:val="1"/>
    </w:lvl>
  </w:abstractNum>
  <w:abstractNum w:abstractNumId="9">
    <w:nsid w:val="1D4ED43B"/>
    <w:multiLevelType w:val="hybridMultilevel"/>
    <w:lvl w:ilvl="0">
      <w:lvlJc w:val="left"/>
      <w:lvlText w:val="%1:"/>
      <w:numFmt w:val="upperLetter"/>
      <w:start w:val="1"/>
    </w:lvl>
    <w:lvl w:ilvl="1">
      <w:lvlJc w:val="left"/>
      <w:lvlText w:val="•"/>
      <w:numFmt w:val="bullet"/>
      <w:start w:val="1"/>
    </w:lvl>
  </w:abstractNum>
  <w:abstractNum w:abstractNumId="10">
    <w:nsid w:val="725A06FB"/>
    <w:multiLevelType w:val="hybridMultilevel"/>
    <w:lvl w:ilvl="0">
      <w:lvlJc w:val="left"/>
      <w:lvlText w:val="%1:"/>
      <w:numFmt w:val="upperLetter"/>
      <w:start w:val="1"/>
    </w:lvl>
  </w:abstractNum>
  <w:abstractNum w:abstractNumId="11">
    <w:nsid w:val="2CD89A32"/>
    <w:multiLevelType w:val="hybridMultilevel"/>
    <w:lvl w:ilvl="0">
      <w:lvlJc w:val="left"/>
      <w:lvlText w:val="%1:"/>
      <w:numFmt w:val="upperLetter"/>
      <w:start w:val="1"/>
    </w:lvl>
  </w:abstractNum>
  <w:abstractNum w:abstractNumId="12">
    <w:nsid w:val="57E4CCAF"/>
    <w:multiLevelType w:val="hybridMultilevel"/>
    <w:lvl w:ilvl="0">
      <w:lvlJc w:val="left"/>
      <w:lvlText w:val="%1:"/>
      <w:numFmt w:val="upperLetter"/>
      <w:start w:val="1"/>
    </w:lvl>
  </w:abstractNum>
  <w:abstractNum w:abstractNumId="13">
    <w:nsid w:val="7A6D8D3C"/>
    <w:multiLevelType w:val="hybridMultilevel"/>
    <w:lvl w:ilvl="0">
      <w:lvlJc w:val="left"/>
      <w:lvlText w:val="%1:"/>
      <w:numFmt w:val="upperLetter"/>
      <w:start w:val="1"/>
    </w:lvl>
  </w:abstractNum>
  <w:abstractNum w:abstractNumId="14">
    <w:nsid w:val="4B588F54"/>
    <w:multiLevelType w:val="hybridMultilevel"/>
    <w:lvl w:ilvl="0">
      <w:lvlJc w:val="left"/>
      <w:lvlText w:val="%1:"/>
      <w:numFmt w:val="upperLetter"/>
      <w:start w:val="1"/>
    </w:lvl>
  </w:abstractNum>
  <w:abstractNum w:abstractNumId="15">
    <w:nsid w:val="542289EC"/>
    <w:multiLevelType w:val="hybridMultilevel"/>
    <w:lvl w:ilvl="0">
      <w:lvlJc w:val="left"/>
      <w:lvlText w:val="%1:"/>
      <w:numFmt w:val="upperLetter"/>
      <w:start w:val="1"/>
    </w:lvl>
    <w:lvl w:ilvl="1">
      <w:lvlJc w:val="left"/>
      <w:lvlText w:val="•"/>
      <w:numFmt w:val="bullet"/>
      <w:start w:val="1"/>
    </w:lvl>
  </w:abstractNum>
  <w:abstractNum w:abstractNumId="16">
    <w:nsid w:val="6DE91B18"/>
    <w:multiLevelType w:val="hybridMultilevel"/>
    <w:lvl w:ilvl="0">
      <w:lvlJc w:val="left"/>
      <w:lvlText w:val="%1:"/>
      <w:numFmt w:val="upperLetter"/>
      <w:start w:val="1"/>
    </w:lvl>
    <w:lvl w:ilvl="1">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upperLetter"/>
      <w:start w:val="1"/>
    </w:lvl>
  </w:abstractNum>
  <w:abstractNum w:abstractNumId="19">
    <w:nsid w:val="32FFF902"/>
    <w:multiLevelType w:val="hybridMultilevel"/>
    <w:lvl w:ilvl="0">
      <w:lvlJc w:val="left"/>
      <w:lvlText w:val="%1:"/>
      <w:numFmt w:val="upperLetter"/>
      <w:start w:val="1"/>
    </w:lvl>
  </w:abstractNum>
  <w:abstractNum w:abstractNumId="20">
    <w:nsid w:val="684A481A"/>
    <w:multiLevelType w:val="hybridMultilevel"/>
    <w:lvl w:ilvl="0">
      <w:lvlJc w:val="left"/>
      <w:lvlText w:val="%1:"/>
      <w:numFmt w:val="upperLetter"/>
      <w:start w:val="1"/>
    </w:lvl>
  </w:abstractNum>
  <w:abstractNum w:abstractNumId="21">
    <w:nsid w:val="579478FE"/>
    <w:multiLevelType w:val="hybridMultilevel"/>
    <w:lvl w:ilvl="0">
      <w:lvlJc w:val="left"/>
      <w:lvlText w:val="%1:"/>
      <w:numFmt w:val="upperLetter"/>
      <w:start w:val="1"/>
    </w:lvl>
  </w:abstractNum>
  <w:abstractNum w:abstractNumId="22">
    <w:nsid w:val="749ABB43"/>
    <w:multiLevelType w:val="hybridMultilevel"/>
    <w:lvl w:ilvl="0">
      <w:lvlJc w:val="left"/>
      <w:lvlText w:val="%1:"/>
      <w:numFmt w:val="upperLetter"/>
      <w:start w:val="1"/>
    </w:lvl>
    <w:lvl w:ilvl="1">
      <w:lvlJc w:val="left"/>
      <w:lvlText w:val="•"/>
      <w:numFmt w:val="bullet"/>
      <w:start w:val="1"/>
    </w:lvl>
  </w:abstractNum>
  <w:abstractNum w:abstractNumId="23">
    <w:nsid w:val="3DC240FB"/>
    <w:multiLevelType w:val="hybridMultilevel"/>
    <w:lvl w:ilvl="0">
      <w:lvlJc w:val="left"/>
      <w:lvlText w:val="%1:"/>
      <w:numFmt w:val="upperLetter"/>
      <w:start w:val="1"/>
    </w:lvl>
  </w:abstractNum>
  <w:abstractNum w:abstractNumId="24">
    <w:nsid w:val="1BA026FA"/>
    <w:multiLevelType w:val="hybridMultilevel"/>
    <w:lvl w:ilvl="0">
      <w:lvlJc w:val="left"/>
      <w:lvlText w:val="%1:"/>
      <w:numFmt w:val="upperLetter"/>
      <w:start w:val="17"/>
    </w:lvl>
  </w:abstractNum>
  <w:abstractNum w:abstractNumId="25">
    <w:nsid w:val="79A1DEAA"/>
    <w:multiLevelType w:val="hybridMultilevel"/>
    <w:lvl w:ilvl="0">
      <w:lvlJc w:val="left"/>
      <w:lvlText w:val="%1:"/>
      <w:numFmt w:val="upperLetter"/>
      <w:start w:val="1"/>
    </w:lvl>
  </w:abstractNum>
  <w:abstractNum w:abstractNumId="26">
    <w:nsid w:val="75C6C33A"/>
    <w:multiLevelType w:val="hybridMultilevel"/>
    <w:lvl w:ilvl="0">
      <w:lvlJc w:val="left"/>
      <w:lvlText w:val="%1:"/>
      <w:numFmt w:val="upperLetter"/>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lvl w:ilvl="1">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lvl w:ilvl="1">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decimal"/>
      <w:start w:val="7"/>
    </w:lvl>
  </w:abstractNum>
  <w:abstractNum w:abstractNumId="53">
    <w:nsid w:val="25A70BF7"/>
    <w:multiLevelType w:val="hybridMultilevel"/>
    <w:lvl w:ilvl="0">
      <w:lvlJc w:val="left"/>
      <w:lvlText w:val="(%1)"/>
      <w:numFmt w:val="decimal"/>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1)"/>
      <w:numFmt w:val="decimal"/>
      <w:start w:val="1"/>
    </w:lvl>
  </w:abstractNum>
  <w:abstractNum w:abstractNumId="58">
    <w:nsid w:val="5DB70AE5"/>
    <w:multiLevelType w:val="hybridMultilevel"/>
    <w:lvl w:ilvl="0">
      <w:lvlJc w:val="left"/>
      <w:lvlText w:val="(%1)"/>
      <w:numFmt w:val="decimal"/>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decimal"/>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1)"/>
      <w:numFmt w:val="lowerRoman"/>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2">
    <w:nsid w:val="7BD3EE7B"/>
    <w:multiLevelType w:val="hybridMultilevel"/>
    <w:lvl w:ilvl="0">
      <w:lvlJc w:val="left"/>
      <w:lvlText w:val="(%1)"/>
      <w:numFmt w:val="lowerLetter"/>
      <w:start w:val="3"/>
    </w:lvl>
    <w:lvl w:ilvl="1">
      <w:lvlJc w:val="left"/>
      <w:lvlText w:val="*"/>
      <w:numFmt w:val="bullet"/>
      <w:start w:val="1"/>
    </w:lvl>
  </w:abstractNum>
  <w:abstractNum w:abstractNumId="73">
    <w:nsid w:val="51D9C564"/>
    <w:multiLevelType w:val="hybridMultilevel"/>
    <w:lvl w:ilvl="0">
      <w:lvlJc w:val="left"/>
      <w:lvlText w:val="*"/>
      <w:numFmt w:val="bullet"/>
      <w:start w:val="1"/>
    </w:lvl>
    <w:lvl w:ilvl="1">
      <w:lvlJc w:val="left"/>
      <w:lvlText w:val="(%2)"/>
      <w:numFmt w:val="lowerRoman"/>
      <w:start w:val="2"/>
    </w:lvl>
    <w:lvl w:ilvl="2">
      <w:lvlJc w:val="left"/>
      <w:lvlText w:val="(%3)"/>
      <w:numFmt w:val="upperLetter"/>
      <w:start w:val="1"/>
    </w:lvl>
  </w:abstractNum>
  <w:abstractNum w:abstractNumId="74">
    <w:nsid w:val="613EFDC5"/>
    <w:multiLevelType w:val="hybridMultilevel"/>
    <w:lvl w:ilvl="0">
      <w:lvlJc w:val="left"/>
      <w:lvlText w:val="%1."/>
      <w:numFmt w:val="decimal"/>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11447B7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2021-04-23T16:30:15Z</dcterms:created>
  <dcterms:modified xsi:type="dcterms:W3CDTF">2021-04-23T16:30:15Z</dcterms:modified>
</cp:coreProperties>
</file>