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5"/>
          <w:szCs w:val="25"/>
          <w:b w:val="1"/>
          <w:bCs w:val="1"/>
          <w:color w:val="auto"/>
        </w:rPr>
        <w:t>SCHEDULE 14A</w:t>
      </w:r>
    </w:p>
    <w:p>
      <w:pPr>
        <w:jc w:val="center"/>
        <w:spacing w:after="0" w:line="231" w:lineRule="auto"/>
        <w:rPr>
          <w:sz w:val="20"/>
          <w:szCs w:val="20"/>
          <w:color w:val="auto"/>
        </w:rPr>
      </w:pPr>
      <w:r>
        <w:rPr>
          <w:rFonts w:ascii="Arial" w:cs="Arial" w:eastAsia="Arial" w:hAnsi="Arial"/>
          <w:sz w:val="22"/>
          <w:szCs w:val="22"/>
          <w:b w:val="1"/>
          <w:bCs w:val="1"/>
          <w:color w:val="auto"/>
        </w:rPr>
        <w:t>Proxy Statement Pursuant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Section 14(a) of the Securities Exchange Act of 1934</w:t>
      </w:r>
    </w:p>
    <w:p>
      <w:pPr>
        <w:spacing w:after="0" w:line="189" w:lineRule="exact"/>
        <w:rPr>
          <w:sz w:val="24"/>
          <w:szCs w:val="24"/>
          <w:color w:val="auto"/>
        </w:rPr>
      </w:pPr>
    </w:p>
    <w:p>
      <w:pPr>
        <w:spacing w:after="0" w:line="207" w:lineRule="exact"/>
        <w:tabs>
          <w:tab w:leader="none" w:pos="8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ind w:left="420" w:hanging="408"/>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20" w:hanging="408"/>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20" w:hanging="408"/>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20" w:hanging="408"/>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163195</wp:posOffset>
            </wp:positionV>
            <wp:extent cx="99441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441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35" w:lineRule="exact"/>
        <w:rPr>
          <w:sz w:val="24"/>
          <w:szCs w:val="24"/>
          <w:color w:val="auto"/>
        </w:rPr>
      </w:pPr>
    </w:p>
    <w:p>
      <w:pPr>
        <w:ind w:left="3540"/>
        <w:spacing w:after="0"/>
        <w:rPr>
          <w:sz w:val="20"/>
          <w:szCs w:val="20"/>
          <w:color w:val="auto"/>
        </w:rPr>
      </w:pPr>
      <w:r>
        <w:rPr>
          <w:rFonts w:ascii="Arial" w:cs="Arial" w:eastAsia="Arial" w:hAnsi="Arial"/>
          <w:sz w:val="22"/>
          <w:szCs w:val="22"/>
          <w:i w:val="1"/>
          <w:iCs w:val="1"/>
          <w:color w:val="auto"/>
        </w:rPr>
        <w:t>(Name of Registrant as Specified In Its Charter)</w:t>
      </w:r>
    </w:p>
    <w:p>
      <w:pPr>
        <w:spacing w:after="0" w:line="229" w:lineRule="auto"/>
        <w:rPr>
          <w:sz w:val="20"/>
          <w:szCs w:val="20"/>
          <w:color w:val="auto"/>
        </w:rPr>
      </w:pPr>
      <w:r>
        <w:rPr>
          <w:rFonts w:ascii="Arial" w:cs="Arial" w:eastAsia="Arial" w:hAnsi="Arial"/>
          <w:sz w:val="22"/>
          <w:szCs w:val="22"/>
          <w:color w:val="auto"/>
        </w:rPr>
        <w:t>Payment of Filing Fee (Check the appropriate box):</w:t>
      </w:r>
    </w:p>
    <w:p>
      <w:pPr>
        <w:ind w:left="420" w:hanging="412"/>
        <w:spacing w:after="0"/>
        <w:tabs>
          <w:tab w:leader="none" w:pos="4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 w:lineRule="exact"/>
        <w:rPr>
          <w:rFonts w:ascii="MS PGothic" w:cs="MS PGothic" w:eastAsia="MS PGothic" w:hAnsi="MS PGothic"/>
          <w:sz w:val="18"/>
          <w:szCs w:val="18"/>
          <w:color w:val="auto"/>
        </w:rPr>
      </w:pPr>
    </w:p>
    <w:p>
      <w:pPr>
        <w:ind w:left="420" w:hanging="408"/>
        <w:spacing w:after="0"/>
        <w:tabs>
          <w:tab w:leader="none" w:pos="42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9"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40" w:hanging="414"/>
        <w:spacing w:after="0" w:line="277" w:lineRule="auto"/>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20" w:hanging="408"/>
        <w:spacing w:after="0"/>
        <w:tabs>
          <w:tab w:leader="none" w:pos="42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20" w:hanging="408"/>
        <w:spacing w:after="0" w:line="249" w:lineRule="auto"/>
        <w:tabs>
          <w:tab w:leader="none" w:pos="42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1"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40" w:hanging="414"/>
        <w:spacing w:after="0"/>
        <w:tabs>
          <w:tab w:leader="none" w:pos="84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160655</wp:posOffset>
            </wp:positionV>
            <wp:extent cx="6609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-139065</wp:posOffset>
            </wp:positionV>
            <wp:extent cx="6609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-438785</wp:posOffset>
            </wp:positionV>
            <wp:extent cx="6609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-739140</wp:posOffset>
            </wp:positionV>
            <wp:extent cx="6609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-1442085</wp:posOffset>
            </wp:positionV>
            <wp:extent cx="6609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-1741805</wp:posOffset>
            </wp:positionV>
            <wp:extent cx="6609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-2042160</wp:posOffset>
            </wp:positionV>
            <wp:extent cx="6609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-2479040</wp:posOffset>
            </wp:positionV>
            <wp:extent cx="6609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-2779395</wp:posOffset>
            </wp:positionV>
            <wp:extent cx="6609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9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3277235</wp:posOffset>
            </wp:positionH>
            <wp:positionV relativeFrom="page">
              <wp:posOffset>88900</wp:posOffset>
            </wp:positionV>
            <wp:extent cx="994410"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94410" cy="634365"/>
                    </a:xfrm>
                    <a:prstGeom prst="rect">
                      <a:avLst/>
                    </a:prstGeom>
                    <a:noFill/>
                  </pic:spPr>
                </pic:pic>
              </a:graphicData>
            </a:graphic>
          </wp:anchor>
        </w:drawing>
        <w:t>S</w:t>
      </w:r>
      <w:r>
        <w:rPr>
          <w:rFonts w:ascii="Arial" w:cs="Arial" w:eastAsia="Arial" w:hAnsi="Arial"/>
          <w:sz w:val="16"/>
          <w:szCs w:val="16"/>
          <w:b w:val="1"/>
          <w:bCs w:val="1"/>
          <w:color w:val="auto"/>
        </w:rPr>
        <w:t>UPPLEMENT TO</w:t>
      </w:r>
      <w:r>
        <w:rPr>
          <w:rFonts w:ascii="Arial" w:cs="Arial" w:eastAsia="Arial" w:hAnsi="Arial"/>
          <w:sz w:val="22"/>
          <w:szCs w:val="22"/>
          <w:b w:val="1"/>
          <w:bCs w:val="1"/>
          <w:color w:val="auto"/>
        </w:rPr>
        <w:t xml:space="preserve"> P</w:t>
      </w:r>
      <w:r>
        <w:rPr>
          <w:rFonts w:ascii="Arial" w:cs="Arial" w:eastAsia="Arial" w:hAnsi="Arial"/>
          <w:sz w:val="16"/>
          <w:szCs w:val="16"/>
          <w:b w:val="1"/>
          <w:bCs w:val="1"/>
          <w:color w:val="auto"/>
        </w:rPr>
        <w:t>ROXY</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6"/>
          <w:szCs w:val="16"/>
          <w:b w:val="1"/>
          <w:bCs w:val="1"/>
          <w:color w:val="auto"/>
        </w:rPr>
        <w:t>OR</w:t>
      </w:r>
      <w:r>
        <w:rPr>
          <w:rFonts w:ascii="Arial" w:cs="Arial" w:eastAsia="Arial" w:hAnsi="Arial"/>
          <w:sz w:val="22"/>
          <w:szCs w:val="22"/>
          <w:b w:val="1"/>
          <w:bCs w:val="1"/>
          <w:color w:val="auto"/>
        </w:rPr>
        <w:t xml:space="preserve"> 2022 A</w:t>
      </w:r>
      <w:r>
        <w:rPr>
          <w:rFonts w:ascii="Arial" w:cs="Arial" w:eastAsia="Arial" w:hAnsi="Arial"/>
          <w:sz w:val="16"/>
          <w:szCs w:val="16"/>
          <w:b w:val="1"/>
          <w:bCs w:val="1"/>
          <w:color w:val="auto"/>
        </w:rPr>
        <w:t>NNUAL</w:t>
      </w:r>
      <w:r>
        <w:rPr>
          <w:rFonts w:ascii="Arial" w:cs="Arial" w:eastAsia="Arial" w:hAnsi="Arial"/>
          <w:sz w:val="22"/>
          <w:szCs w:val="22"/>
          <w:b w:val="1"/>
          <w:bCs w:val="1"/>
          <w:color w:val="auto"/>
        </w:rPr>
        <w:t xml:space="preserve"> M</w:t>
      </w:r>
      <w:r>
        <w:rPr>
          <w:rFonts w:ascii="Arial" w:cs="Arial" w:eastAsia="Arial" w:hAnsi="Arial"/>
          <w:sz w:val="16"/>
          <w:szCs w:val="16"/>
          <w:b w:val="1"/>
          <w:bCs w:val="1"/>
          <w:color w:val="auto"/>
        </w:rPr>
        <w:t>EETING OF</w:t>
      </w:r>
      <w:r>
        <w:rPr>
          <w:rFonts w:ascii="Arial" w:cs="Arial" w:eastAsia="Arial" w:hAnsi="Arial"/>
          <w:sz w:val="22"/>
          <w:szCs w:val="22"/>
          <w:b w:val="1"/>
          <w:bCs w:val="1"/>
          <w:color w:val="auto"/>
        </w:rPr>
        <w:t xml:space="preserve"> S</w:t>
      </w:r>
      <w:r>
        <w:rPr>
          <w:rFonts w:ascii="Arial" w:cs="Arial" w:eastAsia="Arial" w:hAnsi="Arial"/>
          <w:sz w:val="16"/>
          <w:szCs w:val="16"/>
          <w:b w:val="1"/>
          <w:bCs w:val="1"/>
          <w:color w:val="auto"/>
        </w:rPr>
        <w:t>TOCKHOLDERS TO BE</w:t>
      </w:r>
      <w:r>
        <w:rPr>
          <w:rFonts w:ascii="Arial" w:cs="Arial" w:eastAsia="Arial" w:hAnsi="Arial"/>
          <w:sz w:val="22"/>
          <w:szCs w:val="22"/>
          <w:b w:val="1"/>
          <w:bCs w:val="1"/>
          <w:color w:val="auto"/>
        </w:rPr>
        <w:t xml:space="preserve"> H</w:t>
      </w:r>
      <w:r>
        <w:rPr>
          <w:rFonts w:ascii="Arial" w:cs="Arial" w:eastAsia="Arial" w:hAnsi="Arial"/>
          <w:sz w:val="16"/>
          <w:szCs w:val="16"/>
          <w:b w:val="1"/>
          <w:bCs w:val="1"/>
          <w:color w:val="auto"/>
        </w:rPr>
        <w:t>ELD ON</w:t>
      </w:r>
      <w:r>
        <w:rPr>
          <w:rFonts w:ascii="Arial" w:cs="Arial" w:eastAsia="Arial" w:hAnsi="Arial"/>
          <w:sz w:val="22"/>
          <w:szCs w:val="22"/>
          <w:b w:val="1"/>
          <w:bCs w:val="1"/>
          <w:color w:val="auto"/>
        </w:rPr>
        <w:t xml:space="preserve"> J</w:t>
      </w:r>
      <w:r>
        <w:rPr>
          <w:rFonts w:ascii="Arial" w:cs="Arial" w:eastAsia="Arial" w:hAnsi="Arial"/>
          <w:sz w:val="16"/>
          <w:szCs w:val="16"/>
          <w:b w:val="1"/>
          <w:bCs w:val="1"/>
          <w:color w:val="auto"/>
        </w:rPr>
        <w:t>UNE</w:t>
      </w:r>
      <w:r>
        <w:rPr>
          <w:rFonts w:ascii="Arial" w:cs="Arial" w:eastAsia="Arial" w:hAnsi="Arial"/>
          <w:sz w:val="22"/>
          <w:szCs w:val="22"/>
          <w:b w:val="1"/>
          <w:bCs w:val="1"/>
          <w:color w:val="auto"/>
        </w:rPr>
        <w:t xml:space="preserve"> 30, 2022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information relates to the notice of ACM Research, Inc. filed as definitive additional materials with the Securities and Exchange Commission on May 20, 2022, or the Proxy Notice, regarding the availability of proxy material for the 2022 Annual Meeting of Stockholders, or the Annual Meeting, to be held via live audio webcast on June 30, 2022 at 7:00 a.m., Pacific time.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information in this Supplement modifies and supersedes any inconsistent information contained in, or filed with, the Proxy Notice. We urge you to read carefully this Supplement, together with the proxy statement filed separately with the Securities and Exchange Commission on May 20, 2022, in connection with the Annual Meeting, or the Proxy Statement.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EXPLANATORY STATEMENT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Due to a printer error, an incorrect Proxy Notice was filed as definitive additional materials with the Securities and Exchange Commission. The Proxy Notice presented on the following page replaces the incorrect Proxy Notice previously filed. This Supplement does not reflect any other events occurring after the date of the Proxy Notice or modify or update disclosures that may have been affected by subsequent events.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in favor of all proposals set forth in the Proxy Statement.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you have already voted by means other than the proxy card that accompanied the Proxy Statement as filed with the Securities and Exchange Commission on May 20, 2022, you do not need to vote again unless you would like to change your prior vote on any proposal. If you have already properly submitted your proxy and would like to change your vote, you may revoke your proxy before it is voted at the Annual Meeting by:</w:t>
      </w:r>
    </w:p>
    <w:p>
      <w:pPr>
        <w:spacing w:after="0" w:line="219" w:lineRule="exact"/>
        <w:rPr>
          <w:sz w:val="20"/>
          <w:szCs w:val="20"/>
          <w:color w:val="auto"/>
        </w:rPr>
      </w:pPr>
    </w:p>
    <w:p>
      <w:pPr>
        <w:ind w:left="660" w:hanging="35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via the Internet or telephone at a later time;</w:t>
      </w:r>
    </w:p>
    <w:p>
      <w:pPr>
        <w:spacing w:after="0" w:line="252" w:lineRule="exact"/>
        <w:rPr>
          <w:rFonts w:ascii="Arial" w:cs="Arial" w:eastAsia="Arial" w:hAnsi="Arial"/>
          <w:sz w:val="18"/>
          <w:szCs w:val="18"/>
          <w:color w:val="auto"/>
        </w:rPr>
      </w:pPr>
    </w:p>
    <w:p>
      <w:pPr>
        <w:ind w:left="660" w:hanging="35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submitting a completed and signed proxy card in the form accompanying this Supplement;</w:t>
      </w:r>
    </w:p>
    <w:p>
      <w:pPr>
        <w:spacing w:after="0" w:line="252" w:lineRule="exact"/>
        <w:rPr>
          <w:rFonts w:ascii="Arial" w:cs="Arial" w:eastAsia="Arial" w:hAnsi="Arial"/>
          <w:sz w:val="18"/>
          <w:szCs w:val="18"/>
          <w:color w:val="auto"/>
        </w:rPr>
      </w:pPr>
    </w:p>
    <w:p>
      <w:pPr>
        <w:ind w:left="660" w:hanging="359"/>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sending a timely written notice that you are revoking your proxy to our Corporate Secretary at ACM Research, Inc., 42307 Osgood Road, Suite I, Fremont, California 94539; or</w:t>
      </w:r>
    </w:p>
    <w:p>
      <w:pPr>
        <w:spacing w:after="0" w:line="197" w:lineRule="exact"/>
        <w:rPr>
          <w:rFonts w:ascii="Arial" w:cs="Arial" w:eastAsia="Arial" w:hAnsi="Arial"/>
          <w:sz w:val="18"/>
          <w:szCs w:val="18"/>
          <w:color w:val="auto"/>
        </w:rPr>
      </w:pPr>
    </w:p>
    <w:p>
      <w:pPr>
        <w:ind w:left="660" w:hanging="35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via the Internet at the Annual Meeting (simply attending the Annual Meeting will not, by itself, revoke your proxy).</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Your most current proxy card or telephone or Internet proxy is the one that is counted. If your shares are held by your broker or bank as a nominee or agent, you should follow the instructions provided by your broker or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9944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Annual Meeting of Stockholders to be Held on June 30, 2022 at www.virtualshareholdermeeting.com/ACMR2022:</w:t>
      </w:r>
    </w:p>
    <w:p>
      <w:pPr>
        <w:spacing w:after="0" w:line="1"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The Proxy Statement (as amended on the date of this Supplement), the Proxy Notice filed with this Supplement, our form of proxy card and our 2021 Annual Report to Stockholders are available in the “Investors” section of our website at www.acmrcsh.com and with our current proxy materials at www.proxyvote.com.</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6"/>
          <w:szCs w:val="16"/>
          <w:b w:val="1"/>
          <w:bCs w:val="1"/>
          <w:color w:val="auto"/>
        </w:rPr>
        <w:t>UPPLEMENTAL</w:t>
      </w:r>
      <w:r>
        <w:rPr>
          <w:rFonts w:ascii="Arial" w:cs="Arial" w:eastAsia="Arial" w:hAnsi="Arial"/>
          <w:sz w:val="22"/>
          <w:szCs w:val="22"/>
          <w:b w:val="1"/>
          <w:bCs w:val="1"/>
          <w:color w:val="auto"/>
        </w:rPr>
        <w:t xml:space="preserve"> I</w:t>
      </w:r>
      <w:r>
        <w:rPr>
          <w:rFonts w:ascii="Arial" w:cs="Arial" w:eastAsia="Arial" w:hAnsi="Arial"/>
          <w:sz w:val="16"/>
          <w:szCs w:val="16"/>
          <w:b w:val="1"/>
          <w:bCs w:val="1"/>
          <w:color w:val="auto"/>
        </w:rPr>
        <w:t>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915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1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2022-05-23T05:13:44Z</dcterms:created>
  <dcterms:modified xsi:type="dcterms:W3CDTF">2022-05-23T05:13:44Z</dcterms:modified>
</cp:coreProperties>
</file>